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05F61" w14:textId="7B6DC6FE" w:rsidR="00FA1481" w:rsidRPr="005A15BB" w:rsidRDefault="009D45F6" w:rsidP="009D45F6">
      <w:pPr>
        <w:rPr>
          <w:sz w:val="36"/>
          <w:szCs w:val="36"/>
        </w:rPr>
      </w:pPr>
      <w:r w:rsidRPr="005A15BB">
        <w:rPr>
          <w:sz w:val="36"/>
          <w:szCs w:val="36"/>
        </w:rPr>
        <w:t>Additional file</w:t>
      </w:r>
    </w:p>
    <w:p w14:paraId="3317CF4D" w14:textId="77777777" w:rsidR="00EC7C85" w:rsidRPr="005A15BB" w:rsidRDefault="00EC7C85" w:rsidP="00F125EE">
      <w:pPr>
        <w:rPr>
          <w:sz w:val="36"/>
          <w:szCs w:val="36"/>
        </w:rPr>
      </w:pPr>
    </w:p>
    <w:p w14:paraId="33788641" w14:textId="77777777" w:rsidR="00F125EE" w:rsidRPr="005A15BB" w:rsidRDefault="00F125EE" w:rsidP="00FA1481">
      <w:pPr>
        <w:jc w:val="center"/>
        <w:rPr>
          <w:sz w:val="36"/>
          <w:szCs w:val="36"/>
        </w:rPr>
      </w:pPr>
    </w:p>
    <w:p w14:paraId="31C337D1" w14:textId="33B79AFF" w:rsidR="00D04BCF" w:rsidRPr="005A15BB" w:rsidRDefault="00BB2D2A" w:rsidP="009D45F6">
      <w:pPr>
        <w:rPr>
          <w:sz w:val="36"/>
          <w:szCs w:val="36"/>
        </w:rPr>
      </w:pPr>
      <w:r w:rsidRPr="005A15BB">
        <w:rPr>
          <w:sz w:val="36"/>
          <w:szCs w:val="36"/>
        </w:rPr>
        <w:t xml:space="preserve">Supplementary </w:t>
      </w:r>
      <w:r w:rsidR="009D45F6" w:rsidRPr="005A15BB">
        <w:rPr>
          <w:sz w:val="36"/>
          <w:szCs w:val="36"/>
        </w:rPr>
        <w:t>text</w:t>
      </w:r>
    </w:p>
    <w:p w14:paraId="29411C5A" w14:textId="77777777" w:rsidR="005001AC" w:rsidRPr="005A15BB" w:rsidRDefault="005001AC"/>
    <w:p w14:paraId="339B31F7" w14:textId="1F198A4F" w:rsidR="00015F74" w:rsidRPr="005A15BB" w:rsidRDefault="006E4B47" w:rsidP="009D45F6">
      <w:pPr>
        <w:rPr>
          <w:sz w:val="28"/>
          <w:szCs w:val="28"/>
        </w:rPr>
      </w:pPr>
      <w:r w:rsidRPr="005A15BB">
        <w:rPr>
          <w:sz w:val="28"/>
          <w:szCs w:val="28"/>
        </w:rPr>
        <w:t xml:space="preserve">Safety of </w:t>
      </w:r>
      <w:r w:rsidR="00797E54" w:rsidRPr="005A15BB">
        <w:rPr>
          <w:sz w:val="28"/>
          <w:szCs w:val="28"/>
        </w:rPr>
        <w:t>Safety Evaluation of Pesticides</w:t>
      </w:r>
      <w:r w:rsidR="009D45F6" w:rsidRPr="005A15BB">
        <w:rPr>
          <w:sz w:val="28"/>
          <w:szCs w:val="28"/>
        </w:rPr>
        <w:t>:</w:t>
      </w:r>
    </w:p>
    <w:p w14:paraId="0F86FBA8" w14:textId="2D7E961D" w:rsidR="009D45F6" w:rsidRPr="005A15BB" w:rsidRDefault="009D45F6" w:rsidP="009D45F6">
      <w:pPr>
        <w:rPr>
          <w:sz w:val="28"/>
          <w:szCs w:val="28"/>
        </w:rPr>
      </w:pPr>
      <w:r w:rsidRPr="005A15BB">
        <w:rPr>
          <w:sz w:val="28"/>
          <w:szCs w:val="28"/>
        </w:rPr>
        <w:t>Developmental neurotoxicity of chlorpyrifos and chlorpyrifos-methyl</w:t>
      </w:r>
    </w:p>
    <w:p w14:paraId="09BD3AFD" w14:textId="2049C474" w:rsidR="009D45F6" w:rsidRPr="005A15BB" w:rsidRDefault="009D45F6" w:rsidP="009D45F6">
      <w:pPr>
        <w:rPr>
          <w:sz w:val="28"/>
          <w:szCs w:val="28"/>
        </w:rPr>
      </w:pPr>
    </w:p>
    <w:p w14:paraId="63D8913E" w14:textId="02E92193" w:rsidR="002C030F" w:rsidRPr="005A15BB" w:rsidRDefault="00797E54" w:rsidP="009D45F6">
      <w:pPr>
        <w:rPr>
          <w:szCs w:val="24"/>
        </w:rPr>
      </w:pPr>
      <w:r w:rsidRPr="005A15BB">
        <w:rPr>
          <w:szCs w:val="24"/>
        </w:rPr>
        <w:t>Axel Mie, Christina Rudén, Philippe Grandjean</w:t>
      </w:r>
      <w:bookmarkStart w:id="0" w:name="_GoBack"/>
      <w:bookmarkEnd w:id="0"/>
      <w:r w:rsidR="0046356B" w:rsidRPr="005A15BB">
        <w:rPr>
          <w:szCs w:val="24"/>
        </w:rPr>
        <w:t>.</w:t>
      </w:r>
    </w:p>
    <w:p w14:paraId="0648E06D" w14:textId="77777777" w:rsidR="000F0DCE" w:rsidRPr="005A15BB" w:rsidRDefault="000F0DCE" w:rsidP="005001AC">
      <w:pPr>
        <w:jc w:val="center"/>
        <w:rPr>
          <w:szCs w:val="24"/>
        </w:rPr>
      </w:pPr>
    </w:p>
    <w:p w14:paraId="34D67477" w14:textId="145D5CA6" w:rsidR="004779CB" w:rsidRPr="005A15BB" w:rsidRDefault="00E4519A" w:rsidP="009D45F6">
      <w:pPr>
        <w:rPr>
          <w:szCs w:val="24"/>
        </w:rPr>
      </w:pPr>
      <w:r w:rsidRPr="005A15BB">
        <w:rPr>
          <w:szCs w:val="24"/>
        </w:rPr>
        <w:t xml:space="preserve">Correspondence </w:t>
      </w:r>
      <w:r w:rsidR="004779CB" w:rsidRPr="005A15BB">
        <w:rPr>
          <w:szCs w:val="24"/>
        </w:rPr>
        <w:t>to:</w:t>
      </w:r>
      <w:r w:rsidR="00BC3E04" w:rsidRPr="005A15BB">
        <w:rPr>
          <w:szCs w:val="24"/>
        </w:rPr>
        <w:t xml:space="preserve"> </w:t>
      </w:r>
      <w:r w:rsidR="00797E54" w:rsidRPr="005A15BB">
        <w:rPr>
          <w:szCs w:val="24"/>
        </w:rPr>
        <w:t>axel.mie@ki.se</w:t>
      </w:r>
    </w:p>
    <w:p w14:paraId="223EBBEB" w14:textId="77777777" w:rsidR="002C030F" w:rsidRPr="005A15BB" w:rsidRDefault="002C030F"/>
    <w:p w14:paraId="12923ABF" w14:textId="3E5E0F50" w:rsidR="00015F74" w:rsidRPr="005A15BB" w:rsidRDefault="00015F74" w:rsidP="009D45F6">
      <w:pPr>
        <w:pStyle w:val="SMHeading"/>
      </w:pPr>
      <w:r w:rsidRPr="005A15BB">
        <w:br w:type="page"/>
      </w:r>
      <w:bookmarkStart w:id="1" w:name="Tables"/>
      <w:bookmarkStart w:id="2" w:name="MaterialsMethods"/>
      <w:bookmarkEnd w:id="1"/>
      <w:bookmarkEnd w:id="2"/>
    </w:p>
    <w:p w14:paraId="3735AFE4" w14:textId="77777777" w:rsidR="00797E54" w:rsidRPr="005A15BB" w:rsidRDefault="00797E54" w:rsidP="003860FB">
      <w:pPr>
        <w:pStyle w:val="SMSubheading"/>
        <w:spacing w:line="480" w:lineRule="auto"/>
        <w:rPr>
          <w:u w:val="single"/>
        </w:rPr>
      </w:pPr>
      <w:r w:rsidRPr="005A15BB">
        <w:rPr>
          <w:u w:val="single"/>
        </w:rPr>
        <w:lastRenderedPageBreak/>
        <w:t>Chlorpyrifos – cerebellum height and other morphometrics, PND 11 pups, summary of DNT study report</w:t>
      </w:r>
    </w:p>
    <w:p w14:paraId="21A97D38" w14:textId="5042B6A4" w:rsidR="00797E54" w:rsidRPr="005A15BB" w:rsidRDefault="00797E54" w:rsidP="003860FB">
      <w:pPr>
        <w:pStyle w:val="SMSubheading"/>
        <w:spacing w:line="480" w:lineRule="auto"/>
        <w:rPr>
          <w:u w:val="none"/>
        </w:rPr>
      </w:pPr>
      <w:r w:rsidRPr="005A15BB">
        <w:rPr>
          <w:u w:val="none"/>
        </w:rPr>
        <w:t xml:space="preserve">The study report on developmental neurotoxicity (DNT) </w:t>
      </w:r>
      <w:r w:rsidR="00730467" w:rsidRPr="005A15BB">
        <w:rPr>
          <w:noProof/>
          <w:u w:val="none"/>
        </w:rPr>
        <w:t>[1]</w:t>
      </w:r>
      <w:r w:rsidR="00730467" w:rsidRPr="005A15BB">
        <w:rPr>
          <w:u w:val="none"/>
        </w:rPr>
        <w:t xml:space="preserve"> </w:t>
      </w:r>
      <w:r w:rsidRPr="005A15BB">
        <w:rPr>
          <w:u w:val="none"/>
        </w:rPr>
        <w:t xml:space="preserve">features two analyses of cerebellum height (and other brain morphometrics). </w:t>
      </w:r>
    </w:p>
    <w:p w14:paraId="7E359A71" w14:textId="690843AE" w:rsidR="00797E54" w:rsidRPr="005A15BB" w:rsidRDefault="00797E54" w:rsidP="003860FB">
      <w:pPr>
        <w:pStyle w:val="SMSubheading"/>
        <w:spacing w:line="480" w:lineRule="auto"/>
        <w:rPr>
          <w:u w:val="none"/>
        </w:rPr>
      </w:pPr>
      <w:r w:rsidRPr="005A15BB">
        <w:rPr>
          <w:u w:val="none"/>
        </w:rPr>
        <w:t xml:space="preserve">Initially, in the first version from May 1998, a three-way ANOVA was provided with dose Group (0 vs 5 mg/kg </w:t>
      </w:r>
      <w:proofErr w:type="spellStart"/>
      <w:r w:rsidRPr="005A15BB">
        <w:rPr>
          <w:u w:val="none"/>
        </w:rPr>
        <w:t>bw</w:t>
      </w:r>
      <w:proofErr w:type="spellEnd"/>
      <w:r w:rsidRPr="005A15BB">
        <w:rPr>
          <w:u w:val="none"/>
        </w:rPr>
        <w:t xml:space="preserve">/day), Time (PND 11 + 65) and Sex as main effects and all two-factor interactions. For cerebellum height, the ANOVA results show </w:t>
      </w:r>
      <w:proofErr w:type="gramStart"/>
      <w:r w:rsidRPr="005A15BB">
        <w:rPr>
          <w:u w:val="none"/>
        </w:rPr>
        <w:t>p(</w:t>
      </w:r>
      <w:proofErr w:type="gramEnd"/>
      <w:r w:rsidRPr="005A15BB">
        <w:rPr>
          <w:u w:val="none"/>
        </w:rPr>
        <w:t>Group)=0.0063, p(Group X Time)=0.0291, p(Group X Sex)=0.5407, thereby demonstrating an overall significant main effect on cerebellum height at the high do</w:t>
      </w:r>
      <w:r w:rsidR="00730467" w:rsidRPr="005A15BB">
        <w:rPr>
          <w:u w:val="none"/>
        </w:rPr>
        <w:t>se compared to control pups (</w:t>
      </w:r>
      <w:r w:rsidR="00730467" w:rsidRPr="005A15BB">
        <w:rPr>
          <w:noProof/>
          <w:u w:val="none"/>
        </w:rPr>
        <w:t>[1]</w:t>
      </w:r>
      <w:r w:rsidRPr="005A15BB">
        <w:rPr>
          <w:u w:val="none"/>
        </w:rPr>
        <w:t xml:space="preserve"> p. 91). </w:t>
      </w:r>
    </w:p>
    <w:p w14:paraId="6972DDBB" w14:textId="14A92F81" w:rsidR="00797E54" w:rsidRPr="005A15BB" w:rsidRDefault="00797E54" w:rsidP="003860FB">
      <w:pPr>
        <w:pStyle w:val="SMSubheading"/>
        <w:spacing w:line="480" w:lineRule="auto"/>
        <w:rPr>
          <w:u w:val="none"/>
        </w:rPr>
      </w:pPr>
      <w:r w:rsidRPr="005A15BB">
        <w:rPr>
          <w:u w:val="none"/>
        </w:rPr>
        <w:t xml:space="preserve">Subsequently, in March 1999, a more detailed analysis of morphometrics data was reported, using one-way ANOVA with the factor dose Group (0, 0.3, 1, 5 mg/kg </w:t>
      </w:r>
      <w:proofErr w:type="spellStart"/>
      <w:r w:rsidRPr="005A15BB">
        <w:rPr>
          <w:u w:val="none"/>
        </w:rPr>
        <w:t>bw</w:t>
      </w:r>
      <w:proofErr w:type="spellEnd"/>
      <w:r w:rsidRPr="005A15BB">
        <w:rPr>
          <w:u w:val="none"/>
        </w:rPr>
        <w:t xml:space="preserve">/day) and with Dunnett’s </w:t>
      </w:r>
      <w:proofErr w:type="spellStart"/>
      <w:r w:rsidRPr="005A15BB">
        <w:rPr>
          <w:u w:val="none"/>
        </w:rPr>
        <w:t>posthoc</w:t>
      </w:r>
      <w:proofErr w:type="spellEnd"/>
      <w:r w:rsidRPr="005A15BB">
        <w:rPr>
          <w:u w:val="none"/>
        </w:rPr>
        <w:t xml:space="preserve"> test</w:t>
      </w:r>
      <w:r w:rsidR="009D45F6" w:rsidRPr="005A15BB">
        <w:rPr>
          <w:u w:val="none"/>
        </w:rPr>
        <w:t xml:space="preserve"> </w:t>
      </w:r>
      <w:r w:rsidR="00730467" w:rsidRPr="005A15BB">
        <w:rPr>
          <w:noProof/>
          <w:u w:val="none"/>
        </w:rPr>
        <w:t>[2]</w:t>
      </w:r>
      <w:r w:rsidRPr="005A15BB">
        <w:rPr>
          <w:u w:val="none"/>
        </w:rPr>
        <w:t>, separately for sexes and time points. For cerebellum height on PND 11, ANOVA were significant at p=0.0295 (males) and p=0.0366 (females), with Dunnett’s test p&lt;0.05 for high dose males and mid dose females. For eight other morphometrics, the ANOVA was significant for four (males) and one (females) outcomes on PND 11, of which one (males, high dose ant</w:t>
      </w:r>
      <w:proofErr w:type="gramStart"/>
      <w:r w:rsidRPr="005A15BB">
        <w:rPr>
          <w:u w:val="none"/>
        </w:rPr>
        <w:t>./</w:t>
      </w:r>
      <w:proofErr w:type="gramEnd"/>
      <w:r w:rsidRPr="005A15BB">
        <w:rPr>
          <w:u w:val="none"/>
        </w:rPr>
        <w:t xml:space="preserve">post. cerebellum) and one (females, high dose, caudate putamen) were significant in Dunnett’s test (Table 5 in </w:t>
      </w:r>
      <w:r w:rsidR="00D714E6" w:rsidRPr="005A15BB">
        <w:rPr>
          <w:noProof/>
          <w:u w:val="none"/>
        </w:rPr>
        <w:t>[3]</w:t>
      </w:r>
      <w:r w:rsidRPr="005A15BB">
        <w:rPr>
          <w:u w:val="none"/>
        </w:rPr>
        <w:t xml:space="preserve"> and Tables 1, 3 and 4 in Supplement 2 of</w:t>
      </w:r>
      <w:r w:rsidR="00D714E6" w:rsidRPr="005A15BB">
        <w:rPr>
          <w:u w:val="none"/>
        </w:rPr>
        <w:t xml:space="preserve"> </w:t>
      </w:r>
      <w:r w:rsidR="00D714E6" w:rsidRPr="005A15BB">
        <w:rPr>
          <w:noProof/>
          <w:u w:val="none"/>
        </w:rPr>
        <w:t>[1]</w:t>
      </w:r>
      <w:r w:rsidRPr="005A15BB">
        <w:rPr>
          <w:u w:val="none"/>
        </w:rPr>
        <w:t>. These statistically significant effects were dismissed by the test laboratory as either secondary to maternal toxicity at the high dose, or as inconsistent and biologically implausible</w:t>
      </w:r>
      <w:r w:rsidR="00D714E6" w:rsidRPr="005A15BB">
        <w:rPr>
          <w:u w:val="none"/>
        </w:rPr>
        <w:t xml:space="preserve"> </w:t>
      </w:r>
      <w:r w:rsidR="00D714E6" w:rsidRPr="005A15BB">
        <w:rPr>
          <w:noProof/>
          <w:u w:val="none"/>
        </w:rPr>
        <w:t>[1]</w:t>
      </w:r>
      <w:r w:rsidRPr="005A15BB">
        <w:rPr>
          <w:u w:val="none"/>
        </w:rPr>
        <w:t>.</w:t>
      </w:r>
    </w:p>
    <w:p w14:paraId="38B15DD7" w14:textId="4472DD63" w:rsidR="00E873DD" w:rsidRPr="005A15BB" w:rsidRDefault="00E873DD" w:rsidP="003860FB">
      <w:pPr>
        <w:pStyle w:val="SMSubheading"/>
        <w:spacing w:line="480" w:lineRule="auto"/>
        <w:rPr>
          <w:u w:val="single"/>
        </w:rPr>
      </w:pPr>
      <w:r w:rsidRPr="005A15BB">
        <w:rPr>
          <w:u w:val="single"/>
        </w:rPr>
        <w:t>Chlorpyrifos – timing and groups of brain morphometrics measurements</w:t>
      </w:r>
    </w:p>
    <w:p w14:paraId="3BE3D47E" w14:textId="02881B06" w:rsidR="00E873DD" w:rsidRPr="005A15BB" w:rsidRDefault="00E873DD" w:rsidP="003860FB">
      <w:pPr>
        <w:pStyle w:val="SMSubheading"/>
        <w:spacing w:line="480" w:lineRule="auto"/>
        <w:rPr>
          <w:u w:val="none"/>
        </w:rPr>
      </w:pPr>
      <w:r w:rsidRPr="005A15BB">
        <w:rPr>
          <w:u w:val="none"/>
        </w:rPr>
        <w:t>For chlorpyrifos, brain morphometric</w:t>
      </w:r>
      <w:r w:rsidR="003442F0" w:rsidRPr="005A15BB">
        <w:rPr>
          <w:u w:val="none"/>
        </w:rPr>
        <w:t xml:space="preserve"> measurements</w:t>
      </w:r>
      <w:r w:rsidRPr="005A15BB">
        <w:rPr>
          <w:u w:val="none"/>
        </w:rPr>
        <w:t xml:space="preserve"> of both sexes and all dose groups of PND 11 </w:t>
      </w:r>
      <w:r w:rsidR="00B24BF7" w:rsidRPr="005A15BB">
        <w:rPr>
          <w:u w:val="none"/>
        </w:rPr>
        <w:t xml:space="preserve">pup </w:t>
      </w:r>
      <w:r w:rsidRPr="005A15BB">
        <w:rPr>
          <w:u w:val="none"/>
        </w:rPr>
        <w:t xml:space="preserve">brains were performed on the same occasion. For PND 65, control and high dose brains </w:t>
      </w:r>
      <w:r w:rsidRPr="005A15BB">
        <w:rPr>
          <w:u w:val="none"/>
        </w:rPr>
        <w:lastRenderedPageBreak/>
        <w:t xml:space="preserve">of both sexes were </w:t>
      </w:r>
      <w:r w:rsidR="00DB53F2" w:rsidRPr="005A15BB">
        <w:rPr>
          <w:u w:val="none"/>
        </w:rPr>
        <w:t>analyzed</w:t>
      </w:r>
      <w:r w:rsidRPr="005A15BB">
        <w:rPr>
          <w:u w:val="none"/>
        </w:rPr>
        <w:t xml:space="preserve"> on one occasion, female mid dose brains were </w:t>
      </w:r>
      <w:r w:rsidR="00DB53F2" w:rsidRPr="005A15BB">
        <w:rPr>
          <w:u w:val="none"/>
        </w:rPr>
        <w:t>analyzed</w:t>
      </w:r>
      <w:r w:rsidRPr="005A15BB">
        <w:rPr>
          <w:u w:val="none"/>
        </w:rPr>
        <w:t xml:space="preserve"> at a later occasion, and the remaining groups were not </w:t>
      </w:r>
      <w:r w:rsidR="00DB53F2" w:rsidRPr="005A15BB">
        <w:rPr>
          <w:u w:val="none"/>
        </w:rPr>
        <w:t>analyzed</w:t>
      </w:r>
      <w:r w:rsidRPr="005A15BB">
        <w:rPr>
          <w:u w:val="none"/>
        </w:rPr>
        <w:t>.</w:t>
      </w:r>
    </w:p>
    <w:p w14:paraId="76B1325C" w14:textId="77777777" w:rsidR="00797E54" w:rsidRPr="005A15BB" w:rsidRDefault="00797E54" w:rsidP="003860FB">
      <w:pPr>
        <w:pStyle w:val="SMSubheading"/>
        <w:spacing w:line="480" w:lineRule="auto"/>
        <w:rPr>
          <w:u w:val="single"/>
        </w:rPr>
      </w:pPr>
      <w:r w:rsidRPr="005A15BB">
        <w:rPr>
          <w:u w:val="single"/>
        </w:rPr>
        <w:t>Chlorpyrifos – re-analysis of cerebellum height relative to brain weight, PND 11 pups,</w:t>
      </w:r>
    </w:p>
    <w:p w14:paraId="18DD912A" w14:textId="54488B49" w:rsidR="00797E54" w:rsidRPr="005A15BB" w:rsidRDefault="00797E54" w:rsidP="003860FB">
      <w:pPr>
        <w:pStyle w:val="SMSubheading"/>
        <w:spacing w:line="480" w:lineRule="auto"/>
        <w:rPr>
          <w:u w:val="none"/>
        </w:rPr>
      </w:pPr>
      <w:r w:rsidRPr="005A15BB">
        <w:rPr>
          <w:u w:val="none"/>
        </w:rPr>
        <w:t xml:space="preserve">Guideline toxicity studies are not designed in order to advance mechanistic understanding of observed effects. Accordingly, a biological interpretation of the observed effects of chlorpyrifos on the cerebellum is not realistic within the DNT study </w:t>
      </w:r>
      <w:r w:rsidR="00D714E6" w:rsidRPr="005A15BB">
        <w:rPr>
          <w:noProof/>
          <w:u w:val="none"/>
        </w:rPr>
        <w:t>[1]</w:t>
      </w:r>
      <w:r w:rsidR="00D714E6" w:rsidRPr="005A15BB">
        <w:rPr>
          <w:u w:val="none"/>
        </w:rPr>
        <w:t xml:space="preserve"> </w:t>
      </w:r>
      <w:r w:rsidRPr="005A15BB">
        <w:rPr>
          <w:u w:val="none"/>
        </w:rPr>
        <w:t>as such. In order to enable regulatory authorities to evaluate and interpret effects, and, where necessary, prescribe further testing, all findings must be reported.</w:t>
      </w:r>
    </w:p>
    <w:p w14:paraId="0716C55D" w14:textId="28791097" w:rsidR="00797E54" w:rsidRPr="005A15BB" w:rsidRDefault="00797E54" w:rsidP="003860FB">
      <w:pPr>
        <w:pStyle w:val="SMSubheading"/>
        <w:spacing w:line="480" w:lineRule="auto"/>
        <w:rPr>
          <w:u w:val="none"/>
        </w:rPr>
      </w:pPr>
      <w:r w:rsidRPr="005A15BB">
        <w:rPr>
          <w:u w:val="none"/>
        </w:rPr>
        <w:t>Future attempts to interpret the biological significance of changes in cerebellum dimensions</w:t>
      </w:r>
      <w:r w:rsidR="00F65F75" w:rsidRPr="005A15BB">
        <w:rPr>
          <w:u w:val="none"/>
        </w:rPr>
        <w:t xml:space="preserve">, for example </w:t>
      </w:r>
      <w:r w:rsidR="0049643D" w:rsidRPr="005A15BB">
        <w:rPr>
          <w:u w:val="none"/>
        </w:rPr>
        <w:t>as part of</w:t>
      </w:r>
      <w:r w:rsidR="00F65F75" w:rsidRPr="005A15BB">
        <w:rPr>
          <w:u w:val="none"/>
        </w:rPr>
        <w:t xml:space="preserve"> the ongoing evaluation for re-approval of chlorpyrifos in the EU,</w:t>
      </w:r>
      <w:r w:rsidRPr="005A15BB">
        <w:rPr>
          <w:u w:val="none"/>
        </w:rPr>
        <w:t xml:space="preserve"> may consider the following points:</w:t>
      </w:r>
    </w:p>
    <w:p w14:paraId="0F9E30BE" w14:textId="2D32CFF6" w:rsidR="00797E54" w:rsidRPr="005A15BB" w:rsidRDefault="00797E54" w:rsidP="003860FB">
      <w:pPr>
        <w:pStyle w:val="SMSubheading"/>
        <w:spacing w:line="480" w:lineRule="auto"/>
        <w:rPr>
          <w:u w:val="none"/>
        </w:rPr>
      </w:pPr>
      <w:r w:rsidRPr="005A15BB">
        <w:rPr>
          <w:u w:val="none"/>
        </w:rPr>
        <w:t>(1)</w:t>
      </w:r>
      <w:r w:rsidRPr="005A15BB">
        <w:rPr>
          <w:u w:val="none"/>
        </w:rPr>
        <w:tab/>
        <w:t>Expressed in units of control group standard deviation (SD), response levels of cerebellum height relative to brain weight on PND 11 were between 2.4 and 3.4 control group SD in the low and mid dosage groups. In the absence of a specific biologically informed threshold, a response level of 1 SD may be regarded</w:t>
      </w:r>
      <w:r w:rsidR="009D45F6" w:rsidRPr="005A15BB">
        <w:rPr>
          <w:u w:val="none"/>
        </w:rPr>
        <w:t xml:space="preserve"> as biologically significant</w:t>
      </w:r>
      <w:r w:rsidR="00D714E6" w:rsidRPr="005A15BB">
        <w:rPr>
          <w:u w:val="none"/>
        </w:rPr>
        <w:t xml:space="preserve"> </w:t>
      </w:r>
      <w:r w:rsidR="00D714E6" w:rsidRPr="005A15BB">
        <w:rPr>
          <w:noProof/>
          <w:u w:val="none"/>
        </w:rPr>
        <w:t>[4, 5]</w:t>
      </w:r>
      <w:r w:rsidRPr="005A15BB">
        <w:rPr>
          <w:u w:val="none"/>
        </w:rPr>
        <w:t>, or, if the effect is considered severe, such as str</w:t>
      </w:r>
      <w:r w:rsidR="009D45F6" w:rsidRPr="005A15BB">
        <w:rPr>
          <w:u w:val="none"/>
        </w:rPr>
        <w:t xml:space="preserve">uctural changes in the brain </w:t>
      </w:r>
      <w:r w:rsidR="00D714E6" w:rsidRPr="005A15BB">
        <w:rPr>
          <w:noProof/>
          <w:u w:val="none"/>
        </w:rPr>
        <w:t>[4]</w:t>
      </w:r>
      <w:r w:rsidRPr="005A15BB">
        <w:rPr>
          <w:u w:val="none"/>
        </w:rPr>
        <w:t>, 0.5 SD may be used as a cr</w:t>
      </w:r>
      <w:r w:rsidR="009D45F6" w:rsidRPr="005A15BB">
        <w:rPr>
          <w:u w:val="none"/>
        </w:rPr>
        <w:t>iterion of relevance instead</w:t>
      </w:r>
      <w:r w:rsidR="00D714E6" w:rsidRPr="005A15BB">
        <w:rPr>
          <w:u w:val="none"/>
        </w:rPr>
        <w:t xml:space="preserve"> </w:t>
      </w:r>
      <w:r w:rsidR="00D714E6" w:rsidRPr="005A15BB">
        <w:rPr>
          <w:noProof/>
          <w:u w:val="none"/>
        </w:rPr>
        <w:t>[5]</w:t>
      </w:r>
      <w:r w:rsidRPr="005A15BB">
        <w:rPr>
          <w:u w:val="none"/>
        </w:rPr>
        <w:t>.</w:t>
      </w:r>
    </w:p>
    <w:p w14:paraId="42C0A617" w14:textId="75F476AF" w:rsidR="00797E54" w:rsidRPr="005A15BB" w:rsidRDefault="00797E54" w:rsidP="003860FB">
      <w:pPr>
        <w:pStyle w:val="SMSubheading"/>
        <w:spacing w:line="480" w:lineRule="auto"/>
        <w:rPr>
          <w:u w:val="none"/>
        </w:rPr>
      </w:pPr>
      <w:r w:rsidRPr="005A15BB">
        <w:rPr>
          <w:u w:val="none"/>
        </w:rPr>
        <w:t>(2)</w:t>
      </w:r>
      <w:r w:rsidRPr="005A15BB">
        <w:rPr>
          <w:u w:val="none"/>
        </w:rPr>
        <w:tab/>
        <w:t>Effects on linear measurements consistently involving one specific major brain area within a study are regarded to be a strong indicator that developmenta</w:t>
      </w:r>
      <w:r w:rsidR="009D45F6" w:rsidRPr="005A15BB">
        <w:rPr>
          <w:u w:val="none"/>
        </w:rPr>
        <w:t xml:space="preserve">l neurotoxicity has occurred </w:t>
      </w:r>
      <w:r w:rsidR="001E729B" w:rsidRPr="005A15BB">
        <w:rPr>
          <w:noProof/>
          <w:u w:val="none"/>
        </w:rPr>
        <w:t>[6]</w:t>
      </w:r>
      <w:r w:rsidRPr="005A15BB">
        <w:rPr>
          <w:u w:val="none"/>
        </w:rPr>
        <w:t xml:space="preserve">. </w:t>
      </w:r>
    </w:p>
    <w:p w14:paraId="73B09B9E" w14:textId="4D5D7F1A" w:rsidR="00797E54" w:rsidRPr="005A15BB" w:rsidRDefault="00797E54" w:rsidP="003860FB">
      <w:pPr>
        <w:pStyle w:val="SMSubheading"/>
        <w:spacing w:line="480" w:lineRule="auto"/>
        <w:rPr>
          <w:u w:val="none"/>
        </w:rPr>
      </w:pPr>
      <w:r w:rsidRPr="005A15BB">
        <w:rPr>
          <w:u w:val="none"/>
        </w:rPr>
        <w:t>(3)</w:t>
      </w:r>
      <w:r w:rsidRPr="005A15BB">
        <w:rPr>
          <w:u w:val="none"/>
        </w:rPr>
        <w:tab/>
        <w:t>Cerebellar height is determined as one of several simple brain linear morphometric measures in order to screen for effects in all neural</w:t>
      </w:r>
      <w:r w:rsidR="009D45F6" w:rsidRPr="005A15BB">
        <w:rPr>
          <w:u w:val="none"/>
        </w:rPr>
        <w:t xml:space="preserve"> elements within that region </w:t>
      </w:r>
      <w:r w:rsidR="001E729B" w:rsidRPr="005A15BB">
        <w:rPr>
          <w:noProof/>
          <w:u w:val="none"/>
        </w:rPr>
        <w:t>[6]</w:t>
      </w:r>
      <w:r w:rsidRPr="005A15BB">
        <w:rPr>
          <w:u w:val="none"/>
        </w:rPr>
        <w:t xml:space="preserve">. Such effects measures are rather coarse and non-specific and have no direct interpretation at the cellular level; </w:t>
      </w:r>
      <w:r w:rsidRPr="005A15BB">
        <w:rPr>
          <w:u w:val="none"/>
        </w:rPr>
        <w:lastRenderedPageBreak/>
        <w:t>changes could be a consequence of, e.g., altered cell numbers, synaptic densities, or extent of myelination.</w:t>
      </w:r>
    </w:p>
    <w:p w14:paraId="10BF7DE9" w14:textId="53F8DBF1" w:rsidR="00B9440A" w:rsidRPr="005A15BB" w:rsidRDefault="00797E54" w:rsidP="003860FB">
      <w:pPr>
        <w:spacing w:line="480" w:lineRule="auto"/>
      </w:pPr>
      <w:r w:rsidRPr="005A15BB">
        <w:t>(4)</w:t>
      </w:r>
      <w:r w:rsidRPr="005A15BB">
        <w:tab/>
        <w:t>A recent human health risk assessment of chlorpyrifos, performed by the US EPA, concluded that reference values for chronic exposure should be lowered substantially, due to evidence of DNT at low exposures in</w:t>
      </w:r>
      <w:r w:rsidR="00B764F7" w:rsidRPr="005A15BB">
        <w:t xml:space="preserve"> epidemiological studies which is</w:t>
      </w:r>
      <w:r w:rsidRPr="005A15BB">
        <w:t xml:space="preserve"> supported by o</w:t>
      </w:r>
      <w:r w:rsidR="009D45F6" w:rsidRPr="005A15BB">
        <w:t xml:space="preserve">ther scientific evidence </w:t>
      </w:r>
      <w:r w:rsidR="001E729B" w:rsidRPr="005A15BB">
        <w:rPr>
          <w:noProof/>
        </w:rPr>
        <w:t>[7, 8]</w:t>
      </w:r>
      <w:r w:rsidRPr="005A15BB">
        <w:t>.</w:t>
      </w:r>
      <w:bookmarkStart w:id="3" w:name="Figures"/>
      <w:bookmarkEnd w:id="3"/>
    </w:p>
    <w:p w14:paraId="1C0D50EA" w14:textId="75979489" w:rsidR="009D45F6" w:rsidRPr="005A15BB" w:rsidRDefault="009D45F6" w:rsidP="003860FB">
      <w:pPr>
        <w:spacing w:line="480" w:lineRule="auto"/>
        <w:rPr>
          <w:b/>
        </w:rPr>
      </w:pPr>
    </w:p>
    <w:p w14:paraId="532A532A" w14:textId="59784ABA" w:rsidR="009D45F6" w:rsidRPr="005A15BB" w:rsidRDefault="009D45F6" w:rsidP="003860FB">
      <w:pPr>
        <w:spacing w:line="480" w:lineRule="auto"/>
        <w:rPr>
          <w:b/>
        </w:rPr>
      </w:pPr>
      <w:r w:rsidRPr="005A15BB">
        <w:rPr>
          <w:b/>
        </w:rPr>
        <w:t>References</w:t>
      </w:r>
    </w:p>
    <w:p w14:paraId="0B73F470" w14:textId="2E8C68AA"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1.</w:t>
      </w:r>
      <w:r w:rsidRPr="005A15BB">
        <w:rPr>
          <w:rFonts w:asciiTheme="minorHAnsi" w:hAnsiTheme="minorHAnsi"/>
          <w:sz w:val="22"/>
        </w:rPr>
        <w:tab/>
      </w:r>
      <w:r w:rsidR="005A15BB" w:rsidRPr="005A15BB">
        <w:rPr>
          <w:rFonts w:asciiTheme="minorHAnsi" w:hAnsiTheme="minorHAnsi"/>
          <w:sz w:val="22"/>
        </w:rPr>
        <w:t xml:space="preserve">Anon. </w:t>
      </w:r>
      <w:r w:rsidR="005A15BB" w:rsidRPr="005A15BB">
        <w:rPr>
          <w:rFonts w:asciiTheme="minorHAnsi" w:hAnsiTheme="minorHAnsi"/>
          <w:b/>
          <w:sz w:val="22"/>
        </w:rPr>
        <w:t>Developmental neurotoxicity study of chlorpyrifos administered orally via gavage to Crl:CD®BR VAF/Plus® presumed pregnant rats</w:t>
      </w:r>
      <w:r w:rsidR="005A15BB" w:rsidRPr="005A15BB">
        <w:rPr>
          <w:rFonts w:asciiTheme="minorHAnsi" w:hAnsiTheme="minorHAnsi"/>
          <w:sz w:val="22"/>
        </w:rPr>
        <w:t xml:space="preserve"> 1998.</w:t>
      </w:r>
    </w:p>
    <w:p w14:paraId="1C98DA69" w14:textId="0E0644B7"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2.</w:t>
      </w:r>
      <w:r w:rsidRPr="005A15BB">
        <w:rPr>
          <w:rFonts w:asciiTheme="minorHAnsi" w:hAnsiTheme="minorHAnsi"/>
          <w:sz w:val="22"/>
        </w:rPr>
        <w:tab/>
        <w:t xml:space="preserve">Dunnett CW: </w:t>
      </w:r>
      <w:r w:rsidRPr="005A15BB">
        <w:rPr>
          <w:rFonts w:asciiTheme="minorHAnsi" w:hAnsiTheme="minorHAnsi"/>
          <w:b/>
          <w:sz w:val="22"/>
        </w:rPr>
        <w:t>A multiple comparison procedure for comparing several treatments with a control</w:t>
      </w:r>
      <w:r w:rsidRPr="005A15BB">
        <w:rPr>
          <w:rFonts w:asciiTheme="minorHAnsi" w:hAnsiTheme="minorHAnsi"/>
          <w:sz w:val="22"/>
        </w:rPr>
        <w:t xml:space="preserve">. </w:t>
      </w:r>
      <w:r w:rsidR="005A15BB" w:rsidRPr="005A15BB">
        <w:rPr>
          <w:rFonts w:asciiTheme="minorHAnsi" w:hAnsiTheme="minorHAnsi"/>
          <w:i/>
          <w:sz w:val="22"/>
        </w:rPr>
        <w:t xml:space="preserve">J Am Stat Assoc </w:t>
      </w:r>
      <w:r w:rsidRPr="005A15BB">
        <w:rPr>
          <w:rFonts w:asciiTheme="minorHAnsi" w:hAnsiTheme="minorHAnsi"/>
          <w:sz w:val="22"/>
        </w:rPr>
        <w:t xml:space="preserve">1955, </w:t>
      </w:r>
      <w:r w:rsidRPr="005A15BB">
        <w:rPr>
          <w:rFonts w:asciiTheme="minorHAnsi" w:hAnsiTheme="minorHAnsi"/>
          <w:b/>
          <w:sz w:val="22"/>
        </w:rPr>
        <w:t>50</w:t>
      </w:r>
      <w:r w:rsidRPr="005A15BB">
        <w:rPr>
          <w:rFonts w:asciiTheme="minorHAnsi" w:hAnsiTheme="minorHAnsi"/>
          <w:sz w:val="22"/>
        </w:rPr>
        <w:t>(272):1096-1121.</w:t>
      </w:r>
    </w:p>
    <w:p w14:paraId="1F2796D2" w14:textId="6A7EAE1E"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3.</w:t>
      </w:r>
      <w:r w:rsidRPr="005A15BB">
        <w:rPr>
          <w:rFonts w:asciiTheme="minorHAnsi" w:hAnsiTheme="minorHAnsi"/>
          <w:sz w:val="22"/>
        </w:rPr>
        <w:tab/>
      </w:r>
      <w:r w:rsidR="005A15BB" w:rsidRPr="005A15BB">
        <w:rPr>
          <w:rFonts w:asciiTheme="minorHAnsi" w:hAnsiTheme="minorHAnsi"/>
          <w:sz w:val="22"/>
        </w:rPr>
        <w:t xml:space="preserve">Maurissen JPJ, Hoberman AM, Garman RH, Hanley TR: </w:t>
      </w:r>
      <w:r w:rsidR="005A15BB" w:rsidRPr="005A15BB">
        <w:rPr>
          <w:rFonts w:asciiTheme="minorHAnsi" w:hAnsiTheme="minorHAnsi"/>
          <w:b/>
          <w:sz w:val="22"/>
        </w:rPr>
        <w:t>Lack of Selective Developmental Neurotoxicity in Rat Pups from Dams Treated by Gavage with Chlorpyrifos</w:t>
      </w:r>
      <w:r w:rsidR="005A15BB" w:rsidRPr="005A15BB">
        <w:rPr>
          <w:rFonts w:asciiTheme="minorHAnsi" w:hAnsiTheme="minorHAnsi"/>
          <w:sz w:val="22"/>
        </w:rPr>
        <w:t xml:space="preserve">. </w:t>
      </w:r>
      <w:r w:rsidR="005A15BB" w:rsidRPr="005A15BB">
        <w:rPr>
          <w:rFonts w:asciiTheme="minorHAnsi" w:hAnsiTheme="minorHAnsi"/>
          <w:i/>
          <w:sz w:val="22"/>
        </w:rPr>
        <w:t xml:space="preserve">Toxicol Sci </w:t>
      </w:r>
      <w:r w:rsidR="005A15BB" w:rsidRPr="005A15BB">
        <w:rPr>
          <w:rFonts w:asciiTheme="minorHAnsi" w:hAnsiTheme="minorHAnsi"/>
          <w:sz w:val="22"/>
        </w:rPr>
        <w:t xml:space="preserve">2000; </w:t>
      </w:r>
      <w:r w:rsidR="005A15BB" w:rsidRPr="005A15BB">
        <w:rPr>
          <w:rFonts w:asciiTheme="minorHAnsi" w:hAnsiTheme="minorHAnsi"/>
          <w:b/>
          <w:sz w:val="22"/>
        </w:rPr>
        <w:t>57</w:t>
      </w:r>
      <w:r w:rsidR="005A15BB" w:rsidRPr="005A15BB">
        <w:rPr>
          <w:rFonts w:asciiTheme="minorHAnsi" w:hAnsiTheme="minorHAnsi"/>
          <w:sz w:val="22"/>
        </w:rPr>
        <w:t>(2): 250-63.</w:t>
      </w:r>
    </w:p>
    <w:p w14:paraId="660BA430" w14:textId="63BC4F71"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4.</w:t>
      </w:r>
      <w:r w:rsidRPr="005A15BB">
        <w:rPr>
          <w:rFonts w:asciiTheme="minorHAnsi" w:hAnsiTheme="minorHAnsi"/>
          <w:sz w:val="22"/>
        </w:rPr>
        <w:tab/>
        <w:t xml:space="preserve">Li AA, Sheets LP, Raffaele K, Moser V, Hofstra A, Hoberman A, Makris SL, Garman R, Bolon B, Kaufmann W: </w:t>
      </w:r>
      <w:r w:rsidRPr="005A15BB">
        <w:rPr>
          <w:rFonts w:asciiTheme="minorHAnsi" w:hAnsiTheme="minorHAnsi"/>
          <w:b/>
          <w:sz w:val="22"/>
        </w:rPr>
        <w:t>Recommendations for harmonization of data collection and analysis of developmental neurotoxicity endpoints in regulatory guideline studies: Proceedings of workshops presented at Society of Toxicology and joint Teratology Society and Neurobehavioral Teratology Society meetings</w:t>
      </w:r>
      <w:r w:rsidRPr="005A15BB">
        <w:rPr>
          <w:rFonts w:asciiTheme="minorHAnsi" w:hAnsiTheme="minorHAnsi"/>
          <w:sz w:val="22"/>
        </w:rPr>
        <w:t xml:space="preserve">. </w:t>
      </w:r>
      <w:r w:rsidRPr="005A15BB">
        <w:rPr>
          <w:rFonts w:asciiTheme="minorHAnsi" w:hAnsiTheme="minorHAnsi"/>
          <w:i/>
          <w:sz w:val="22"/>
        </w:rPr>
        <w:t xml:space="preserve">Neurotoxicol teratol </w:t>
      </w:r>
      <w:r w:rsidRPr="005A15BB">
        <w:rPr>
          <w:rFonts w:asciiTheme="minorHAnsi" w:hAnsiTheme="minorHAnsi"/>
          <w:sz w:val="22"/>
        </w:rPr>
        <w:t xml:space="preserve">2017, </w:t>
      </w:r>
      <w:r w:rsidRPr="005A15BB">
        <w:rPr>
          <w:rFonts w:asciiTheme="minorHAnsi" w:hAnsiTheme="minorHAnsi"/>
          <w:b/>
          <w:sz w:val="22"/>
        </w:rPr>
        <w:t>63</w:t>
      </w:r>
      <w:r w:rsidRPr="005A15BB">
        <w:rPr>
          <w:rFonts w:asciiTheme="minorHAnsi" w:hAnsiTheme="minorHAnsi"/>
          <w:sz w:val="22"/>
        </w:rPr>
        <w:t>:24-45.</w:t>
      </w:r>
    </w:p>
    <w:p w14:paraId="07B963B1" w14:textId="08C0C7F7"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5.</w:t>
      </w:r>
      <w:r w:rsidRPr="005A15BB">
        <w:rPr>
          <w:rFonts w:asciiTheme="minorHAnsi" w:hAnsiTheme="minorHAnsi"/>
          <w:sz w:val="22"/>
        </w:rPr>
        <w:tab/>
        <w:t xml:space="preserve">US Environmental Protection Agency: </w:t>
      </w:r>
      <w:r w:rsidRPr="005A15BB">
        <w:rPr>
          <w:rFonts w:asciiTheme="minorHAnsi" w:hAnsiTheme="minorHAnsi"/>
          <w:b/>
          <w:sz w:val="22"/>
        </w:rPr>
        <w:t>Benchmark Dose Technical Guidance</w:t>
      </w:r>
      <w:r w:rsidR="005A15BB" w:rsidRPr="005A15BB">
        <w:rPr>
          <w:rFonts w:asciiTheme="minorHAnsi" w:hAnsiTheme="minorHAnsi"/>
          <w:b/>
          <w:sz w:val="22"/>
        </w:rPr>
        <w:t>,</w:t>
      </w:r>
      <w:r w:rsidRPr="005A15BB">
        <w:rPr>
          <w:rFonts w:asciiTheme="minorHAnsi" w:hAnsiTheme="minorHAnsi"/>
          <w:sz w:val="22"/>
        </w:rPr>
        <w:t xml:space="preserve"> 2012.</w:t>
      </w:r>
      <w:r w:rsidR="005A15BB" w:rsidRPr="005A15BB">
        <w:rPr>
          <w:rFonts w:asciiTheme="minorHAnsi" w:hAnsiTheme="minorHAnsi"/>
          <w:sz w:val="22"/>
        </w:rPr>
        <w:t xml:space="preserve"> https://www.epa.gov/sites/production/files/2015-01/documents/benchmark_dose_guidance.pdf</w:t>
      </w:r>
    </w:p>
    <w:p w14:paraId="2F101A45" w14:textId="77777777" w:rsidR="001E729B" w:rsidRPr="005A15BB" w:rsidRDefault="001E729B" w:rsidP="001E729B">
      <w:pPr>
        <w:pStyle w:val="EndNoteBibliography"/>
        <w:spacing w:after="0"/>
        <w:ind w:left="720" w:hanging="720"/>
        <w:rPr>
          <w:rFonts w:asciiTheme="minorHAnsi" w:hAnsiTheme="minorHAnsi"/>
          <w:sz w:val="22"/>
        </w:rPr>
      </w:pPr>
      <w:r w:rsidRPr="005A15BB">
        <w:rPr>
          <w:rFonts w:asciiTheme="minorHAnsi" w:hAnsiTheme="minorHAnsi"/>
          <w:sz w:val="22"/>
        </w:rPr>
        <w:t>6.</w:t>
      </w:r>
      <w:r w:rsidRPr="005A15BB">
        <w:rPr>
          <w:rFonts w:asciiTheme="minorHAnsi" w:hAnsiTheme="minorHAnsi"/>
          <w:sz w:val="22"/>
        </w:rPr>
        <w:tab/>
        <w:t xml:space="preserve">Garman RH, Li AA, Kaufmann W, Auer RN, Bolon B: </w:t>
      </w:r>
      <w:r w:rsidRPr="005A15BB">
        <w:rPr>
          <w:rFonts w:asciiTheme="minorHAnsi" w:hAnsiTheme="minorHAnsi"/>
          <w:b/>
          <w:sz w:val="22"/>
        </w:rPr>
        <w:t>Recommended methods for brain processing and quantitative analysis in rodent developmental neurotoxicity studies</w:t>
      </w:r>
      <w:r w:rsidRPr="005A15BB">
        <w:rPr>
          <w:rFonts w:asciiTheme="minorHAnsi" w:hAnsiTheme="minorHAnsi"/>
          <w:sz w:val="22"/>
        </w:rPr>
        <w:t xml:space="preserve">. </w:t>
      </w:r>
      <w:r w:rsidRPr="005A15BB">
        <w:rPr>
          <w:rFonts w:asciiTheme="minorHAnsi" w:hAnsiTheme="minorHAnsi"/>
          <w:i/>
          <w:sz w:val="22"/>
        </w:rPr>
        <w:t xml:space="preserve">Toxicol Pathol </w:t>
      </w:r>
      <w:r w:rsidRPr="005A15BB">
        <w:rPr>
          <w:rFonts w:asciiTheme="minorHAnsi" w:hAnsiTheme="minorHAnsi"/>
          <w:sz w:val="22"/>
        </w:rPr>
        <w:t xml:space="preserve">2016, </w:t>
      </w:r>
      <w:r w:rsidRPr="005A15BB">
        <w:rPr>
          <w:rFonts w:asciiTheme="minorHAnsi" w:hAnsiTheme="minorHAnsi"/>
          <w:b/>
          <w:sz w:val="22"/>
        </w:rPr>
        <w:t>44</w:t>
      </w:r>
      <w:r w:rsidRPr="005A15BB">
        <w:rPr>
          <w:rFonts w:asciiTheme="minorHAnsi" w:hAnsiTheme="minorHAnsi"/>
          <w:sz w:val="22"/>
        </w:rPr>
        <w:t>(1):14-42.</w:t>
      </w:r>
    </w:p>
    <w:p w14:paraId="21028AE9" w14:textId="24DA35BD" w:rsidR="001E729B" w:rsidRPr="00C5758C" w:rsidRDefault="001E729B" w:rsidP="001E729B">
      <w:pPr>
        <w:pStyle w:val="EndNoteBibliography"/>
        <w:spacing w:after="0"/>
        <w:ind w:left="720" w:hanging="720"/>
        <w:rPr>
          <w:rFonts w:asciiTheme="minorHAnsi" w:hAnsiTheme="minorHAnsi"/>
          <w:sz w:val="22"/>
          <w:lang w:val="sv-SE"/>
        </w:rPr>
      </w:pPr>
      <w:r w:rsidRPr="005A15BB">
        <w:rPr>
          <w:rFonts w:asciiTheme="minorHAnsi" w:hAnsiTheme="minorHAnsi"/>
          <w:sz w:val="22"/>
        </w:rPr>
        <w:t>7.</w:t>
      </w:r>
      <w:r w:rsidRPr="005A15BB">
        <w:rPr>
          <w:rFonts w:asciiTheme="minorHAnsi" w:hAnsiTheme="minorHAnsi"/>
          <w:sz w:val="22"/>
        </w:rPr>
        <w:tab/>
        <w:t xml:space="preserve">US Environmental Protection Agency: </w:t>
      </w:r>
      <w:r w:rsidRPr="005A15BB">
        <w:rPr>
          <w:rFonts w:asciiTheme="minorHAnsi" w:hAnsiTheme="minorHAnsi"/>
          <w:b/>
          <w:sz w:val="22"/>
        </w:rPr>
        <w:t xml:space="preserve">Chlorpyrifos: Revised Human Health Risk Assessment for Registration Review. </w:t>
      </w:r>
      <w:r w:rsidRPr="00C5758C">
        <w:rPr>
          <w:rFonts w:asciiTheme="minorHAnsi" w:hAnsiTheme="minorHAnsi"/>
          <w:b/>
          <w:sz w:val="22"/>
          <w:lang w:val="sv-SE"/>
        </w:rPr>
        <w:t>EPA-HQ-OPP-2008-0850-0195</w:t>
      </w:r>
      <w:r w:rsidR="005A15BB" w:rsidRPr="00C5758C">
        <w:rPr>
          <w:rFonts w:asciiTheme="minorHAnsi" w:hAnsiTheme="minorHAnsi"/>
          <w:sz w:val="22"/>
          <w:lang w:val="sv-SE"/>
        </w:rPr>
        <w:t>,</w:t>
      </w:r>
      <w:r w:rsidRPr="00C5758C">
        <w:rPr>
          <w:rFonts w:asciiTheme="minorHAnsi" w:hAnsiTheme="minorHAnsi"/>
          <w:sz w:val="22"/>
          <w:lang w:val="sv-SE"/>
        </w:rPr>
        <w:t xml:space="preserve"> 2014.</w:t>
      </w:r>
      <w:r w:rsidR="005A15BB" w:rsidRPr="00C5758C">
        <w:rPr>
          <w:rFonts w:asciiTheme="minorHAnsi" w:hAnsiTheme="minorHAnsi"/>
          <w:sz w:val="22"/>
          <w:lang w:val="sv-SE"/>
        </w:rPr>
        <w:t xml:space="preserve"> https://www.regulations.gov/document?D=EPA-HQ-OPP-2008-0850-0195</w:t>
      </w:r>
    </w:p>
    <w:p w14:paraId="4D4BDD00" w14:textId="77777777" w:rsidR="005A15BB" w:rsidRPr="00C5758C" w:rsidRDefault="001E729B" w:rsidP="005A15BB">
      <w:pPr>
        <w:pStyle w:val="EndNoteBibliography"/>
        <w:spacing w:after="0"/>
        <w:ind w:left="720" w:hanging="720"/>
        <w:rPr>
          <w:rFonts w:asciiTheme="minorHAnsi" w:hAnsiTheme="minorHAnsi"/>
          <w:sz w:val="22"/>
          <w:lang w:val="sv-SE"/>
        </w:rPr>
      </w:pPr>
      <w:r w:rsidRPr="005A15BB">
        <w:rPr>
          <w:rFonts w:asciiTheme="minorHAnsi" w:hAnsiTheme="minorHAnsi"/>
          <w:sz w:val="22"/>
        </w:rPr>
        <w:t>8.</w:t>
      </w:r>
      <w:r w:rsidRPr="005A15BB">
        <w:rPr>
          <w:rFonts w:asciiTheme="minorHAnsi" w:hAnsiTheme="minorHAnsi"/>
          <w:sz w:val="22"/>
        </w:rPr>
        <w:tab/>
        <w:t xml:space="preserve">US Environmental Protection Agency: </w:t>
      </w:r>
      <w:r w:rsidRPr="005A15BB">
        <w:rPr>
          <w:rFonts w:asciiTheme="minorHAnsi" w:hAnsiTheme="minorHAnsi"/>
          <w:b/>
          <w:sz w:val="22"/>
        </w:rPr>
        <w:t xml:space="preserve">Chlorpyrifos: Revised Human Health Risk Assessment for Registration Review. </w:t>
      </w:r>
      <w:r w:rsidRPr="00C5758C">
        <w:rPr>
          <w:rFonts w:asciiTheme="minorHAnsi" w:hAnsiTheme="minorHAnsi"/>
          <w:b/>
          <w:sz w:val="22"/>
          <w:lang w:val="sv-SE"/>
        </w:rPr>
        <w:t>EPA-HQ-OPP-2015-0653-0454</w:t>
      </w:r>
      <w:r w:rsidR="005A15BB" w:rsidRPr="00C5758C">
        <w:rPr>
          <w:rFonts w:asciiTheme="minorHAnsi" w:hAnsiTheme="minorHAnsi"/>
          <w:sz w:val="22"/>
          <w:lang w:val="sv-SE"/>
        </w:rPr>
        <w:t>,</w:t>
      </w:r>
      <w:r w:rsidRPr="00C5758C">
        <w:rPr>
          <w:rFonts w:asciiTheme="minorHAnsi" w:hAnsiTheme="minorHAnsi"/>
          <w:sz w:val="22"/>
          <w:lang w:val="sv-SE"/>
        </w:rPr>
        <w:t xml:space="preserve"> 2016.</w:t>
      </w:r>
      <w:r w:rsidR="005A15BB" w:rsidRPr="00C5758C">
        <w:rPr>
          <w:rFonts w:asciiTheme="minorHAnsi" w:hAnsiTheme="minorHAnsi"/>
          <w:sz w:val="22"/>
          <w:lang w:val="sv-SE"/>
        </w:rPr>
        <w:t xml:space="preserve"> https://www.regulations.gov/document?D=EPA-HQ-OPP-2015-0653-0454</w:t>
      </w:r>
    </w:p>
    <w:p w14:paraId="77717591" w14:textId="695DC498" w:rsidR="001E729B" w:rsidRPr="00C5758C" w:rsidRDefault="001E729B" w:rsidP="001E729B">
      <w:pPr>
        <w:pStyle w:val="EndNoteBibliography"/>
        <w:ind w:left="720" w:hanging="720"/>
        <w:rPr>
          <w:rFonts w:asciiTheme="minorHAnsi" w:hAnsiTheme="minorHAnsi"/>
          <w:sz w:val="22"/>
          <w:lang w:val="sv-SE"/>
        </w:rPr>
      </w:pPr>
    </w:p>
    <w:p w14:paraId="76D79C3B" w14:textId="497612B4" w:rsidR="009D45F6" w:rsidRPr="00C5758C" w:rsidRDefault="009D45F6" w:rsidP="003860FB">
      <w:pPr>
        <w:spacing w:line="480" w:lineRule="auto"/>
        <w:rPr>
          <w:lang w:val="sv-SE"/>
        </w:rPr>
      </w:pPr>
    </w:p>
    <w:sectPr w:rsidR="009D45F6" w:rsidRPr="00C5758C" w:rsidSect="003860FB">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B339D" w14:textId="77777777" w:rsidR="00C627FD" w:rsidRDefault="00C627FD">
      <w:r>
        <w:separator/>
      </w:r>
    </w:p>
  </w:endnote>
  <w:endnote w:type="continuationSeparator" w:id="0">
    <w:p w14:paraId="4C05A926" w14:textId="77777777" w:rsidR="00C627FD" w:rsidRDefault="00C6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EE35E" w14:textId="77777777" w:rsidR="001251F6" w:rsidRDefault="001251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8EA3E" w14:textId="61958FD9" w:rsidR="00F125EE" w:rsidRDefault="00114193">
    <w:pPr>
      <w:pStyle w:val="Footer"/>
      <w:jc w:val="right"/>
    </w:pPr>
    <w:r>
      <w:fldChar w:fldCharType="begin"/>
    </w:r>
    <w:r>
      <w:instrText xml:space="preserve"> PAGE   \* MERGEFORMAT </w:instrText>
    </w:r>
    <w:r>
      <w:fldChar w:fldCharType="separate"/>
    </w:r>
    <w:r w:rsidR="00551FE4">
      <w:rPr>
        <w:noProof/>
      </w:rPr>
      <w:t>1</w:t>
    </w:r>
    <w:r>
      <w:fldChar w:fldCharType="end"/>
    </w:r>
  </w:p>
  <w:p w14:paraId="211F3547" w14:textId="77777777" w:rsidR="00F125EE" w:rsidRDefault="00F125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610B8" w14:textId="77777777" w:rsidR="001251F6" w:rsidRDefault="001251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417A8" w14:textId="77777777" w:rsidR="00C627FD" w:rsidRDefault="00C627FD">
      <w:r>
        <w:separator/>
      </w:r>
    </w:p>
  </w:footnote>
  <w:footnote w:type="continuationSeparator" w:id="0">
    <w:p w14:paraId="465C29D9" w14:textId="77777777" w:rsidR="00C627FD" w:rsidRDefault="00C627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D8549" w14:textId="77777777" w:rsidR="001251F6" w:rsidRDefault="001251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1F95" w14:textId="77777777" w:rsidR="003A2FD8" w:rsidRPr="005001AC" w:rsidRDefault="003A2FD8" w:rsidP="005001AC">
    <w:pPr>
      <w:jc w:val="right"/>
      <w:rPr>
        <w:sz w:val="20"/>
      </w:rPr>
    </w:pPr>
  </w:p>
  <w:p w14:paraId="3CD866EE" w14:textId="77777777" w:rsidR="003A2FD8" w:rsidRDefault="003A2FD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2AEAF" w14:textId="77777777" w:rsidR="001251F6" w:rsidRDefault="001251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Heal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psvt0pmt5rz6erreoptvxjefvzvwzrrxz0&quot;&gt;allreferences&lt;record-ids&gt;&lt;item&gt;337&lt;/item&gt;&lt;item&gt;1163&lt;/item&gt;&lt;item&gt;1182&lt;/item&gt;&lt;item&gt;1202&lt;/item&gt;&lt;item&gt;1203&lt;/item&gt;&lt;item&gt;1212&lt;/item&gt;&lt;item&gt;1214&lt;/item&gt;&lt;item&gt;1237&lt;/item&gt;&lt;/record-ids&gt;&lt;/item&gt;&lt;/Libraries&gt;"/>
  </w:docVars>
  <w:rsids>
    <w:rsidRoot w:val="002C030F"/>
    <w:rsid w:val="00015F74"/>
    <w:rsid w:val="00045613"/>
    <w:rsid w:val="00055EF7"/>
    <w:rsid w:val="00065EBD"/>
    <w:rsid w:val="00083B44"/>
    <w:rsid w:val="000850DC"/>
    <w:rsid w:val="000C2771"/>
    <w:rsid w:val="000D46F4"/>
    <w:rsid w:val="000F0DCE"/>
    <w:rsid w:val="000F6BE3"/>
    <w:rsid w:val="00112C5B"/>
    <w:rsid w:val="00114193"/>
    <w:rsid w:val="00115A38"/>
    <w:rsid w:val="0011687B"/>
    <w:rsid w:val="00124F82"/>
    <w:rsid w:val="001251F6"/>
    <w:rsid w:val="0016337A"/>
    <w:rsid w:val="00164269"/>
    <w:rsid w:val="001A1BDE"/>
    <w:rsid w:val="001E729B"/>
    <w:rsid w:val="001F0876"/>
    <w:rsid w:val="001F167C"/>
    <w:rsid w:val="001F5E91"/>
    <w:rsid w:val="00204D10"/>
    <w:rsid w:val="002077B9"/>
    <w:rsid w:val="00262D72"/>
    <w:rsid w:val="00294FBB"/>
    <w:rsid w:val="002C030F"/>
    <w:rsid w:val="002D2ECC"/>
    <w:rsid w:val="002D5844"/>
    <w:rsid w:val="002E2E17"/>
    <w:rsid w:val="00331D75"/>
    <w:rsid w:val="003442F0"/>
    <w:rsid w:val="00355362"/>
    <w:rsid w:val="00363E44"/>
    <w:rsid w:val="003727C9"/>
    <w:rsid w:val="003860FB"/>
    <w:rsid w:val="00395E86"/>
    <w:rsid w:val="003A29F8"/>
    <w:rsid w:val="003A2FD8"/>
    <w:rsid w:val="003B40E6"/>
    <w:rsid w:val="003E74FB"/>
    <w:rsid w:val="003F6E14"/>
    <w:rsid w:val="00405336"/>
    <w:rsid w:val="004571D5"/>
    <w:rsid w:val="00461D81"/>
    <w:rsid w:val="0046356B"/>
    <w:rsid w:val="00477182"/>
    <w:rsid w:val="004779CB"/>
    <w:rsid w:val="0049643D"/>
    <w:rsid w:val="004E42D8"/>
    <w:rsid w:val="004E7BA2"/>
    <w:rsid w:val="004F0BD6"/>
    <w:rsid w:val="004F7EDF"/>
    <w:rsid w:val="005001AC"/>
    <w:rsid w:val="00527D71"/>
    <w:rsid w:val="00551FE4"/>
    <w:rsid w:val="005520A8"/>
    <w:rsid w:val="005607DD"/>
    <w:rsid w:val="005651B4"/>
    <w:rsid w:val="005A15BB"/>
    <w:rsid w:val="005A558C"/>
    <w:rsid w:val="005E28F8"/>
    <w:rsid w:val="005E6513"/>
    <w:rsid w:val="00651114"/>
    <w:rsid w:val="00656559"/>
    <w:rsid w:val="00664560"/>
    <w:rsid w:val="00670299"/>
    <w:rsid w:val="00691985"/>
    <w:rsid w:val="006A1B64"/>
    <w:rsid w:val="006A58B7"/>
    <w:rsid w:val="006E4B47"/>
    <w:rsid w:val="007108F5"/>
    <w:rsid w:val="00713E5B"/>
    <w:rsid w:val="00730467"/>
    <w:rsid w:val="007402FC"/>
    <w:rsid w:val="007411A1"/>
    <w:rsid w:val="00793072"/>
    <w:rsid w:val="00797E54"/>
    <w:rsid w:val="00807D35"/>
    <w:rsid w:val="008218C4"/>
    <w:rsid w:val="00867A98"/>
    <w:rsid w:val="00870867"/>
    <w:rsid w:val="00885C9B"/>
    <w:rsid w:val="008D5D2A"/>
    <w:rsid w:val="008F0B97"/>
    <w:rsid w:val="00914B63"/>
    <w:rsid w:val="009354F3"/>
    <w:rsid w:val="009447DC"/>
    <w:rsid w:val="00961630"/>
    <w:rsid w:val="00961BA5"/>
    <w:rsid w:val="009743A9"/>
    <w:rsid w:val="009A5287"/>
    <w:rsid w:val="009B2AC5"/>
    <w:rsid w:val="009B7984"/>
    <w:rsid w:val="009D45F6"/>
    <w:rsid w:val="009F4BED"/>
    <w:rsid w:val="009F7D93"/>
    <w:rsid w:val="00A3403B"/>
    <w:rsid w:val="00A51A12"/>
    <w:rsid w:val="00A627D4"/>
    <w:rsid w:val="00A74DA2"/>
    <w:rsid w:val="00AB399E"/>
    <w:rsid w:val="00AC59D0"/>
    <w:rsid w:val="00AD16B1"/>
    <w:rsid w:val="00AD499C"/>
    <w:rsid w:val="00B24BF7"/>
    <w:rsid w:val="00B36869"/>
    <w:rsid w:val="00B43B31"/>
    <w:rsid w:val="00B47CFA"/>
    <w:rsid w:val="00B57F00"/>
    <w:rsid w:val="00B764F7"/>
    <w:rsid w:val="00B77B2A"/>
    <w:rsid w:val="00B82C22"/>
    <w:rsid w:val="00B93DBA"/>
    <w:rsid w:val="00B9440A"/>
    <w:rsid w:val="00BB2D2A"/>
    <w:rsid w:val="00BC3E04"/>
    <w:rsid w:val="00BD58CF"/>
    <w:rsid w:val="00BF0C92"/>
    <w:rsid w:val="00C04CC1"/>
    <w:rsid w:val="00C4096C"/>
    <w:rsid w:val="00C50C6D"/>
    <w:rsid w:val="00C5758C"/>
    <w:rsid w:val="00C600D9"/>
    <w:rsid w:val="00C627FD"/>
    <w:rsid w:val="00C92B22"/>
    <w:rsid w:val="00CA2DDF"/>
    <w:rsid w:val="00CC1384"/>
    <w:rsid w:val="00CD3720"/>
    <w:rsid w:val="00CF1848"/>
    <w:rsid w:val="00CF5C2F"/>
    <w:rsid w:val="00D04BCF"/>
    <w:rsid w:val="00D143D9"/>
    <w:rsid w:val="00D5511B"/>
    <w:rsid w:val="00D714E6"/>
    <w:rsid w:val="00D766F1"/>
    <w:rsid w:val="00DA53AE"/>
    <w:rsid w:val="00DB53F2"/>
    <w:rsid w:val="00DD4F07"/>
    <w:rsid w:val="00E216C8"/>
    <w:rsid w:val="00E257C8"/>
    <w:rsid w:val="00E41512"/>
    <w:rsid w:val="00E4519A"/>
    <w:rsid w:val="00E5111B"/>
    <w:rsid w:val="00E853D5"/>
    <w:rsid w:val="00E873DD"/>
    <w:rsid w:val="00E9773B"/>
    <w:rsid w:val="00EA6F42"/>
    <w:rsid w:val="00EC1239"/>
    <w:rsid w:val="00EC13A3"/>
    <w:rsid w:val="00EC7C85"/>
    <w:rsid w:val="00F125EE"/>
    <w:rsid w:val="00F12E98"/>
    <w:rsid w:val="00F22029"/>
    <w:rsid w:val="00F515FB"/>
    <w:rsid w:val="00F630EA"/>
    <w:rsid w:val="00F65F75"/>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C59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link w:val="SMSubheadingChar"/>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customStyle="1" w:styleId="UnresolvedMention">
    <w:name w:val="Unresolved Mention"/>
    <w:basedOn w:val="DefaultParagraphFont"/>
    <w:uiPriority w:val="99"/>
    <w:semiHidden/>
    <w:unhideWhenUsed/>
    <w:rsid w:val="008218C4"/>
    <w:rPr>
      <w:color w:val="808080"/>
      <w:shd w:val="clear" w:color="auto" w:fill="E6E6E6"/>
    </w:rPr>
  </w:style>
  <w:style w:type="paragraph" w:customStyle="1" w:styleId="EndNoteBibliography">
    <w:name w:val="EndNote Bibliography"/>
    <w:basedOn w:val="Normal"/>
    <w:link w:val="EndNoteBibliographyChar"/>
    <w:rsid w:val="009D45F6"/>
    <w:pPr>
      <w:spacing w:after="160"/>
    </w:pPr>
    <w:rPr>
      <w:rFonts w:eastAsiaTheme="minorHAnsi"/>
      <w:noProof/>
      <w:szCs w:val="22"/>
    </w:rPr>
  </w:style>
  <w:style w:type="character" w:customStyle="1" w:styleId="EndNoteBibliographyChar">
    <w:name w:val="EndNote Bibliography Char"/>
    <w:basedOn w:val="DefaultParagraphFont"/>
    <w:link w:val="EndNoteBibliography"/>
    <w:rsid w:val="009D45F6"/>
    <w:rPr>
      <w:rFonts w:eastAsiaTheme="minorHAnsi"/>
      <w:noProof/>
      <w:sz w:val="24"/>
      <w:szCs w:val="22"/>
    </w:rPr>
  </w:style>
  <w:style w:type="paragraph" w:customStyle="1" w:styleId="EndNoteBibliographyTitle">
    <w:name w:val="EndNote Bibliography Title"/>
    <w:basedOn w:val="Normal"/>
    <w:link w:val="EndNoteBibliographyTitleChar"/>
    <w:rsid w:val="00730467"/>
    <w:pPr>
      <w:jc w:val="center"/>
    </w:pPr>
    <w:rPr>
      <w:noProof/>
    </w:rPr>
  </w:style>
  <w:style w:type="character" w:customStyle="1" w:styleId="SMSubheadingChar">
    <w:name w:val="SM Subheading Char"/>
    <w:basedOn w:val="DefaultParagraphFont"/>
    <w:link w:val="SMSubheading"/>
    <w:rsid w:val="00730467"/>
    <w:rPr>
      <w:sz w:val="24"/>
      <w:u w:val="words"/>
    </w:rPr>
  </w:style>
  <w:style w:type="character" w:customStyle="1" w:styleId="EndNoteBibliographyTitleChar">
    <w:name w:val="EndNote Bibliography Title Char"/>
    <w:basedOn w:val="SMSubheadingChar"/>
    <w:link w:val="EndNoteBibliographyTitle"/>
    <w:rsid w:val="00730467"/>
    <w:rPr>
      <w:noProof/>
      <w:sz w:val="24"/>
      <w:u w:val="word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5155</Characters>
  <Application>Microsoft Office Word</Application>
  <DocSecurity>0</DocSecurity>
  <Lines>42</Lines>
  <Paragraphs>12</Paragraphs>
  <ScaleCrop>false</ScaleCrop>
  <Company/>
  <LinksUpToDate>false</LinksUpToDate>
  <CharactersWithSpaces>6004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2018-11-01T17:31:00Z</dcterms:created>
  <dcterms:modified xsi:type="dcterms:W3CDTF">2018-11-01T17:35:00Z</dcterms:modified>
</cp:coreProperties>
</file>