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DC544" w14:textId="4BD62881" w:rsidR="00082177" w:rsidRDefault="006E1D95" w:rsidP="00A75339">
      <w:pPr>
        <w:jc w:val="center"/>
        <w:rPr>
          <w:b/>
          <w:bCs/>
        </w:rPr>
      </w:pPr>
      <w:r w:rsidRPr="00BF70F9">
        <w:rPr>
          <w:b/>
          <w:bCs/>
        </w:rPr>
        <w:t>Supplementary Appendix</w:t>
      </w:r>
    </w:p>
    <w:p w14:paraId="71DCBD71" w14:textId="77777777" w:rsidR="00A75339" w:rsidRPr="00BF70F9" w:rsidRDefault="00A75339" w:rsidP="00A75339">
      <w:pPr>
        <w:jc w:val="center"/>
        <w:rPr>
          <w:b/>
          <w:bCs/>
        </w:rPr>
      </w:pPr>
    </w:p>
    <w:p w14:paraId="567495DF" w14:textId="126BC589" w:rsidR="00082177" w:rsidRPr="00BF70F9" w:rsidRDefault="006E1D95" w:rsidP="00A75339">
      <w:pPr>
        <w:spacing w:line="360" w:lineRule="auto"/>
        <w:rPr>
          <w:b/>
          <w:bCs/>
        </w:rPr>
      </w:pPr>
      <w:r w:rsidRPr="00BF70F9">
        <w:rPr>
          <w:b/>
          <w:bCs/>
        </w:rPr>
        <w:t>Bisphenol A shapes children’s brain and behavior: Towards an integrated neurotoxicity assessment including human data</w:t>
      </w:r>
    </w:p>
    <w:p w14:paraId="430EFDDB" w14:textId="4B85DA08" w:rsidR="00082177" w:rsidRPr="007C485D" w:rsidRDefault="00082177" w:rsidP="00082177">
      <w:pPr>
        <w:spacing w:line="360" w:lineRule="auto"/>
        <w:jc w:val="center"/>
      </w:pPr>
      <w:r w:rsidRPr="007C485D">
        <w:t>Vicente Mustieles &amp; Mariana F. Fernández</w:t>
      </w:r>
    </w:p>
    <w:p w14:paraId="690A46C3" w14:textId="3866BDD6" w:rsidR="00BF70F9" w:rsidRPr="007C485D" w:rsidRDefault="00BF70F9" w:rsidP="00082177">
      <w:pPr>
        <w:spacing w:line="360" w:lineRule="auto"/>
        <w:jc w:val="center"/>
        <w:rPr>
          <w:b/>
          <w:bCs/>
        </w:rPr>
      </w:pPr>
    </w:p>
    <w:p w14:paraId="45BF8916" w14:textId="20149723" w:rsidR="006E1D95" w:rsidRPr="004C5DDE" w:rsidRDefault="00BF70F9" w:rsidP="00BF70F9">
      <w:pPr>
        <w:rPr>
          <w:b/>
          <w:bCs/>
          <w:sz w:val="20"/>
          <w:szCs w:val="20"/>
        </w:rPr>
      </w:pPr>
      <w:r w:rsidRPr="004C5DDE">
        <w:rPr>
          <w:b/>
          <w:bCs/>
        </w:rPr>
        <w:t>Supplemental Table 1.</w:t>
      </w:r>
      <w:r w:rsidRPr="004C5DDE">
        <w:t xml:space="preserve"> Summary of results reported in mother-child cohorts addressing the relationship between prenatal urinary BPA concentrations and children’s behavior.</w:t>
      </w:r>
      <w:r w:rsidR="004B692A" w:rsidRPr="004C5DDE">
        <w:t xml:space="preserve"> </w:t>
      </w:r>
    </w:p>
    <w:p w14:paraId="7B48A5AF" w14:textId="77777777" w:rsidR="00BF70F9" w:rsidRPr="00BF70F9" w:rsidRDefault="00BF70F9" w:rsidP="00BF70F9">
      <w:pPr>
        <w:rPr>
          <w:b/>
          <w:bCs/>
          <w:sz w:val="20"/>
          <w:szCs w:val="20"/>
        </w:rPr>
      </w:pPr>
    </w:p>
    <w:p w14:paraId="2B840AE9" w14:textId="171C9E36" w:rsidR="00BF70F9" w:rsidRPr="00BF70F9" w:rsidRDefault="00BF70F9" w:rsidP="00BF70F9">
      <w:r w:rsidRPr="00BF70F9">
        <w:rPr>
          <w:b/>
          <w:bCs/>
        </w:rPr>
        <w:t>Supplemental Table 2.</w:t>
      </w:r>
      <w:r w:rsidRPr="00BF70F9">
        <w:t xml:space="preserve"> Comparison of prenatal </w:t>
      </w:r>
      <w:r w:rsidRPr="0013062F">
        <w:rPr>
          <w:i/>
          <w:iCs/>
        </w:rPr>
        <w:t>vs.</w:t>
      </w:r>
      <w:r w:rsidRPr="00BF70F9">
        <w:t xml:space="preserve"> postnatal associations between urinary BPA concentrations and children’s behavior.</w:t>
      </w:r>
    </w:p>
    <w:p w14:paraId="39828E5E" w14:textId="03A36763" w:rsidR="006E1D95" w:rsidRDefault="006E1D95">
      <w:pPr>
        <w:rPr>
          <w:b/>
          <w:bCs/>
        </w:rPr>
      </w:pPr>
    </w:p>
    <w:p w14:paraId="708DA3EA" w14:textId="068A4BAA" w:rsidR="006E1D95" w:rsidRDefault="00BF70F9">
      <w:r w:rsidRPr="00BF70F9">
        <w:rPr>
          <w:b/>
          <w:bCs/>
        </w:rPr>
        <w:t>Supplemental Table 3.</w:t>
      </w:r>
      <w:r w:rsidRPr="00BF70F9">
        <w:t xml:space="preserve"> Comparison of associations among the cohorts that assessed both cognitive </w:t>
      </w:r>
      <w:r w:rsidR="0013062F">
        <w:t>and other behavioral outcomes</w:t>
      </w:r>
      <w:r w:rsidRPr="00BF70F9">
        <w:t xml:space="preserve"> in relation to prenatal and/or postnatal BPA exposure.</w:t>
      </w:r>
    </w:p>
    <w:p w14:paraId="7A593B8D" w14:textId="3046FC34" w:rsidR="00BF70F9" w:rsidRDefault="00BF70F9"/>
    <w:p w14:paraId="2E461E26" w14:textId="791BBE76" w:rsidR="00BF70F9" w:rsidRPr="00BF70F9" w:rsidRDefault="00BF70F9">
      <w:pPr>
        <w:rPr>
          <w:b/>
          <w:bCs/>
        </w:rPr>
      </w:pPr>
      <w:r w:rsidRPr="00BF70F9">
        <w:rPr>
          <w:b/>
          <w:bCs/>
        </w:rPr>
        <w:t>References.</w:t>
      </w:r>
    </w:p>
    <w:p w14:paraId="2A697F21" w14:textId="77777777" w:rsidR="006E1D95" w:rsidRDefault="006E1D95">
      <w:pPr>
        <w:rPr>
          <w:b/>
          <w:bCs/>
        </w:rPr>
      </w:pPr>
    </w:p>
    <w:p w14:paraId="02634EF7" w14:textId="77777777" w:rsidR="006E1D95" w:rsidRDefault="006E1D95">
      <w:pPr>
        <w:rPr>
          <w:b/>
          <w:bCs/>
        </w:rPr>
      </w:pPr>
    </w:p>
    <w:p w14:paraId="3CBA8003" w14:textId="77777777" w:rsidR="006E1D95" w:rsidRDefault="006E1D95">
      <w:pPr>
        <w:rPr>
          <w:b/>
          <w:bCs/>
        </w:rPr>
      </w:pPr>
    </w:p>
    <w:p w14:paraId="44B1F55C" w14:textId="77777777" w:rsidR="006E1D95" w:rsidRDefault="006E1D95">
      <w:pPr>
        <w:rPr>
          <w:b/>
          <w:bCs/>
        </w:rPr>
      </w:pPr>
    </w:p>
    <w:p w14:paraId="06175E6D" w14:textId="77777777" w:rsidR="006E1D95" w:rsidRDefault="006E1D95">
      <w:pPr>
        <w:rPr>
          <w:b/>
          <w:bCs/>
        </w:rPr>
      </w:pPr>
    </w:p>
    <w:p w14:paraId="70E42439" w14:textId="77777777" w:rsidR="006E1D95" w:rsidRDefault="006E1D95">
      <w:pPr>
        <w:rPr>
          <w:b/>
          <w:bCs/>
        </w:rPr>
      </w:pPr>
    </w:p>
    <w:p w14:paraId="11D166CB" w14:textId="77777777" w:rsidR="006E1D95" w:rsidRDefault="006E1D95">
      <w:pPr>
        <w:rPr>
          <w:b/>
          <w:bCs/>
        </w:rPr>
      </w:pPr>
    </w:p>
    <w:p w14:paraId="0F0E0106" w14:textId="77777777" w:rsidR="006E1D95" w:rsidRDefault="006E1D95">
      <w:pPr>
        <w:rPr>
          <w:b/>
          <w:bCs/>
        </w:rPr>
      </w:pPr>
    </w:p>
    <w:p w14:paraId="598E7377" w14:textId="77777777" w:rsidR="006E1D95" w:rsidRDefault="006E1D95">
      <w:pPr>
        <w:rPr>
          <w:b/>
          <w:bCs/>
        </w:rPr>
      </w:pPr>
    </w:p>
    <w:p w14:paraId="4B532932" w14:textId="77777777" w:rsidR="006E1D95" w:rsidRDefault="006E1D95">
      <w:pPr>
        <w:rPr>
          <w:b/>
          <w:bCs/>
        </w:rPr>
      </w:pPr>
    </w:p>
    <w:p w14:paraId="15DAAF01" w14:textId="77777777" w:rsidR="006E1D95" w:rsidRDefault="006E1D95">
      <w:pPr>
        <w:rPr>
          <w:b/>
          <w:bCs/>
        </w:rPr>
      </w:pPr>
    </w:p>
    <w:p w14:paraId="07585EBA" w14:textId="77777777" w:rsidR="006E1D95" w:rsidRDefault="006E1D95">
      <w:pPr>
        <w:rPr>
          <w:b/>
          <w:bCs/>
        </w:rPr>
      </w:pPr>
    </w:p>
    <w:p w14:paraId="4DDD7EC6" w14:textId="3066F51D" w:rsidR="00BF70F9" w:rsidRDefault="00BF70F9" w:rsidP="006E4195">
      <w:pPr>
        <w:rPr>
          <w:b/>
          <w:bCs/>
        </w:rPr>
      </w:pPr>
    </w:p>
    <w:p w14:paraId="78D62822" w14:textId="3C5C9D6C" w:rsidR="006E4195" w:rsidRDefault="006E4195" w:rsidP="006E4195">
      <w:pPr>
        <w:rPr>
          <w:b/>
          <w:bCs/>
        </w:rPr>
      </w:pPr>
    </w:p>
    <w:p w14:paraId="48101E5D" w14:textId="77777777" w:rsidR="00A75339" w:rsidRDefault="00A75339" w:rsidP="006E4195">
      <w:pPr>
        <w:rPr>
          <w:b/>
          <w:bCs/>
        </w:rPr>
      </w:pPr>
    </w:p>
    <w:p w14:paraId="010CC266" w14:textId="6FE45E45" w:rsidR="000E7742" w:rsidRPr="003B2170" w:rsidRDefault="00BF70F9">
      <w:bookmarkStart w:id="0" w:name="_Hlk35599856"/>
      <w:r>
        <w:rPr>
          <w:b/>
          <w:bCs/>
        </w:rPr>
        <w:lastRenderedPageBreak/>
        <w:t>Supplemental T</w:t>
      </w:r>
      <w:r w:rsidR="000E7742" w:rsidRPr="000E7742">
        <w:rPr>
          <w:b/>
          <w:bCs/>
        </w:rPr>
        <w:t xml:space="preserve">able 1. </w:t>
      </w:r>
      <w:r w:rsidR="000E7742" w:rsidRPr="003B2170">
        <w:t>Summary of results reported in mother-child cohorts addressing the relationship between prenatal urinary BPA concentrations and children’s behavior.</w:t>
      </w:r>
    </w:p>
    <w:tbl>
      <w:tblPr>
        <w:tblStyle w:val="TableGrid"/>
        <w:tblW w:w="9185" w:type="dxa"/>
        <w:jc w:val="center"/>
        <w:tblLook w:val="04A0" w:firstRow="1" w:lastRow="0" w:firstColumn="1" w:lastColumn="0" w:noHBand="0" w:noVBand="1"/>
      </w:tblPr>
      <w:tblGrid>
        <w:gridCol w:w="2335"/>
        <w:gridCol w:w="900"/>
        <w:gridCol w:w="1404"/>
        <w:gridCol w:w="1576"/>
        <w:gridCol w:w="1980"/>
        <w:gridCol w:w="990"/>
      </w:tblGrid>
      <w:tr w:rsidR="007C485D" w14:paraId="16A89FC8" w14:textId="77777777" w:rsidTr="00E7661A">
        <w:trPr>
          <w:trHeight w:val="525"/>
          <w:jc w:val="center"/>
        </w:trPr>
        <w:tc>
          <w:tcPr>
            <w:tcW w:w="2335" w:type="dxa"/>
            <w:vAlign w:val="center"/>
          </w:tcPr>
          <w:bookmarkEnd w:id="0"/>
          <w:p w14:paraId="46C0C8C4" w14:textId="6982FD62" w:rsidR="007C485D" w:rsidRPr="00C573FB" w:rsidRDefault="00646DBD" w:rsidP="009F5F3C">
            <w:pPr>
              <w:jc w:val="center"/>
              <w:rPr>
                <w:b/>
                <w:bCs/>
                <w:sz w:val="20"/>
                <w:szCs w:val="20"/>
              </w:rPr>
            </w:pPr>
            <w:r>
              <w:rPr>
                <w:b/>
                <w:bCs/>
                <w:sz w:val="20"/>
                <w:szCs w:val="20"/>
              </w:rPr>
              <w:t>Cohort s</w:t>
            </w:r>
            <w:r w:rsidR="007C485D" w:rsidRPr="00C573FB">
              <w:rPr>
                <w:b/>
                <w:bCs/>
                <w:sz w:val="20"/>
                <w:szCs w:val="20"/>
              </w:rPr>
              <w:t>tudy</w:t>
            </w:r>
          </w:p>
        </w:tc>
        <w:tc>
          <w:tcPr>
            <w:tcW w:w="900" w:type="dxa"/>
            <w:vAlign w:val="center"/>
          </w:tcPr>
          <w:p w14:paraId="6CE2EC94" w14:textId="130DE167" w:rsidR="007C485D" w:rsidRPr="00C573FB" w:rsidRDefault="007C485D" w:rsidP="009F5F3C">
            <w:pPr>
              <w:jc w:val="center"/>
              <w:rPr>
                <w:b/>
                <w:bCs/>
                <w:sz w:val="20"/>
                <w:szCs w:val="20"/>
              </w:rPr>
            </w:pPr>
            <w:r w:rsidRPr="00C573FB">
              <w:rPr>
                <w:b/>
                <w:bCs/>
                <w:sz w:val="20"/>
                <w:szCs w:val="20"/>
              </w:rPr>
              <w:t>Sample size</w:t>
            </w:r>
          </w:p>
        </w:tc>
        <w:tc>
          <w:tcPr>
            <w:tcW w:w="1404" w:type="dxa"/>
            <w:vAlign w:val="center"/>
          </w:tcPr>
          <w:p w14:paraId="50BC5835" w14:textId="2B9A7266" w:rsidR="007C485D" w:rsidRPr="00C573FB" w:rsidRDefault="007C485D" w:rsidP="009F5F3C">
            <w:pPr>
              <w:jc w:val="center"/>
              <w:rPr>
                <w:b/>
                <w:bCs/>
                <w:sz w:val="20"/>
                <w:szCs w:val="20"/>
              </w:rPr>
            </w:pPr>
            <w:r w:rsidRPr="00C573FB">
              <w:rPr>
                <w:b/>
                <w:bCs/>
                <w:sz w:val="20"/>
                <w:szCs w:val="20"/>
              </w:rPr>
              <w:t>Prenatal urin</w:t>
            </w:r>
            <w:r>
              <w:rPr>
                <w:b/>
                <w:bCs/>
                <w:sz w:val="20"/>
                <w:szCs w:val="20"/>
              </w:rPr>
              <w:t>e(s)</w:t>
            </w:r>
            <w:r w:rsidR="00646DBD">
              <w:rPr>
                <w:b/>
                <w:bCs/>
                <w:sz w:val="20"/>
                <w:szCs w:val="20"/>
              </w:rPr>
              <w:t xml:space="preserve"> samples</w:t>
            </w:r>
          </w:p>
        </w:tc>
        <w:tc>
          <w:tcPr>
            <w:tcW w:w="1576" w:type="dxa"/>
            <w:vAlign w:val="center"/>
          </w:tcPr>
          <w:p w14:paraId="589AE0C0" w14:textId="0FD5A0EA" w:rsidR="007C485D" w:rsidRPr="00FD1D3C" w:rsidRDefault="007C485D" w:rsidP="009F5F3C">
            <w:pPr>
              <w:jc w:val="center"/>
              <w:rPr>
                <w:b/>
                <w:bCs/>
                <w:sz w:val="20"/>
                <w:szCs w:val="20"/>
              </w:rPr>
            </w:pPr>
            <w:r w:rsidRPr="00FD1D3C">
              <w:rPr>
                <w:b/>
                <w:bCs/>
                <w:sz w:val="20"/>
                <w:szCs w:val="20"/>
              </w:rPr>
              <w:t>Association</w:t>
            </w:r>
            <w:r w:rsidR="000777B6" w:rsidRPr="00FD1D3C">
              <w:rPr>
                <w:b/>
                <w:bCs/>
                <w:sz w:val="20"/>
                <w:szCs w:val="20"/>
              </w:rPr>
              <w:t>*</w:t>
            </w:r>
          </w:p>
        </w:tc>
        <w:tc>
          <w:tcPr>
            <w:tcW w:w="1980" w:type="dxa"/>
            <w:vAlign w:val="center"/>
          </w:tcPr>
          <w:p w14:paraId="48AD10AC" w14:textId="55F43B17" w:rsidR="007C485D" w:rsidRPr="00FD1D3C" w:rsidRDefault="007C485D" w:rsidP="009F5F3C">
            <w:pPr>
              <w:jc w:val="center"/>
              <w:rPr>
                <w:b/>
                <w:bCs/>
                <w:sz w:val="20"/>
                <w:szCs w:val="20"/>
              </w:rPr>
            </w:pPr>
            <w:r w:rsidRPr="00FD1D3C">
              <w:rPr>
                <w:b/>
                <w:bCs/>
                <w:sz w:val="20"/>
                <w:szCs w:val="20"/>
              </w:rPr>
              <w:t xml:space="preserve">Internalizing or externalizing </w:t>
            </w:r>
          </w:p>
        </w:tc>
        <w:tc>
          <w:tcPr>
            <w:tcW w:w="990" w:type="dxa"/>
            <w:vAlign w:val="center"/>
          </w:tcPr>
          <w:p w14:paraId="3265780B" w14:textId="1D9E8718" w:rsidR="007C485D" w:rsidRPr="00C573FB" w:rsidRDefault="007C485D" w:rsidP="009F5F3C">
            <w:pPr>
              <w:jc w:val="center"/>
              <w:rPr>
                <w:b/>
                <w:bCs/>
                <w:sz w:val="20"/>
                <w:szCs w:val="20"/>
              </w:rPr>
            </w:pPr>
            <w:r w:rsidRPr="00C573FB">
              <w:rPr>
                <w:b/>
                <w:bCs/>
                <w:sz w:val="20"/>
                <w:szCs w:val="20"/>
              </w:rPr>
              <w:t>Boys</w:t>
            </w:r>
            <w:r w:rsidR="003B2170">
              <w:rPr>
                <w:b/>
                <w:bCs/>
                <w:sz w:val="20"/>
                <w:szCs w:val="20"/>
              </w:rPr>
              <w:t>,</w:t>
            </w:r>
            <w:r w:rsidRPr="00C573FB">
              <w:rPr>
                <w:b/>
                <w:bCs/>
                <w:sz w:val="20"/>
                <w:szCs w:val="20"/>
              </w:rPr>
              <w:t xml:space="preserve"> girls</w:t>
            </w:r>
            <w:r w:rsidR="003B2170">
              <w:rPr>
                <w:b/>
                <w:bCs/>
                <w:sz w:val="20"/>
                <w:szCs w:val="20"/>
              </w:rPr>
              <w:t xml:space="preserve"> or both</w:t>
            </w:r>
          </w:p>
        </w:tc>
      </w:tr>
      <w:tr w:rsidR="003B2170" w14:paraId="7E97BA51" w14:textId="77777777" w:rsidTr="00E7661A">
        <w:trPr>
          <w:trHeight w:val="325"/>
          <w:jc w:val="center"/>
        </w:trPr>
        <w:tc>
          <w:tcPr>
            <w:tcW w:w="2335" w:type="dxa"/>
            <w:vAlign w:val="center"/>
          </w:tcPr>
          <w:p w14:paraId="06D13D78" w14:textId="2DDB8415" w:rsidR="003B2170" w:rsidRPr="007C485D" w:rsidRDefault="003B2170" w:rsidP="003B2170">
            <w:pPr>
              <w:rPr>
                <w:b/>
                <w:bCs/>
                <w:sz w:val="20"/>
                <w:szCs w:val="20"/>
                <w:lang w:val="es-ES"/>
              </w:rPr>
            </w:pPr>
            <w:r w:rsidRPr="007C485D">
              <w:rPr>
                <w:b/>
                <w:bCs/>
                <w:sz w:val="20"/>
                <w:szCs w:val="20"/>
                <w:lang w:val="es-ES"/>
              </w:rPr>
              <w:t>HOME (U</w:t>
            </w:r>
            <w:r>
              <w:rPr>
                <w:b/>
                <w:bCs/>
                <w:sz w:val="20"/>
                <w:szCs w:val="20"/>
                <w:lang w:val="es-ES"/>
              </w:rPr>
              <w:t>SA)</w:t>
            </w:r>
          </w:p>
          <w:p w14:paraId="5E068A1B" w14:textId="771121C5" w:rsidR="003B2170" w:rsidRPr="00E71452" w:rsidRDefault="003B2170" w:rsidP="003B2170">
            <w:pPr>
              <w:rPr>
                <w:sz w:val="20"/>
                <w:szCs w:val="20"/>
              </w:rPr>
            </w:pPr>
            <w:r w:rsidRPr="007C485D">
              <w:rPr>
                <w:sz w:val="20"/>
                <w:szCs w:val="20"/>
                <w:lang w:val="es-ES"/>
              </w:rPr>
              <w:t xml:space="preserve">Braun et al. 2009 </w:t>
            </w:r>
            <w:r>
              <w:rPr>
                <w:sz w:val="20"/>
                <w:szCs w:val="20"/>
              </w:rPr>
              <w:fldChar w:fldCharType="begin" w:fldLock="1"/>
            </w:r>
            <w:r w:rsidRPr="007C485D">
              <w:rPr>
                <w:sz w:val="20"/>
                <w:szCs w:val="20"/>
                <w:lang w:val="es-ES"/>
              </w:rPr>
              <w:instrText>ADDIN CSL_CITATION {"citationItems":[{"id":"ITEM-1","itemData":{"DOI":"10.1289/ehp.0900979","ISSN":"00916765","abstract":"BACKGROUND: Prenatal exposure to bisphenol A (BPA) increases offspring aggression and diminishes differences in sexually dimorphic behaviors in rodents. OBJECTIVE: We examined the association between prenatal BPA exposure and behavior in 2-year-old children. METHODS: We used data from 249 mothers and their children in Cincinnati, Ohio (USA). Maternal urine was collected around 16 and 26 weeks of gestation and at birth. BPA concentrations were quantified using high-performance liquid chromatography - isotope-dilution tandem mass spectrometry. Child behavior was assessed at 2 years of age using the second edition of the Behavioral Assessment System for Children (BASC-2). The association between prenatal BPA concentrations and BASC-2 scores was analyzed using linear regression. RESULTS: Median BPA concentrations were 1.8 (16 weeks), 1.7 (26 weeks), and 1.3 (birth) ng/mL. Mean (± SD) BASC-2 externalizing and internalizing scores were 47.6 ± 7.8 and 44.8 ± 7.0, respectively. After adjustment for confounders, log10-transformed mean prenatal BPA concentrations were associated with externalizing scores, but only among females [</w:instrText>
            </w:r>
            <w:r>
              <w:rPr>
                <w:sz w:val="20"/>
                <w:szCs w:val="20"/>
              </w:rPr>
              <w:instrText>β</w:instrText>
            </w:r>
            <w:r w:rsidRPr="007C485D">
              <w:rPr>
                <w:sz w:val="20"/>
                <w:szCs w:val="20"/>
                <w:lang w:val="es-ES"/>
              </w:rPr>
              <w:instrText xml:space="preserve"> = 6.0; 95% confidence interval (CI), 0.1-12.0]. Compared with 26-week and birth concentrations, BPA concentrations collected around 16 weeks were more strongly associated with externalizing scores among all children (</w:instrText>
            </w:r>
            <w:r>
              <w:rPr>
                <w:sz w:val="20"/>
                <w:szCs w:val="20"/>
              </w:rPr>
              <w:instrText>β</w:instrText>
            </w:r>
            <w:r w:rsidRPr="007C485D">
              <w:rPr>
                <w:sz w:val="20"/>
                <w:szCs w:val="20"/>
                <w:lang w:val="es-ES"/>
              </w:rPr>
              <w:instrText xml:space="preserve"> = 2.9; 95% CI, 0.2-5.7), and this association was stronger in females than in males. Among all children, measurements collected at ≤ 16 weeks showed a stronger association (</w:instrText>
            </w:r>
            <w:r>
              <w:rPr>
                <w:sz w:val="20"/>
                <w:szCs w:val="20"/>
              </w:rPr>
              <w:instrText>β</w:instrText>
            </w:r>
            <w:r w:rsidRPr="007C485D">
              <w:rPr>
                <w:sz w:val="20"/>
                <w:szCs w:val="20"/>
                <w:lang w:val="es-ES"/>
              </w:rPr>
              <w:instrText xml:space="preserve"> = 5.1; 95% CI, 1.5-8.6) with externalizing scores than did measurements taken at 17-21 weeks (</w:instrText>
            </w:r>
            <w:r>
              <w:rPr>
                <w:sz w:val="20"/>
                <w:szCs w:val="20"/>
              </w:rPr>
              <w:instrText>β</w:instrText>
            </w:r>
            <w:r w:rsidRPr="007C485D">
              <w:rPr>
                <w:sz w:val="20"/>
                <w:szCs w:val="20"/>
                <w:lang w:val="es-ES"/>
              </w:rPr>
              <w:instrText xml:space="preserve"> = 0.6; 95% CI, -2.9 to 4.1). CONCLUSIONS: These results suggest that prenatal BPA exposure may be associated with external</w:instrText>
            </w:r>
            <w:r w:rsidRPr="00330362">
              <w:rPr>
                <w:sz w:val="20"/>
                <w:szCs w:val="20"/>
              </w:rPr>
              <w:instrText>izing behaviors in 2-year-old children, especially among female children.","author":[{"dropping-particle":"","family":"Braun","given":"Joe M.","non-dropping-particle":"","parse-names":false,"suffix":""},{"dropping-particle":"","family":"Yolton","given":"Kimberly","non-dropping-particle":"","parse-names":false,"suffix":""},{"dropping-particle":"","family":"Dietrich","given":"Kim N.","non-dropping-particle":"","parse-names":false,"suffix":""},{"dropping-particle":"","family":"Hornung","given":"Richard","non-dropping-particle":"","parse-names":false,"suffix":""},{"dropping-particle":"","family":"Ye","given":"Xiaoyun","non-dropping-particle":"","parse-names":false,"suffix":""},{"dropping-particle":"","family":"Calafat","given":"Antonia M.","non-dropping-particle":"","parse-names":false,"suffix":""},{"dropping-particle":"","family":"Lanphear","given":"Bruce P.","non-dropping-particle":"","parse-names":false,"suffix":""}],"container-title":"Environmental Health Perspectives","id":"ITEM-1","issue":"12","issued":{"date-parts":[["2009","12"]]},"page":"1945-1952","title":"Prenatal bisphenol A exposure</w:instrText>
            </w:r>
            <w:r w:rsidRPr="00E71452">
              <w:rPr>
                <w:sz w:val="20"/>
                <w:szCs w:val="20"/>
              </w:rPr>
              <w:instrText xml:space="preserve"> and early childhood behavior","type":"article-journal","volume":"117"},"uris":["http://www.mendeley.com/documents/?uuid=c0ad4c96-2e2f-3d24-82ae-f57832b10e6d"]}],"mendeley":{"formattedCitation":"[1]","plainTextFormattedCitation":"[1]","previouslyFormattedCitation":"[1]"},"properties":{"noteIndex":0},"schema":"https://github.com/citation-style-language/schema/raw/master/csl-citation.json"}</w:instrText>
            </w:r>
            <w:r>
              <w:rPr>
                <w:sz w:val="20"/>
                <w:szCs w:val="20"/>
              </w:rPr>
              <w:fldChar w:fldCharType="separate"/>
            </w:r>
            <w:r w:rsidRPr="00E71452">
              <w:rPr>
                <w:noProof/>
                <w:sz w:val="20"/>
                <w:szCs w:val="20"/>
              </w:rPr>
              <w:t>[1]</w:t>
            </w:r>
            <w:r>
              <w:rPr>
                <w:sz w:val="20"/>
                <w:szCs w:val="20"/>
              </w:rPr>
              <w:fldChar w:fldCharType="end"/>
            </w:r>
          </w:p>
        </w:tc>
        <w:tc>
          <w:tcPr>
            <w:tcW w:w="900" w:type="dxa"/>
            <w:vAlign w:val="center"/>
          </w:tcPr>
          <w:p w14:paraId="3BED0E77" w14:textId="3AD02977" w:rsidR="003B2170" w:rsidRPr="00C573FB" w:rsidRDefault="003B2170" w:rsidP="003B2170">
            <w:pPr>
              <w:jc w:val="center"/>
              <w:rPr>
                <w:sz w:val="20"/>
                <w:szCs w:val="20"/>
              </w:rPr>
            </w:pPr>
            <w:r w:rsidRPr="00C573FB">
              <w:rPr>
                <w:sz w:val="20"/>
                <w:szCs w:val="20"/>
              </w:rPr>
              <w:t>24</w:t>
            </w:r>
            <w:r>
              <w:rPr>
                <w:sz w:val="20"/>
                <w:szCs w:val="20"/>
              </w:rPr>
              <w:t>9</w:t>
            </w:r>
          </w:p>
        </w:tc>
        <w:tc>
          <w:tcPr>
            <w:tcW w:w="1404" w:type="dxa"/>
            <w:vMerge w:val="restart"/>
            <w:vAlign w:val="center"/>
          </w:tcPr>
          <w:p w14:paraId="209C2143" w14:textId="17BBEB9A" w:rsidR="003B2170" w:rsidRPr="00C573FB" w:rsidRDefault="003B2170" w:rsidP="003B2170">
            <w:pPr>
              <w:jc w:val="center"/>
              <w:rPr>
                <w:sz w:val="20"/>
                <w:szCs w:val="20"/>
              </w:rPr>
            </w:pPr>
            <w:r w:rsidRPr="00C573FB">
              <w:rPr>
                <w:sz w:val="20"/>
                <w:szCs w:val="20"/>
              </w:rPr>
              <w:t>3 (</w:t>
            </w:r>
            <w:r>
              <w:rPr>
                <w:sz w:val="20"/>
                <w:szCs w:val="20"/>
              </w:rPr>
              <w:t xml:space="preserve">gestation </w:t>
            </w:r>
            <w:r w:rsidRPr="00C573FB">
              <w:rPr>
                <w:sz w:val="20"/>
                <w:szCs w:val="20"/>
              </w:rPr>
              <w:t>weeks</w:t>
            </w:r>
            <w:r>
              <w:rPr>
                <w:sz w:val="20"/>
                <w:szCs w:val="20"/>
              </w:rPr>
              <w:t xml:space="preserve"> </w:t>
            </w:r>
            <w:r w:rsidRPr="00C573FB">
              <w:rPr>
                <w:sz w:val="20"/>
                <w:szCs w:val="20"/>
              </w:rPr>
              <w:t>16</w:t>
            </w:r>
            <w:r w:rsidRPr="00F54223">
              <w:rPr>
                <w:sz w:val="20"/>
                <w:szCs w:val="20"/>
                <w:vertAlign w:val="superscript"/>
              </w:rPr>
              <w:t>th</w:t>
            </w:r>
            <w:r>
              <w:rPr>
                <w:sz w:val="20"/>
                <w:szCs w:val="20"/>
              </w:rPr>
              <w:t xml:space="preserve"> </w:t>
            </w:r>
            <w:r w:rsidRPr="00C573FB">
              <w:rPr>
                <w:sz w:val="20"/>
                <w:szCs w:val="20"/>
              </w:rPr>
              <w:t>and 26</w:t>
            </w:r>
            <w:r w:rsidRPr="00F54223">
              <w:rPr>
                <w:sz w:val="20"/>
                <w:szCs w:val="20"/>
                <w:vertAlign w:val="superscript"/>
              </w:rPr>
              <w:t>th</w:t>
            </w:r>
            <w:r>
              <w:rPr>
                <w:sz w:val="20"/>
                <w:szCs w:val="20"/>
              </w:rPr>
              <w:t xml:space="preserve">, </w:t>
            </w:r>
            <w:r w:rsidRPr="00C573FB">
              <w:rPr>
                <w:sz w:val="20"/>
                <w:szCs w:val="20"/>
              </w:rPr>
              <w:t xml:space="preserve">and </w:t>
            </w:r>
            <w:r>
              <w:rPr>
                <w:sz w:val="20"/>
                <w:szCs w:val="20"/>
              </w:rPr>
              <w:t>delivery</w:t>
            </w:r>
            <w:r w:rsidRPr="00C573FB">
              <w:rPr>
                <w:sz w:val="20"/>
                <w:szCs w:val="20"/>
              </w:rPr>
              <w:t>)</w:t>
            </w:r>
          </w:p>
        </w:tc>
        <w:tc>
          <w:tcPr>
            <w:tcW w:w="1576" w:type="dxa"/>
            <w:vAlign w:val="center"/>
          </w:tcPr>
          <w:p w14:paraId="1050D136" w14:textId="1D93F1F8" w:rsidR="003B2170" w:rsidRPr="00C573FB" w:rsidRDefault="003B2170" w:rsidP="003B2170">
            <w:pPr>
              <w:jc w:val="center"/>
              <w:rPr>
                <w:sz w:val="20"/>
                <w:szCs w:val="20"/>
              </w:rPr>
            </w:pPr>
            <w:r w:rsidRPr="00C573FB">
              <w:rPr>
                <w:sz w:val="20"/>
                <w:szCs w:val="20"/>
              </w:rPr>
              <w:t>Yes</w:t>
            </w:r>
          </w:p>
        </w:tc>
        <w:tc>
          <w:tcPr>
            <w:tcW w:w="1980" w:type="dxa"/>
            <w:vAlign w:val="center"/>
          </w:tcPr>
          <w:p w14:paraId="0776C044" w14:textId="7C2D47A2" w:rsidR="003B2170" w:rsidRPr="00C573FB" w:rsidRDefault="003B2170" w:rsidP="003B2170">
            <w:pPr>
              <w:jc w:val="center"/>
              <w:rPr>
                <w:sz w:val="20"/>
                <w:szCs w:val="20"/>
              </w:rPr>
            </w:pPr>
            <w:r w:rsidRPr="00C573FB">
              <w:rPr>
                <w:sz w:val="20"/>
                <w:szCs w:val="20"/>
              </w:rPr>
              <w:t>Externalizing</w:t>
            </w:r>
            <w:r>
              <w:rPr>
                <w:sz w:val="20"/>
                <w:szCs w:val="20"/>
              </w:rPr>
              <w:t xml:space="preserve"> at 2 yrs</w:t>
            </w:r>
            <w:r w:rsidR="007B4F71">
              <w:rPr>
                <w:sz w:val="20"/>
                <w:szCs w:val="20"/>
              </w:rPr>
              <w:t>.</w:t>
            </w:r>
          </w:p>
        </w:tc>
        <w:tc>
          <w:tcPr>
            <w:tcW w:w="990" w:type="dxa"/>
            <w:vMerge w:val="restart"/>
            <w:vAlign w:val="center"/>
          </w:tcPr>
          <w:p w14:paraId="71BA944B" w14:textId="458A1732" w:rsidR="003B2170" w:rsidRPr="00C573FB" w:rsidRDefault="003B2170" w:rsidP="003B2170">
            <w:pPr>
              <w:jc w:val="center"/>
              <w:rPr>
                <w:sz w:val="20"/>
                <w:szCs w:val="20"/>
              </w:rPr>
            </w:pPr>
            <w:r w:rsidRPr="00C573FB">
              <w:rPr>
                <w:sz w:val="20"/>
                <w:szCs w:val="20"/>
              </w:rPr>
              <w:t>Girls</w:t>
            </w:r>
          </w:p>
        </w:tc>
      </w:tr>
      <w:tr w:rsidR="003B2170" w14:paraId="5753512F" w14:textId="77777777" w:rsidTr="00E7661A">
        <w:trPr>
          <w:trHeight w:val="660"/>
          <w:jc w:val="center"/>
        </w:trPr>
        <w:tc>
          <w:tcPr>
            <w:tcW w:w="2335" w:type="dxa"/>
            <w:tcBorders>
              <w:bottom w:val="single" w:sz="4" w:space="0" w:color="auto"/>
            </w:tcBorders>
            <w:vAlign w:val="center"/>
          </w:tcPr>
          <w:p w14:paraId="5D763D81" w14:textId="3E44E820" w:rsidR="003B2170" w:rsidRPr="001E07BB" w:rsidRDefault="003B2170" w:rsidP="003B2170">
            <w:pPr>
              <w:rPr>
                <w:sz w:val="20"/>
                <w:szCs w:val="20"/>
              </w:rPr>
            </w:pPr>
            <w:r w:rsidRPr="001E07BB">
              <w:rPr>
                <w:sz w:val="20"/>
                <w:szCs w:val="20"/>
              </w:rPr>
              <w:t>Braun et al., 2011</w:t>
            </w:r>
            <w:r>
              <w:rPr>
                <w:sz w:val="20"/>
                <w:szCs w:val="20"/>
              </w:rPr>
              <w:t xml:space="preserve"> </w:t>
            </w:r>
            <w:r>
              <w:rPr>
                <w:sz w:val="20"/>
                <w:szCs w:val="20"/>
              </w:rPr>
              <w:fldChar w:fldCharType="begin" w:fldLock="1"/>
            </w:r>
            <w:r>
              <w:rPr>
                <w:sz w:val="20"/>
                <w:szCs w:val="20"/>
              </w:rPr>
              <w:instrText>ADDIN CSL_CITATION {"citationItems":[{"id":"ITEM-1","itemData":{"DOI":"10.1542/peds.2011-1335","ISSN":"0031-4005","PMID":"22025598","abstract":"OBJECTIVES To estimate the impact of gestational and childhood bisphenol A (BPA) exposures on behavior and executive function at 3 years of age and to determine whether child gender modified those associations. METHODS We used a prospective birth cohort of 244 mothers and their 3-year-old children from the greater Cincinnati, Ohio, area. We characterized gestational and childhood BPA exposures by using the mean BPA concentrations in maternal (16 and 26 weeks of gestation and birth) and child (1, 2, and 3 years of age) urine samples, respectively. Behavior and executive function were measured by using the Behavior Assessment System for Children 2 (BASC-2) and the Behavior Rating Inventory of Executive Function-Preschool (BRIEF-P). RESULTS BPA was detected in &gt;97% of the gestational (median: 2.0 μg/L) and childhood (median: 4.1 μg/L) urine samples. With adjustment for confounders, each 10-fold increase in gestational BPA concentrations was associated with more anxious and depressed behavior on the BASC-2 and poorer emotional control and inhibition on the BRIEF-P. The magnitude of the gestational BPA associations differed according to child gender; BASC-2 and BRIEF-P scores increased 9 to 12 points among girls, but changes were null or negative among boys. Associations between childhood BPA exposure and neurobehavior were largely null and not modified by child gender. CONCLUSIONS In this study, gestational BPA exposure affected behavioral and emotional regulation domains at 3 years of age, especially among girls. Clinicians may advise concerned patients to reduce their exposure to certain consumer products, but the benefits of such reductions are unclear.","author":[{"dropping-particle":"","family":"Braun","given":"J. M.","non-dropping-particle":"","parse-names":false,"suffix":""},{"dropping-particle":"","family":"Kalkbrenner","given":"A. E.","non-dropping-particle":"","parse-names":false,"suffix":""},{"dropping-particle":"","family":"Calafat","given":"A. M.","non-dropping-particle":"","parse-names":false,"suffix":""},{"dropping-particle":"","family":"Yolton","given":"K.","non-dropping-particle":"","parse-names":false,"suffix":""},{"dropping-particle":"","family":"Ye","given":"X.","non-dropping-particle":"","parse-names":false,"suffix":""},{"dropping-particle":"","family":"Dietrich","given":"K. N.","non-dropping-particle":"","parse-names":false,"suffix":""},{"dropping-particle":"","family":"Lanphear","given":"B. P.","non-dropping-particle":"","parse-names":false,"suffix":""}],"container-title":"PEDIATRICS","id":"ITEM-1","issue":"5","issued":{"date-parts":[["2011","11","1"]]},"page":"873-882","title":"Impact of Early-Life Bisphenol A Exposure on Behavior and Executive Function in Children","type":"article-journal","volume":"128"},"uris":["http://www.mendeley.com/documents/?uuid=36a28392-c9cf-3e52-8dcc-7c148cb4042a"]}],"mendeley":{"formattedCitation":"[2]","plainTextFormattedCitation":"[2]","previouslyFormattedCitation":"[2]"},"properties":{"noteIndex":0},"schema":"https://github.com/citation-style-language/schema/raw/master/csl-citation.json"}</w:instrText>
            </w:r>
            <w:r>
              <w:rPr>
                <w:sz w:val="20"/>
                <w:szCs w:val="20"/>
              </w:rPr>
              <w:fldChar w:fldCharType="separate"/>
            </w:r>
            <w:r w:rsidRPr="00371967">
              <w:rPr>
                <w:noProof/>
                <w:sz w:val="20"/>
                <w:szCs w:val="20"/>
              </w:rPr>
              <w:t>[2]</w:t>
            </w:r>
            <w:r>
              <w:rPr>
                <w:sz w:val="20"/>
                <w:szCs w:val="20"/>
              </w:rPr>
              <w:fldChar w:fldCharType="end"/>
            </w:r>
          </w:p>
        </w:tc>
        <w:tc>
          <w:tcPr>
            <w:tcW w:w="900" w:type="dxa"/>
            <w:tcBorders>
              <w:bottom w:val="single" w:sz="4" w:space="0" w:color="auto"/>
            </w:tcBorders>
            <w:vAlign w:val="center"/>
          </w:tcPr>
          <w:p w14:paraId="1C226B30" w14:textId="1915E5E0" w:rsidR="003B2170" w:rsidRPr="00C573FB" w:rsidRDefault="003B2170" w:rsidP="003B2170">
            <w:pPr>
              <w:jc w:val="center"/>
              <w:rPr>
                <w:sz w:val="20"/>
                <w:szCs w:val="20"/>
              </w:rPr>
            </w:pPr>
            <w:r>
              <w:rPr>
                <w:sz w:val="20"/>
                <w:szCs w:val="20"/>
              </w:rPr>
              <w:t>244</w:t>
            </w:r>
          </w:p>
        </w:tc>
        <w:tc>
          <w:tcPr>
            <w:tcW w:w="1404" w:type="dxa"/>
            <w:vMerge/>
            <w:tcBorders>
              <w:bottom w:val="single" w:sz="4" w:space="0" w:color="auto"/>
            </w:tcBorders>
            <w:vAlign w:val="center"/>
          </w:tcPr>
          <w:p w14:paraId="3A5AD8C6" w14:textId="77777777" w:rsidR="003B2170" w:rsidRPr="00C573FB" w:rsidRDefault="003B2170" w:rsidP="003B2170">
            <w:pPr>
              <w:jc w:val="center"/>
              <w:rPr>
                <w:sz w:val="20"/>
                <w:szCs w:val="20"/>
              </w:rPr>
            </w:pPr>
          </w:p>
        </w:tc>
        <w:tc>
          <w:tcPr>
            <w:tcW w:w="1576" w:type="dxa"/>
            <w:tcBorders>
              <w:bottom w:val="single" w:sz="4" w:space="0" w:color="auto"/>
            </w:tcBorders>
            <w:vAlign w:val="center"/>
          </w:tcPr>
          <w:p w14:paraId="4A3B06E9" w14:textId="0BBEE231" w:rsidR="003B2170" w:rsidRPr="00C573FB" w:rsidRDefault="003B2170" w:rsidP="003B2170">
            <w:pPr>
              <w:jc w:val="center"/>
              <w:rPr>
                <w:sz w:val="20"/>
                <w:szCs w:val="20"/>
              </w:rPr>
            </w:pPr>
            <w:r>
              <w:rPr>
                <w:sz w:val="20"/>
                <w:szCs w:val="20"/>
              </w:rPr>
              <w:t>Yes</w:t>
            </w:r>
          </w:p>
        </w:tc>
        <w:tc>
          <w:tcPr>
            <w:tcW w:w="1980" w:type="dxa"/>
            <w:tcBorders>
              <w:bottom w:val="single" w:sz="4" w:space="0" w:color="auto"/>
            </w:tcBorders>
            <w:vAlign w:val="center"/>
          </w:tcPr>
          <w:p w14:paraId="5584F076" w14:textId="70221E57" w:rsidR="003B2170" w:rsidRPr="00C573FB" w:rsidRDefault="003B2170" w:rsidP="003B2170">
            <w:pPr>
              <w:jc w:val="center"/>
              <w:rPr>
                <w:sz w:val="20"/>
                <w:szCs w:val="20"/>
              </w:rPr>
            </w:pPr>
            <w:r>
              <w:rPr>
                <w:sz w:val="20"/>
                <w:szCs w:val="20"/>
              </w:rPr>
              <w:t>Internalizing at 3 yrs</w:t>
            </w:r>
            <w:r w:rsidR="007B4F71">
              <w:rPr>
                <w:sz w:val="20"/>
                <w:szCs w:val="20"/>
              </w:rPr>
              <w:t>.</w:t>
            </w:r>
          </w:p>
        </w:tc>
        <w:tc>
          <w:tcPr>
            <w:tcW w:w="990" w:type="dxa"/>
            <w:vMerge/>
            <w:tcBorders>
              <w:bottom w:val="single" w:sz="4" w:space="0" w:color="auto"/>
            </w:tcBorders>
            <w:vAlign w:val="center"/>
          </w:tcPr>
          <w:p w14:paraId="6809B435" w14:textId="77777777" w:rsidR="003B2170" w:rsidRPr="00C573FB" w:rsidRDefault="003B2170" w:rsidP="003B2170">
            <w:pPr>
              <w:jc w:val="center"/>
              <w:rPr>
                <w:sz w:val="20"/>
                <w:szCs w:val="20"/>
              </w:rPr>
            </w:pPr>
          </w:p>
        </w:tc>
      </w:tr>
      <w:tr w:rsidR="00257AD4" w14:paraId="30DEE634" w14:textId="77777777" w:rsidTr="00E7661A">
        <w:trPr>
          <w:trHeight w:val="660"/>
          <w:jc w:val="center"/>
        </w:trPr>
        <w:tc>
          <w:tcPr>
            <w:tcW w:w="2335" w:type="dxa"/>
            <w:tcBorders>
              <w:bottom w:val="single" w:sz="4" w:space="0" w:color="auto"/>
            </w:tcBorders>
            <w:vAlign w:val="center"/>
          </w:tcPr>
          <w:p w14:paraId="472F2C0B" w14:textId="370CF762" w:rsidR="00257AD4" w:rsidRPr="00FD1D3C" w:rsidRDefault="00257AD4" w:rsidP="003B2170">
            <w:pPr>
              <w:rPr>
                <w:sz w:val="20"/>
                <w:szCs w:val="20"/>
              </w:rPr>
            </w:pPr>
            <w:r w:rsidRPr="00FD1D3C">
              <w:rPr>
                <w:sz w:val="20"/>
                <w:szCs w:val="20"/>
              </w:rPr>
              <w:t xml:space="preserve">Braun et al., 2014 </w:t>
            </w:r>
            <w:r w:rsidR="004207B1" w:rsidRPr="00FD1D3C">
              <w:rPr>
                <w:sz w:val="20"/>
                <w:szCs w:val="20"/>
              </w:rPr>
              <w:fldChar w:fldCharType="begin" w:fldLock="1"/>
            </w:r>
            <w:r w:rsidR="004207B1" w:rsidRPr="00FD1D3C">
              <w:rPr>
                <w:sz w:val="20"/>
                <w:szCs w:val="20"/>
              </w:rPr>
              <w:instrText>ADDIN CSL_CITATION {"citationItems":[{"id":"ITEM-1","itemData":{"DOI":"10.1289/ehp.1307261","ISSN":"15529924","abstract":"Background: Endocrine-disrupting chemicals (EDCs) may be involved in the etiology of autism spectrum disorders, but identifying relevant chemicals within mixtures of EDCs is difficult. Objective: Our goal was to identify gestational EDC exposures associated with autistic behaviors. Methods: We measured the concentrations of 8 phthalate metabolites, bisphenol A, 25 polychlorinated biphenyls (PCBs), 6 organochlorine pesticides, 8 brominated flame retardants, and 4 perfluoroalkyl substances in blood or urine samples from 175 pregnant women in the HOME (Health Outcomes and Measures of the Environment) Study (Cincinnati, OH). When children were 4 and 5 years old, mothers completed the Social Responsiveness Scale (SRS), a measure of autistic behaviors. We examined confounder-adjusted associations between 52 EDCs and SRS scores using a two-stage hierarchical analysis to account for repeated measures and confounding by correlated EDCs. Results: Most of the EDCs were associated with negligible absolute differences in SRS scores (≤ 1.5). Each 2-SD increase in serum concentrations of polybrominated diphenyl ether-28 (PBDE-28) (β = 2.5; 95% CI: -0.6, 5.6) or trans-nonachlor (β = 4.1; 95% CI: 0.8-7.3) was associated with more autistic behaviors. In contrast, fewer autistic behaviors were observed among children born to women with detectable versus nondetectable concentrations of PCB-178 (β = -3.0; 95% CI: -6.3, 0.2), β-hexachlorocyclohexane (β = -3.3; 95% CI: -6.1, -0.5), or PBDE-85 (β = -3.2; 95% CI: -5.9, -0.5). Increasing perfluorooctanoate (PFOA) concentrations were also associated with fewer autistic behaviors (β = -2.0; 95% CI: -4.4, 0.4). Conclusions: Some EDCs were associated with autistic behaviors in this cohort, but our modest sample size precludes us from dismissing chemicals with null associations. PFOA, β-hexachlorocyclohexane, PCB-178, PBDE-28, PBDE-85, and trans-nonachlor deserve additional scrutiny as factors that may be associated with childhood autistic behaviors.","author":[{"dropping-particle":"","family":"Braun","given":"Joseph M.","non-dropping-particle":"","parse-names":false,"suffix":""},{"dropping-particle":"","family":"Kalkbrenner","given":"Amy E.","non-dropping-particle":"","parse-names":false,"suffix":""},{"dropping-particle":"","family":"Just","given":"Allan C.","non-dropping-particle":"","parse-names":false,"suffix":""},{"dropping-particle":"","family":"Yolton","given":"Kimberly","non-dropping-particle":"","parse-names":false,"suffix":""},{"dropping-particle":"","family":"Calafat","given":"Antonia M.","non-dropping-particle":"","parse-names":false,"suffix":""},{"dropping-particle":"","family":"Sjödin","given":"Andreas","non-dropping-particle":"","parse-names":false,"suffix":""},{"dropping-particle":"","family":"Hauser","given":"Russ","non-dropping-particle":"","parse-names":false,"suffix":""},{"dropping-particle":"","family":"Webster","given":"Glenys M.","non-dropping-particle":"","parse-names":false,"suffix":""},{"dropping-particle":"","family":"Chen","given":"Aimin","non-dropping-particle":"","parse-names":false,"suffix":""},{"dropping-particle":"","family":"Lanphear","given":"Bruce P.","non-dropping-particle":"","parse-names":false,"suffix":""}],"container-title":"Environmental Health Perspectives","id":"ITEM-1","issue":"5","issued":{"date-parts":[["2014","5"]]},"page":"513-520","publisher":"Public Health Services, US Dept of Health and Human Services","title":"Gestational exposure to endocrine-disrupting chemicals and reciprocal social, repetitive, and stereotypic behaviors in 4- and 5-year-old children: The HOME study","type":"article-journal","volume":"122"},"uris":["http://www.mendeley.com/documents/?uuid=c7da45f1-ad8a-3a16-a0f9-6f728a4f7a9d"]}],"mendeley":{"formattedCitation":"[3]","plainTextFormattedCitation":"[3]","previouslyFormattedCitation":"[3]"},"properties":{"noteIndex":0},"schema":"https://github.com/citation-style-language/schema/raw/master/csl-citation.json"}</w:instrText>
            </w:r>
            <w:r w:rsidR="004207B1" w:rsidRPr="00FD1D3C">
              <w:rPr>
                <w:sz w:val="20"/>
                <w:szCs w:val="20"/>
              </w:rPr>
              <w:fldChar w:fldCharType="separate"/>
            </w:r>
            <w:r w:rsidR="004207B1" w:rsidRPr="00FD1D3C">
              <w:rPr>
                <w:noProof/>
                <w:sz w:val="20"/>
                <w:szCs w:val="20"/>
              </w:rPr>
              <w:t>[3]</w:t>
            </w:r>
            <w:r w:rsidR="004207B1" w:rsidRPr="00FD1D3C">
              <w:rPr>
                <w:sz w:val="20"/>
                <w:szCs w:val="20"/>
              </w:rPr>
              <w:fldChar w:fldCharType="end"/>
            </w:r>
          </w:p>
        </w:tc>
        <w:tc>
          <w:tcPr>
            <w:tcW w:w="900" w:type="dxa"/>
            <w:tcBorders>
              <w:bottom w:val="single" w:sz="4" w:space="0" w:color="auto"/>
            </w:tcBorders>
            <w:vAlign w:val="center"/>
          </w:tcPr>
          <w:p w14:paraId="77B9898B" w14:textId="18BB8CB1" w:rsidR="00257AD4" w:rsidRPr="00FD1D3C" w:rsidRDefault="00257AD4" w:rsidP="003B2170">
            <w:pPr>
              <w:jc w:val="center"/>
              <w:rPr>
                <w:sz w:val="20"/>
                <w:szCs w:val="20"/>
              </w:rPr>
            </w:pPr>
            <w:r w:rsidRPr="00FD1D3C">
              <w:rPr>
                <w:sz w:val="20"/>
                <w:szCs w:val="20"/>
              </w:rPr>
              <w:t>175</w:t>
            </w:r>
          </w:p>
        </w:tc>
        <w:tc>
          <w:tcPr>
            <w:tcW w:w="1404" w:type="dxa"/>
            <w:tcBorders>
              <w:bottom w:val="single" w:sz="4" w:space="0" w:color="auto"/>
            </w:tcBorders>
            <w:vAlign w:val="center"/>
          </w:tcPr>
          <w:p w14:paraId="23DE9AC0" w14:textId="3CDF1FAB" w:rsidR="00257AD4" w:rsidRPr="00FD1D3C" w:rsidRDefault="00F7553D" w:rsidP="003B2170">
            <w:pPr>
              <w:jc w:val="center"/>
              <w:rPr>
                <w:sz w:val="20"/>
                <w:szCs w:val="20"/>
              </w:rPr>
            </w:pPr>
            <w:r w:rsidRPr="00FD1D3C">
              <w:rPr>
                <w:sz w:val="20"/>
                <w:szCs w:val="20"/>
              </w:rPr>
              <w:t>2 (gestation weeks 16</w:t>
            </w:r>
            <w:r w:rsidRPr="00FD1D3C">
              <w:rPr>
                <w:sz w:val="20"/>
                <w:szCs w:val="20"/>
                <w:vertAlign w:val="superscript"/>
              </w:rPr>
              <w:t>th</w:t>
            </w:r>
            <w:r w:rsidRPr="00FD1D3C">
              <w:rPr>
                <w:sz w:val="20"/>
                <w:szCs w:val="20"/>
              </w:rPr>
              <w:t xml:space="preserve"> and 26</w:t>
            </w:r>
            <w:r w:rsidRPr="00FD1D3C">
              <w:rPr>
                <w:sz w:val="20"/>
                <w:szCs w:val="20"/>
                <w:vertAlign w:val="superscript"/>
              </w:rPr>
              <w:t>th</w:t>
            </w:r>
            <w:r w:rsidRPr="00FD1D3C">
              <w:rPr>
                <w:sz w:val="20"/>
                <w:szCs w:val="20"/>
              </w:rPr>
              <w:t>)</w:t>
            </w:r>
          </w:p>
        </w:tc>
        <w:tc>
          <w:tcPr>
            <w:tcW w:w="1576" w:type="dxa"/>
            <w:tcBorders>
              <w:bottom w:val="single" w:sz="4" w:space="0" w:color="auto"/>
            </w:tcBorders>
            <w:vAlign w:val="center"/>
          </w:tcPr>
          <w:p w14:paraId="2DE377F7" w14:textId="4AA56592" w:rsidR="00257AD4" w:rsidRPr="00FD1D3C" w:rsidRDefault="00257AD4" w:rsidP="003B2170">
            <w:pPr>
              <w:jc w:val="center"/>
              <w:rPr>
                <w:sz w:val="20"/>
                <w:szCs w:val="20"/>
              </w:rPr>
            </w:pPr>
            <w:r w:rsidRPr="00FD1D3C">
              <w:rPr>
                <w:sz w:val="20"/>
                <w:szCs w:val="20"/>
              </w:rPr>
              <w:t>No</w:t>
            </w:r>
          </w:p>
        </w:tc>
        <w:tc>
          <w:tcPr>
            <w:tcW w:w="1980" w:type="dxa"/>
            <w:tcBorders>
              <w:bottom w:val="single" w:sz="4" w:space="0" w:color="auto"/>
            </w:tcBorders>
            <w:vAlign w:val="center"/>
          </w:tcPr>
          <w:p w14:paraId="0A7E0BC3" w14:textId="67F2DF9F" w:rsidR="00257AD4" w:rsidRPr="00FD1D3C" w:rsidRDefault="00257AD4" w:rsidP="003B2170">
            <w:pPr>
              <w:jc w:val="center"/>
              <w:rPr>
                <w:sz w:val="20"/>
                <w:szCs w:val="20"/>
              </w:rPr>
            </w:pPr>
            <w:r w:rsidRPr="00FD1D3C">
              <w:rPr>
                <w:sz w:val="20"/>
                <w:szCs w:val="20"/>
              </w:rPr>
              <w:t>Autistic behaviors at 4-5 yrs</w:t>
            </w:r>
            <w:r w:rsidR="007B4F71">
              <w:rPr>
                <w:sz w:val="20"/>
                <w:szCs w:val="20"/>
              </w:rPr>
              <w:t>.</w:t>
            </w:r>
          </w:p>
        </w:tc>
        <w:tc>
          <w:tcPr>
            <w:tcW w:w="990" w:type="dxa"/>
            <w:tcBorders>
              <w:bottom w:val="single" w:sz="4" w:space="0" w:color="auto"/>
            </w:tcBorders>
            <w:vAlign w:val="center"/>
          </w:tcPr>
          <w:p w14:paraId="2095E0D4" w14:textId="0FB38D91" w:rsidR="00257AD4" w:rsidRPr="00FD1D3C" w:rsidRDefault="000777B6" w:rsidP="003B2170">
            <w:pPr>
              <w:jc w:val="center"/>
              <w:rPr>
                <w:sz w:val="20"/>
                <w:szCs w:val="20"/>
              </w:rPr>
            </w:pPr>
            <w:r w:rsidRPr="00FD1D3C">
              <w:rPr>
                <w:sz w:val="20"/>
                <w:szCs w:val="20"/>
              </w:rPr>
              <w:t>n/a</w:t>
            </w:r>
          </w:p>
        </w:tc>
      </w:tr>
      <w:tr w:rsidR="004207B1" w14:paraId="40686822" w14:textId="77777777" w:rsidTr="00E7661A">
        <w:trPr>
          <w:trHeight w:val="660"/>
          <w:jc w:val="center"/>
        </w:trPr>
        <w:tc>
          <w:tcPr>
            <w:tcW w:w="2335" w:type="dxa"/>
            <w:tcBorders>
              <w:bottom w:val="single" w:sz="4" w:space="0" w:color="auto"/>
            </w:tcBorders>
            <w:vAlign w:val="center"/>
          </w:tcPr>
          <w:p w14:paraId="3912B713" w14:textId="3EC545D3" w:rsidR="004207B1" w:rsidRPr="00FD1D3C" w:rsidRDefault="004207B1" w:rsidP="003B2170">
            <w:pPr>
              <w:rPr>
                <w:sz w:val="20"/>
                <w:szCs w:val="20"/>
              </w:rPr>
            </w:pPr>
            <w:r w:rsidRPr="00FD1D3C">
              <w:rPr>
                <w:sz w:val="20"/>
                <w:szCs w:val="20"/>
              </w:rPr>
              <w:t xml:space="preserve">Braun et al., 2017 </w:t>
            </w:r>
            <w:r w:rsidRPr="00FD1D3C">
              <w:rPr>
                <w:sz w:val="20"/>
                <w:szCs w:val="20"/>
              </w:rPr>
              <w:fldChar w:fldCharType="begin" w:fldLock="1"/>
            </w:r>
            <w:r w:rsidRPr="00FD1D3C">
              <w:rPr>
                <w:sz w:val="20"/>
                <w:szCs w:val="20"/>
              </w:rPr>
              <w:instrText>ADDIN CSL_CITATION {"citationItems":[{"id":"ITEM-1","itemData":{"DOI":"10.1016/j.neuro.2017.07.027","ISSN":"18729711","abstract":"Background Prenatal chemical exposures may adversely affect neurodevelopment, but few studies have examined the persistence of these associations. We examined whether associations between prenatal bisphenol A (BPA) or polybrominated diphenyl ether (PBDE) exposures persist or resolve as children age. Methods We followed 346 mother-child pairs (enrolled 2003–2006) from Cincinnati, OH from pregnancy until children were 8 years old. We measured BPA in urine collected at 16 and 26 weeks gestation and PBDE-47 in serum collected at 16 weeks gestation. We administered repeated measures of children's behavior, mental/psychomotor development, and IQ from ages 1–8 years. We determined if associations of BPA or PBDE-47 with child neurobehavior persisted or resolved as children aged using linear mixed models and estimated neurobehavioral measure reproducibility using intraclass correlation coefficients (ICCs). Results Higher BPA in girls and higher PBDE-47 in both boys and girls were associated with more externalizing behaviors; these associations persisted from ages 2–8 years (exposure × age interaction p-values ≥ 0.36). Higher PBDE-47 concentrations were associated with decreases in MDI from ages 1–3 years (PBDE–47 x age interaction p-value = 0.03) and persistently lower IQ at ages 5 and 8 years (PBDE–47 × age interaction p-value = 0.56). Mental/psychomotor abilities had fair reproducibility from ages 1–3 years (ICCs </w:instrText>
            </w:r>
            <w:r w:rsidRPr="00FD1D3C">
              <w:rPr>
                <w:rFonts w:ascii="Cambria Math" w:hAnsi="Cambria Math" w:cs="Cambria Math"/>
                <w:sz w:val="20"/>
                <w:szCs w:val="20"/>
              </w:rPr>
              <w:instrText>∼</w:instrText>
            </w:r>
            <w:r w:rsidRPr="00FD1D3C">
              <w:rPr>
                <w:rFonts w:ascii="Calibri" w:hAnsi="Calibri" w:cs="Calibri"/>
                <w:sz w:val="20"/>
                <w:szCs w:val="20"/>
              </w:rPr>
              <w:instrText> </w:instrText>
            </w:r>
            <w:r w:rsidRPr="00FD1D3C">
              <w:rPr>
                <w:sz w:val="20"/>
                <w:szCs w:val="20"/>
              </w:rPr>
              <w:instrText>0.4), cognitive abilities from ages 5 to 8 years had excellent reproducibility (ICCs</w:instrText>
            </w:r>
            <w:r w:rsidRPr="00FD1D3C">
              <w:rPr>
                <w:rFonts w:ascii="Calibri" w:hAnsi="Calibri" w:cs="Calibri"/>
                <w:sz w:val="20"/>
                <w:szCs w:val="20"/>
              </w:rPr>
              <w:instrText> </w:instrText>
            </w:r>
            <w:r w:rsidRPr="00FD1D3C">
              <w:rPr>
                <w:sz w:val="20"/>
                <w:szCs w:val="20"/>
              </w:rPr>
              <w:instrText>=</w:instrText>
            </w:r>
            <w:r w:rsidRPr="00FD1D3C">
              <w:rPr>
                <w:rFonts w:ascii="Calibri" w:hAnsi="Calibri" w:cs="Calibri"/>
                <w:sz w:val="20"/>
                <w:szCs w:val="20"/>
              </w:rPr>
              <w:instrText> </w:instrText>
            </w:r>
            <w:r w:rsidRPr="00FD1D3C">
              <w:rPr>
                <w:sz w:val="20"/>
                <w:szCs w:val="20"/>
              </w:rPr>
              <w:instrText>0.7-0.8), and parent-reported behaviors from ages 2</w:instrText>
            </w:r>
            <w:r w:rsidRPr="00FD1D3C">
              <w:rPr>
                <w:rFonts w:ascii="Calibri" w:hAnsi="Calibri" w:cs="Calibri"/>
                <w:sz w:val="20"/>
                <w:szCs w:val="20"/>
              </w:rPr>
              <w:instrText>–</w:instrText>
            </w:r>
            <w:r w:rsidRPr="00FD1D3C">
              <w:rPr>
                <w:sz w:val="20"/>
                <w:szCs w:val="20"/>
              </w:rPr>
              <w:instrText>8 years had poor to good reproducibility (ICCs = 0.38–0.59). Conclusions Prenatal BPA and PBDE-47 concentrations were persistently associated with more externalizing behaviors. PBDE-47 concentrations were inversely associated with cognitive abilities that strengthened over time.","author":[{"dropping-particle":"","family":"Braun","given":"Joseph M.","non-dropping-particle":"","parse-names":false,"suffix":""},{"dropping-particle":"","family":"Yolton","given":"Kimberly","non-dropping-particle":"","parse-names":false,"suffix":""},{"dropping-particle":"","family":"Stacy","given":"Shaina L.","non-dropping-particle":"","parse-names":false,"suffix":""},{"dropping-particle":"","family":"Erar","given":"Bahar","non-dropping-particle":"","parse-names":false,"suffix":""},{"dropping-particle":"","family":"Papandonatos","given":"George D.","non-dropping-particle":"","parse-names":false,"suffix":""},{"dropping-particle":"","family":"Bellinger","given":"David C.","non-dropping-particle":"","parse-names":false,"suffix":""},{"dropping-particle":"","family":"Lanphear","given":"Bruce P.","non-dropping-particle":"","parse-names":false,"suffix":""},{"dropping-particle":"","family":"Chen","given":"Aimin","non-dropping-particle":"","parse-names":false,"suffix":""}],"container-title":"NeuroToxicology","id":"ITEM-1","issued":{"date-parts":[["2017","9","1"]]},"page":"192-199","publisher":"Elsevier B.V.","title":"Prenatal environmental chemical exposures and longitudinal patterns of child neurobehavior","type":"article-journal","volume":"62"},"uris":["http://www.mendeley.com/documents/?uuid=a1ca9e0d-d739-355d-a105-fe750448e4ae"]}],"mendeley":{"formattedCitation":"[4]","plainTextFormattedCitation":"[4]"},"properties":{"noteIndex":0},"schema":"https://github.com/citation-style-language/schema/raw/master/csl-citation.json"}</w:instrText>
            </w:r>
            <w:r w:rsidRPr="00FD1D3C">
              <w:rPr>
                <w:sz w:val="20"/>
                <w:szCs w:val="20"/>
              </w:rPr>
              <w:fldChar w:fldCharType="separate"/>
            </w:r>
            <w:r w:rsidRPr="00FD1D3C">
              <w:rPr>
                <w:noProof/>
                <w:sz w:val="20"/>
                <w:szCs w:val="20"/>
              </w:rPr>
              <w:t>[4]</w:t>
            </w:r>
            <w:r w:rsidRPr="00FD1D3C">
              <w:rPr>
                <w:sz w:val="20"/>
                <w:szCs w:val="20"/>
              </w:rPr>
              <w:fldChar w:fldCharType="end"/>
            </w:r>
          </w:p>
        </w:tc>
        <w:tc>
          <w:tcPr>
            <w:tcW w:w="900" w:type="dxa"/>
            <w:tcBorders>
              <w:bottom w:val="single" w:sz="4" w:space="0" w:color="auto"/>
            </w:tcBorders>
            <w:vAlign w:val="center"/>
          </w:tcPr>
          <w:p w14:paraId="1E0638AF" w14:textId="46E063EC" w:rsidR="004207B1" w:rsidRPr="00FD1D3C" w:rsidRDefault="0045266B" w:rsidP="003B2170">
            <w:pPr>
              <w:jc w:val="center"/>
              <w:rPr>
                <w:sz w:val="20"/>
                <w:szCs w:val="20"/>
              </w:rPr>
            </w:pPr>
            <w:r w:rsidRPr="00FD1D3C">
              <w:rPr>
                <w:sz w:val="20"/>
                <w:szCs w:val="20"/>
              </w:rPr>
              <w:t>178</w:t>
            </w:r>
          </w:p>
        </w:tc>
        <w:tc>
          <w:tcPr>
            <w:tcW w:w="1404" w:type="dxa"/>
            <w:tcBorders>
              <w:bottom w:val="single" w:sz="4" w:space="0" w:color="auto"/>
            </w:tcBorders>
            <w:vAlign w:val="center"/>
          </w:tcPr>
          <w:p w14:paraId="6FB950D0" w14:textId="1F9D15AD" w:rsidR="004207B1" w:rsidRPr="00FD1D3C" w:rsidRDefault="004207B1" w:rsidP="003B2170">
            <w:pPr>
              <w:jc w:val="center"/>
              <w:rPr>
                <w:sz w:val="20"/>
                <w:szCs w:val="20"/>
              </w:rPr>
            </w:pPr>
            <w:r w:rsidRPr="00FD1D3C">
              <w:rPr>
                <w:sz w:val="20"/>
                <w:szCs w:val="20"/>
              </w:rPr>
              <w:t>2 (gestation weeks 16</w:t>
            </w:r>
            <w:r w:rsidRPr="00FD1D3C">
              <w:rPr>
                <w:sz w:val="20"/>
                <w:szCs w:val="20"/>
                <w:vertAlign w:val="superscript"/>
              </w:rPr>
              <w:t>th</w:t>
            </w:r>
            <w:r w:rsidRPr="00FD1D3C">
              <w:rPr>
                <w:sz w:val="20"/>
                <w:szCs w:val="20"/>
              </w:rPr>
              <w:t xml:space="preserve"> and 26</w:t>
            </w:r>
            <w:r w:rsidRPr="00FD1D3C">
              <w:rPr>
                <w:sz w:val="20"/>
                <w:szCs w:val="20"/>
                <w:vertAlign w:val="superscript"/>
              </w:rPr>
              <w:t>th</w:t>
            </w:r>
            <w:r w:rsidRPr="00FD1D3C">
              <w:rPr>
                <w:sz w:val="20"/>
                <w:szCs w:val="20"/>
              </w:rPr>
              <w:t>)</w:t>
            </w:r>
          </w:p>
        </w:tc>
        <w:tc>
          <w:tcPr>
            <w:tcW w:w="1576" w:type="dxa"/>
            <w:tcBorders>
              <w:bottom w:val="single" w:sz="4" w:space="0" w:color="auto"/>
            </w:tcBorders>
            <w:vAlign w:val="center"/>
          </w:tcPr>
          <w:p w14:paraId="335E2117" w14:textId="0E1A5E9B" w:rsidR="004207B1" w:rsidRPr="00FD1D3C" w:rsidRDefault="0045266B" w:rsidP="003B2170">
            <w:pPr>
              <w:jc w:val="center"/>
              <w:rPr>
                <w:sz w:val="20"/>
                <w:szCs w:val="20"/>
              </w:rPr>
            </w:pPr>
            <w:r w:rsidRPr="00FD1D3C">
              <w:rPr>
                <w:sz w:val="20"/>
                <w:szCs w:val="20"/>
              </w:rPr>
              <w:t>Yes</w:t>
            </w:r>
          </w:p>
        </w:tc>
        <w:tc>
          <w:tcPr>
            <w:tcW w:w="1980" w:type="dxa"/>
            <w:tcBorders>
              <w:bottom w:val="single" w:sz="4" w:space="0" w:color="auto"/>
            </w:tcBorders>
            <w:vAlign w:val="center"/>
          </w:tcPr>
          <w:p w14:paraId="3D284DFE" w14:textId="73AE2E25" w:rsidR="004207B1" w:rsidRPr="00FD1D3C" w:rsidRDefault="0045266B" w:rsidP="003B2170">
            <w:pPr>
              <w:jc w:val="center"/>
              <w:rPr>
                <w:sz w:val="20"/>
                <w:szCs w:val="20"/>
              </w:rPr>
            </w:pPr>
            <w:r w:rsidRPr="00FD1D3C">
              <w:rPr>
                <w:sz w:val="20"/>
                <w:szCs w:val="20"/>
              </w:rPr>
              <w:t xml:space="preserve">Externalizing behavior trajectory </w:t>
            </w:r>
            <w:r w:rsidR="007B4F71">
              <w:rPr>
                <w:sz w:val="20"/>
                <w:szCs w:val="20"/>
              </w:rPr>
              <w:t>throughout</w:t>
            </w:r>
            <w:r w:rsidR="001508D1" w:rsidRPr="00FD1D3C">
              <w:rPr>
                <w:sz w:val="20"/>
                <w:szCs w:val="20"/>
              </w:rPr>
              <w:t xml:space="preserve"> age</w:t>
            </w:r>
            <w:r w:rsidR="007B4F71">
              <w:rPr>
                <w:sz w:val="20"/>
                <w:szCs w:val="20"/>
              </w:rPr>
              <w:t>s</w:t>
            </w:r>
            <w:r w:rsidRPr="00FD1D3C">
              <w:rPr>
                <w:sz w:val="20"/>
                <w:szCs w:val="20"/>
              </w:rPr>
              <w:t xml:space="preserve"> 2, 3, 4</w:t>
            </w:r>
            <w:r w:rsidR="007B4F71">
              <w:rPr>
                <w:sz w:val="20"/>
                <w:szCs w:val="20"/>
              </w:rPr>
              <w:t>,</w:t>
            </w:r>
            <w:r w:rsidRPr="00FD1D3C">
              <w:rPr>
                <w:sz w:val="20"/>
                <w:szCs w:val="20"/>
              </w:rPr>
              <w:t xml:space="preserve"> 5 </w:t>
            </w:r>
            <w:r w:rsidR="007B4F71">
              <w:rPr>
                <w:sz w:val="20"/>
                <w:szCs w:val="20"/>
              </w:rPr>
              <w:t>and</w:t>
            </w:r>
            <w:r w:rsidRPr="00FD1D3C">
              <w:rPr>
                <w:sz w:val="20"/>
                <w:szCs w:val="20"/>
              </w:rPr>
              <w:t xml:space="preserve"> 8</w:t>
            </w:r>
          </w:p>
        </w:tc>
        <w:tc>
          <w:tcPr>
            <w:tcW w:w="990" w:type="dxa"/>
            <w:tcBorders>
              <w:bottom w:val="single" w:sz="4" w:space="0" w:color="auto"/>
            </w:tcBorders>
            <w:vAlign w:val="center"/>
          </w:tcPr>
          <w:p w14:paraId="4E44CC8F" w14:textId="4C8122A1" w:rsidR="004207B1" w:rsidRPr="00FD1D3C" w:rsidRDefault="0045266B" w:rsidP="003B2170">
            <w:pPr>
              <w:jc w:val="center"/>
              <w:rPr>
                <w:sz w:val="20"/>
                <w:szCs w:val="20"/>
              </w:rPr>
            </w:pPr>
            <w:r w:rsidRPr="00FD1D3C">
              <w:rPr>
                <w:sz w:val="20"/>
                <w:szCs w:val="20"/>
              </w:rPr>
              <w:t>Girls</w:t>
            </w:r>
          </w:p>
        </w:tc>
      </w:tr>
      <w:tr w:rsidR="003B2170" w14:paraId="15A9F8CF" w14:textId="77777777" w:rsidTr="00E7661A">
        <w:trPr>
          <w:trHeight w:val="660"/>
          <w:jc w:val="center"/>
        </w:trPr>
        <w:tc>
          <w:tcPr>
            <w:tcW w:w="2335" w:type="dxa"/>
            <w:tcBorders>
              <w:bottom w:val="single" w:sz="4" w:space="0" w:color="auto"/>
            </w:tcBorders>
            <w:vAlign w:val="center"/>
          </w:tcPr>
          <w:p w14:paraId="5BC86E16" w14:textId="77777777" w:rsidR="003B2170" w:rsidRPr="00D34DEE" w:rsidRDefault="003B2170" w:rsidP="003B2170">
            <w:pPr>
              <w:rPr>
                <w:b/>
                <w:bCs/>
                <w:sz w:val="20"/>
                <w:szCs w:val="20"/>
              </w:rPr>
            </w:pPr>
            <w:r w:rsidRPr="00D34DEE">
              <w:rPr>
                <w:b/>
                <w:bCs/>
                <w:sz w:val="20"/>
                <w:szCs w:val="20"/>
              </w:rPr>
              <w:t>MSCEHS (USA)</w:t>
            </w:r>
          </w:p>
          <w:p w14:paraId="79DF6E03" w14:textId="66F33D50" w:rsidR="003B2170" w:rsidRPr="00FD1D3C" w:rsidRDefault="003B2170" w:rsidP="003B2170">
            <w:pPr>
              <w:rPr>
                <w:sz w:val="20"/>
                <w:szCs w:val="20"/>
              </w:rPr>
            </w:pPr>
            <w:proofErr w:type="spellStart"/>
            <w:r w:rsidRPr="00D34DEE">
              <w:rPr>
                <w:sz w:val="20"/>
                <w:szCs w:val="20"/>
              </w:rPr>
              <w:t>Miodovnik</w:t>
            </w:r>
            <w:proofErr w:type="spellEnd"/>
            <w:r w:rsidRPr="00D34DEE">
              <w:rPr>
                <w:sz w:val="20"/>
                <w:szCs w:val="20"/>
              </w:rPr>
              <w:t xml:space="preserve"> et al., 2011 </w:t>
            </w:r>
            <w:r w:rsidRPr="00FD1D3C">
              <w:rPr>
                <w:sz w:val="20"/>
                <w:szCs w:val="20"/>
              </w:rPr>
              <w:fldChar w:fldCharType="begin" w:fldLock="1"/>
            </w:r>
            <w:r w:rsidR="004207B1" w:rsidRPr="00D34DEE">
              <w:rPr>
                <w:sz w:val="20"/>
                <w:szCs w:val="20"/>
              </w:rPr>
              <w:instrText>ADDIN CSL_CITATION {"citationItems":[{"id":"ITEM-1","itemData":{"DOI":"10.1016/j.neuro.2010.12.009","ISSN":"1872-9711","PMID":"21182865","abstract":"Prenatal exposure to endocrine disruptors has the potential to impact early brain development. Neurodevelopmental toxicity in utero may manifest as psychosocial deficits later in childhood. This study investigates prenatal exposure to two ubiquitous endocrine disruptors, the phthalate esters and bisphenol A (BPA), and social behavior in a sample of adolescent inner-city children. Third trimester urines of women enrolled in the Mount Sinai Children's Environmental Health Study between 1998 and 2002 (n=404) were analyzed for phthalate metabolites and BPA. Mother-child pairs were asked to return for a follow-up assessment when the child was between the ages of 7 and 9 years. At this visit, mothers completed the Social Responsiveness Scale (SRS) (n=137), a quantitative scale for measuring the severity of social impairment related to Autistic Spectrum Disorders (ASD) in the general population. In adjusted general linear models increasing log-transformed low molecular weight (LMW) phthalate metabolite concentrations were associated with greater social deficits (</w:instrText>
            </w:r>
            <w:r w:rsidR="004207B1" w:rsidRPr="00FD1D3C">
              <w:rPr>
                <w:sz w:val="20"/>
                <w:szCs w:val="20"/>
                <w:lang w:val="es-ES"/>
              </w:rPr>
              <w:instrText>β</w:instrText>
            </w:r>
            <w:r w:rsidR="004207B1" w:rsidRPr="00D34DEE">
              <w:rPr>
                <w:sz w:val="20"/>
                <w:szCs w:val="20"/>
              </w:rPr>
              <w:instrText>=1.53, 95% CI 0.25-2.8). Among the subscales, LMWP were also associated with poorer Social Cognition (</w:instrText>
            </w:r>
            <w:r w:rsidR="004207B1" w:rsidRPr="00FD1D3C">
              <w:rPr>
                <w:sz w:val="20"/>
                <w:szCs w:val="20"/>
                <w:lang w:val="es-ES"/>
              </w:rPr>
              <w:instrText>β</w:instrText>
            </w:r>
            <w:r w:rsidR="004207B1" w:rsidRPr="00D34DEE">
              <w:rPr>
                <w:sz w:val="20"/>
                <w:szCs w:val="20"/>
              </w:rPr>
              <w:instrText>=1.40, 95% CI 0.1-2.7)</w:instrText>
            </w:r>
            <w:r w:rsidR="004207B1" w:rsidRPr="00FD1D3C">
              <w:rPr>
                <w:sz w:val="20"/>
                <w:szCs w:val="20"/>
                <w:lang w:val="es-ES"/>
              </w:rPr>
              <w:instrText>; Social Communication (β=1.86, 95% CI 0.5-3.2); and Social Awareness (β=1.25, 95% CI 0.1-2.4), but not for Autistic Mannerisms or Social Motivation. No significant association with BPA was found (β=1.18, 95% CI -0.75, 3.11). Prenatal phthalate exposure was associated with childhood social impairment in a multiethnic urban population. Even mild degrees of impaired social functioning in otherwise healthy individuals can have very important adverse effects over a child's lifetime. These results extend our previous finding of atypical neonatal and early childhood behaviors in relation to prenatal phthalate exposure.","autho</w:instrText>
            </w:r>
            <w:r w:rsidR="004207B1" w:rsidRPr="00FD1D3C">
              <w:rPr>
                <w:sz w:val="20"/>
                <w:szCs w:val="20"/>
              </w:rPr>
              <w:instrText>r":[{"dropping-particle":"","family":"Miodovnik","given":"Amir","non-dropping-particle":"","parse-names":false,"suffix":""},{"dropping-particle":"","family":"Engel","given":"Stephanie M","non-dropping-particle":"","parse-names":false,"suffix":""},{"dropping-particle":"","family":"Zhu","given":"Chenbo","non-dropping-particle":"","parse-names":false,"suffix":""},{"dropping-particle":"","family":"Ye","given":"Xiaoyun","non-dropping-particle":"","parse-names":false,"suffix":""},{"dropping-particle":"V","family":"Soorya","given":"Latha","non-dropping-particle":"","parse-names":false,"suffix":""},{"dropping-particle":"","family":"Silva","given":"Manori J","non-dropping-particle":"","parse-names":false,"suffix":""},{"dropping-particle":"","family":"Calafat","given":"Antonia M","non-dropping-particle":"","parse-names":false,"suffix":""},{"dropping-particle":"","family":"Wolff","given":"Mary S","non-dropping-particle":"","parse-names":false,"suffix":""}],"container-title":"Neurotoxicology","id":"ITEM-1","issue":"2","issued":{"date-parts":[["2011","3"]]},"page":"261-7","title":"Endocrine disruptors and childhood social impairment.","type":"article-journal","volume":"32"},"uris":["http://www.mendeley.com/documents/?uuid=c8586ea1-1861-36c0-b0af-0ff68db26163"]}],"mendeley":{"formattedCitation":"[5]","plainTextFormattedCitation":"[5]","previouslyFormattedCitation":"[4]"},"properties":{"noteIndex":0},"schema":"https://github.com/citation-style-language/schema/raw/master/csl-citation.json"}</w:instrText>
            </w:r>
            <w:r w:rsidRPr="00FD1D3C">
              <w:rPr>
                <w:sz w:val="20"/>
                <w:szCs w:val="20"/>
              </w:rPr>
              <w:fldChar w:fldCharType="separate"/>
            </w:r>
            <w:r w:rsidR="004207B1" w:rsidRPr="00FD1D3C">
              <w:rPr>
                <w:noProof/>
                <w:sz w:val="20"/>
                <w:szCs w:val="20"/>
              </w:rPr>
              <w:t>[5]</w:t>
            </w:r>
            <w:r w:rsidRPr="00FD1D3C">
              <w:rPr>
                <w:sz w:val="20"/>
                <w:szCs w:val="20"/>
              </w:rPr>
              <w:fldChar w:fldCharType="end"/>
            </w:r>
          </w:p>
        </w:tc>
        <w:tc>
          <w:tcPr>
            <w:tcW w:w="900" w:type="dxa"/>
            <w:tcBorders>
              <w:bottom w:val="single" w:sz="4" w:space="0" w:color="auto"/>
            </w:tcBorders>
            <w:vAlign w:val="center"/>
          </w:tcPr>
          <w:p w14:paraId="0B8C4FAC" w14:textId="704D955C" w:rsidR="003B2170" w:rsidRPr="00FD1D3C" w:rsidRDefault="003B2170" w:rsidP="003B2170">
            <w:pPr>
              <w:jc w:val="center"/>
              <w:rPr>
                <w:sz w:val="20"/>
                <w:szCs w:val="20"/>
              </w:rPr>
            </w:pPr>
            <w:r w:rsidRPr="00FD1D3C">
              <w:rPr>
                <w:sz w:val="20"/>
                <w:szCs w:val="20"/>
              </w:rPr>
              <w:t>137</w:t>
            </w:r>
          </w:p>
        </w:tc>
        <w:tc>
          <w:tcPr>
            <w:tcW w:w="1404" w:type="dxa"/>
            <w:tcBorders>
              <w:bottom w:val="single" w:sz="4" w:space="0" w:color="auto"/>
            </w:tcBorders>
            <w:vAlign w:val="center"/>
          </w:tcPr>
          <w:p w14:paraId="20D92039" w14:textId="7BB94301" w:rsidR="003B2170" w:rsidRPr="00FD1D3C" w:rsidRDefault="003B2170" w:rsidP="003B2170">
            <w:pPr>
              <w:jc w:val="center"/>
              <w:rPr>
                <w:sz w:val="20"/>
                <w:szCs w:val="20"/>
              </w:rPr>
            </w:pPr>
            <w:r w:rsidRPr="00FD1D3C">
              <w:rPr>
                <w:sz w:val="20"/>
                <w:szCs w:val="20"/>
              </w:rPr>
              <w:t>1 (gestation week 31</w:t>
            </w:r>
            <w:r w:rsidRPr="00FD1D3C">
              <w:rPr>
                <w:sz w:val="20"/>
                <w:szCs w:val="20"/>
                <w:vertAlign w:val="superscript"/>
              </w:rPr>
              <w:t>th</w:t>
            </w:r>
            <w:r w:rsidRPr="00FD1D3C">
              <w:rPr>
                <w:sz w:val="20"/>
                <w:szCs w:val="20"/>
              </w:rPr>
              <w:t>)</w:t>
            </w:r>
          </w:p>
        </w:tc>
        <w:tc>
          <w:tcPr>
            <w:tcW w:w="1576" w:type="dxa"/>
            <w:tcBorders>
              <w:bottom w:val="single" w:sz="4" w:space="0" w:color="auto"/>
            </w:tcBorders>
            <w:vAlign w:val="center"/>
          </w:tcPr>
          <w:p w14:paraId="0B08A03D" w14:textId="77777777" w:rsidR="003B2170" w:rsidRPr="00FD1D3C" w:rsidRDefault="003B2170" w:rsidP="003B2170">
            <w:pPr>
              <w:jc w:val="center"/>
              <w:rPr>
                <w:sz w:val="20"/>
                <w:szCs w:val="20"/>
              </w:rPr>
            </w:pPr>
            <w:r w:rsidRPr="00FD1D3C">
              <w:rPr>
                <w:sz w:val="20"/>
                <w:szCs w:val="20"/>
              </w:rPr>
              <w:t>No</w:t>
            </w:r>
          </w:p>
          <w:p w14:paraId="44B60106" w14:textId="64F807F8" w:rsidR="003B2170" w:rsidRPr="00FD1D3C" w:rsidRDefault="003B2170" w:rsidP="003B2170">
            <w:pPr>
              <w:jc w:val="center"/>
              <w:rPr>
                <w:sz w:val="20"/>
                <w:szCs w:val="20"/>
              </w:rPr>
            </w:pPr>
            <w:r w:rsidRPr="00FD1D3C">
              <w:rPr>
                <w:sz w:val="20"/>
                <w:szCs w:val="20"/>
              </w:rPr>
              <w:t xml:space="preserve"> (Yes, when 6 outliers were removed from the analysis)</w:t>
            </w:r>
          </w:p>
        </w:tc>
        <w:tc>
          <w:tcPr>
            <w:tcW w:w="1980" w:type="dxa"/>
            <w:tcBorders>
              <w:bottom w:val="single" w:sz="4" w:space="0" w:color="auto"/>
            </w:tcBorders>
            <w:vAlign w:val="center"/>
          </w:tcPr>
          <w:p w14:paraId="1552269D" w14:textId="6B79C5E1" w:rsidR="003B2170" w:rsidRPr="00FD1D3C" w:rsidRDefault="003B2170" w:rsidP="003B2170">
            <w:pPr>
              <w:jc w:val="center"/>
              <w:rPr>
                <w:sz w:val="20"/>
                <w:szCs w:val="20"/>
              </w:rPr>
            </w:pPr>
            <w:r w:rsidRPr="00FD1D3C">
              <w:rPr>
                <w:sz w:val="20"/>
                <w:szCs w:val="20"/>
              </w:rPr>
              <w:t>A</w:t>
            </w:r>
            <w:r w:rsidR="00257AD4" w:rsidRPr="00FD1D3C">
              <w:rPr>
                <w:sz w:val="20"/>
                <w:szCs w:val="20"/>
              </w:rPr>
              <w:t>utistic behaviors a</w:t>
            </w:r>
            <w:r w:rsidRPr="00FD1D3C">
              <w:rPr>
                <w:sz w:val="20"/>
                <w:szCs w:val="20"/>
              </w:rPr>
              <w:t>t 7-9 yrs</w:t>
            </w:r>
            <w:r w:rsidR="007B4F71">
              <w:rPr>
                <w:sz w:val="20"/>
                <w:szCs w:val="20"/>
              </w:rPr>
              <w:t>.</w:t>
            </w:r>
          </w:p>
        </w:tc>
        <w:tc>
          <w:tcPr>
            <w:tcW w:w="990" w:type="dxa"/>
            <w:tcBorders>
              <w:bottom w:val="single" w:sz="4" w:space="0" w:color="auto"/>
            </w:tcBorders>
            <w:vAlign w:val="center"/>
          </w:tcPr>
          <w:p w14:paraId="0BA009F0" w14:textId="36EFCA03" w:rsidR="003B2170" w:rsidRPr="00FD1D3C" w:rsidRDefault="000777B6" w:rsidP="003B2170">
            <w:pPr>
              <w:jc w:val="center"/>
              <w:rPr>
                <w:sz w:val="20"/>
                <w:szCs w:val="20"/>
              </w:rPr>
            </w:pPr>
            <w:r w:rsidRPr="00FD1D3C">
              <w:rPr>
                <w:sz w:val="20"/>
                <w:szCs w:val="20"/>
              </w:rPr>
              <w:t>n/a</w:t>
            </w:r>
          </w:p>
        </w:tc>
      </w:tr>
      <w:tr w:rsidR="003B2170" w14:paraId="6B1C5A02" w14:textId="77777777" w:rsidTr="00E7661A">
        <w:trPr>
          <w:trHeight w:val="598"/>
          <w:jc w:val="center"/>
        </w:trPr>
        <w:tc>
          <w:tcPr>
            <w:tcW w:w="2335" w:type="dxa"/>
            <w:vAlign w:val="center"/>
          </w:tcPr>
          <w:p w14:paraId="25D71570" w14:textId="73399259" w:rsidR="003B2170" w:rsidRPr="0013062F" w:rsidRDefault="003B2170" w:rsidP="003B2170">
            <w:pPr>
              <w:rPr>
                <w:b/>
                <w:bCs/>
                <w:sz w:val="20"/>
                <w:szCs w:val="20"/>
              </w:rPr>
            </w:pPr>
            <w:r w:rsidRPr="0013062F">
              <w:rPr>
                <w:b/>
                <w:bCs/>
                <w:sz w:val="20"/>
                <w:szCs w:val="20"/>
              </w:rPr>
              <w:t>CCCEH (USA)</w:t>
            </w:r>
          </w:p>
          <w:p w14:paraId="1DD3B542" w14:textId="270E53E2" w:rsidR="003B2170" w:rsidRPr="000E0197" w:rsidRDefault="003B2170" w:rsidP="003B2170">
            <w:pPr>
              <w:rPr>
                <w:sz w:val="20"/>
                <w:szCs w:val="20"/>
              </w:rPr>
            </w:pPr>
            <w:proofErr w:type="spellStart"/>
            <w:r w:rsidRPr="0013062F">
              <w:rPr>
                <w:sz w:val="20"/>
                <w:szCs w:val="20"/>
              </w:rPr>
              <w:t>Perera</w:t>
            </w:r>
            <w:proofErr w:type="spellEnd"/>
            <w:r w:rsidRPr="0013062F">
              <w:rPr>
                <w:sz w:val="20"/>
                <w:szCs w:val="20"/>
              </w:rPr>
              <w:t xml:space="preserve"> et al. 2012 </w:t>
            </w:r>
            <w:r>
              <w:rPr>
                <w:sz w:val="20"/>
                <w:szCs w:val="20"/>
              </w:rPr>
              <w:fldChar w:fldCharType="begin" w:fldLock="1"/>
            </w:r>
            <w:r w:rsidR="004207B1" w:rsidRPr="0013062F">
              <w:rPr>
                <w:sz w:val="20"/>
                <w:szCs w:val="20"/>
              </w:rPr>
              <w:instrText>ADDIN CSL_CITATION {"citationItems":[{"id":"ITEM-1","itemData":{"DOI":"10.1289/ehp.1104492","ISSN":"1552-9924","PMID":"22543054","abstract":"BACKGROUND Experimental laboratory evidence suggests that bisphenol A (BPA), an endocrine disruptor, is a neurodevelopmental toxicant. However, there have been limited and inconclusive results with respect to sex-specific BPA effects on child behavior. OBJECTIVE We examined the association between prenatal BPA exposure and child behavior, adjusting for postnatal BPA exposure and hypothesizing sex-specific effects. METHODS We followed African-American and Dominican women and their children from pregnancy to child's age 5 years, collecting spot urine samples from the mothers during pregnancy (34 weeks on average) and from children between 3 and 4 years of age to estimate BPA exposure. We assessed child behavior between 3 and 5 years of age using the Child Behavior Checklist (CBCL) and used generalized linear models to test the association between BPA exposure and child behavior, adjusting for potential confounders. RESULTS The analysis was conducted on 198 children (87 boys and 111 girls). Among boys, high prenatal BPA exposure (highest quartile vs. the lowest three quartiles) was associated with significantly higher CBCL scores (more problems) on Emotionally Reactive [1.62 times grea</w:instrText>
            </w:r>
            <w:r w:rsidR="004207B1" w:rsidRPr="0013062F">
              <w:rPr>
                <w:sz w:val="20"/>
                <w:szCs w:val="20"/>
                <w:lang w:val="es-ES"/>
              </w:rPr>
              <w:instrText>ter; 95% confidence interval (CI): 1.13, 2.32] and Aggressive Behavior syndromes (1.29 times greater; 95% CI: 1.09, 1.53). Among girls, higher exposure was associated with lower scores on all syndromes, reaching statistical significance for Anxious/Depressed (0.75 times as high; 95% CI: 0.57, 0.99) and Aggressive Behavior (0.82 times as high; 95% CI: 0.70, 0.97). CONCLUSION These results suggest that prenatal exposure to BPA may a</w:instrText>
            </w:r>
            <w:r w:rsidR="004207B1" w:rsidRPr="00D34DEE">
              <w:rPr>
                <w:sz w:val="20"/>
                <w:szCs w:val="20"/>
              </w:rPr>
              <w:instrText>ffect child behavior, and differently among boys and girls.","author":[{"dropping-particle":"","family":"Perera","given":"Frederica","non-dropping-particle":"","parse-names":false,"suffix":""},{"dropping-particle":"","family":"Vishnevetsky","given":"Julia","non-dropping-particle":"","parse-names":false,"suffix":""},{"dropping-particle":"","family":"Herbstman","given":"Julie B","non-dropping-particle":"","parse-names":false,"suffix":""},{"dropping-particle":"","family":"Calafat","given":"Antonia M","non-dropping-particle":"","parse-names":false,"suffix":""},{"dropping-particle":"","family":"Xiong","given":"Wei","non-dropping-particle":"","parse-names":false,"suffix":""},{"dropping-particle":"","family":"Rauh","given":"Virginia","non-dropping-particle":"","parse-names":false,"suffix":""},{"dropping-particle":"","family":"Wang","given":"Shuang","non-dropping-particle":"","parse-names":false,"suffix":""}],"container-title":"Environmental health perspectives","id":"ITEM-1","issue":"8","issued":{"date-parts":[["2012","8","27"]]},"page":"1190-4","title":"Prenatal bisphenol a exposure and child behavior in an inner-city cohort.","type":"article-journal","volume":"120"},"uris":["http://www.mend</w:instrText>
            </w:r>
            <w:r w:rsidR="004207B1">
              <w:rPr>
                <w:sz w:val="20"/>
                <w:szCs w:val="20"/>
              </w:rPr>
              <w:instrText>eley.com/documents/?uuid=f3ce8d96-04e9-35e0-8b20-aca1c0085534"]}],"mendeley":{"formattedCitation":"[6]","plainTextFormattedCitation":"[6]","previouslyFormattedCitation":"[5]"},"properties":{"noteIndex":0},"schema":"https://github.com/citation-style-language/schema/raw/master/csl-citation.json"}</w:instrText>
            </w:r>
            <w:r>
              <w:rPr>
                <w:sz w:val="20"/>
                <w:szCs w:val="20"/>
              </w:rPr>
              <w:fldChar w:fldCharType="separate"/>
            </w:r>
            <w:r w:rsidR="004207B1" w:rsidRPr="004207B1">
              <w:rPr>
                <w:noProof/>
                <w:sz w:val="20"/>
                <w:szCs w:val="20"/>
              </w:rPr>
              <w:t>[6]</w:t>
            </w:r>
            <w:r>
              <w:rPr>
                <w:sz w:val="20"/>
                <w:szCs w:val="20"/>
              </w:rPr>
              <w:fldChar w:fldCharType="end"/>
            </w:r>
          </w:p>
        </w:tc>
        <w:tc>
          <w:tcPr>
            <w:tcW w:w="900" w:type="dxa"/>
            <w:vAlign w:val="center"/>
          </w:tcPr>
          <w:p w14:paraId="5DDD53F5" w14:textId="2C994E05" w:rsidR="003B2170" w:rsidRPr="00C573FB" w:rsidRDefault="003B2170" w:rsidP="003B2170">
            <w:pPr>
              <w:jc w:val="center"/>
              <w:rPr>
                <w:sz w:val="20"/>
                <w:szCs w:val="20"/>
              </w:rPr>
            </w:pPr>
            <w:r>
              <w:rPr>
                <w:sz w:val="20"/>
                <w:szCs w:val="20"/>
              </w:rPr>
              <w:t>198</w:t>
            </w:r>
          </w:p>
        </w:tc>
        <w:tc>
          <w:tcPr>
            <w:tcW w:w="1404" w:type="dxa"/>
            <w:vMerge w:val="restart"/>
            <w:vAlign w:val="center"/>
          </w:tcPr>
          <w:p w14:paraId="55801B45" w14:textId="4B152E70" w:rsidR="003B2170" w:rsidRPr="00C573FB" w:rsidRDefault="003B2170" w:rsidP="003B2170">
            <w:pPr>
              <w:jc w:val="center"/>
              <w:rPr>
                <w:sz w:val="20"/>
                <w:szCs w:val="20"/>
              </w:rPr>
            </w:pPr>
            <w:r>
              <w:rPr>
                <w:sz w:val="20"/>
                <w:szCs w:val="20"/>
              </w:rPr>
              <w:t>1 (gestation week 34</w:t>
            </w:r>
            <w:r w:rsidRPr="00F54223">
              <w:rPr>
                <w:sz w:val="20"/>
                <w:szCs w:val="20"/>
                <w:vertAlign w:val="superscript"/>
              </w:rPr>
              <w:t>th</w:t>
            </w:r>
            <w:r>
              <w:rPr>
                <w:sz w:val="20"/>
                <w:szCs w:val="20"/>
              </w:rPr>
              <w:t>)</w:t>
            </w:r>
          </w:p>
        </w:tc>
        <w:tc>
          <w:tcPr>
            <w:tcW w:w="1576" w:type="dxa"/>
            <w:vAlign w:val="center"/>
          </w:tcPr>
          <w:p w14:paraId="229A6615" w14:textId="77777777" w:rsidR="003B2170" w:rsidRDefault="003B2170" w:rsidP="003B2170">
            <w:pPr>
              <w:jc w:val="center"/>
              <w:rPr>
                <w:sz w:val="20"/>
                <w:szCs w:val="20"/>
              </w:rPr>
            </w:pPr>
            <w:r w:rsidRPr="00C573FB">
              <w:rPr>
                <w:sz w:val="20"/>
                <w:szCs w:val="20"/>
              </w:rPr>
              <w:t>Yes</w:t>
            </w:r>
          </w:p>
          <w:p w14:paraId="0EEAB393" w14:textId="09E1FC17" w:rsidR="003B2170" w:rsidRPr="00C573FB" w:rsidRDefault="003B2170" w:rsidP="003B2170">
            <w:pPr>
              <w:jc w:val="center"/>
              <w:rPr>
                <w:sz w:val="20"/>
                <w:szCs w:val="20"/>
              </w:rPr>
            </w:pPr>
          </w:p>
        </w:tc>
        <w:tc>
          <w:tcPr>
            <w:tcW w:w="1980" w:type="dxa"/>
            <w:vAlign w:val="center"/>
          </w:tcPr>
          <w:p w14:paraId="38116CCA" w14:textId="39A930E4" w:rsidR="003B2170" w:rsidRPr="00805C17" w:rsidRDefault="003B2170" w:rsidP="003B2170">
            <w:pPr>
              <w:jc w:val="center"/>
              <w:rPr>
                <w:sz w:val="20"/>
                <w:szCs w:val="20"/>
              </w:rPr>
            </w:pPr>
            <w:r>
              <w:rPr>
                <w:sz w:val="20"/>
                <w:szCs w:val="20"/>
              </w:rPr>
              <w:t>Both at 3</w:t>
            </w:r>
            <w:r w:rsidRPr="00805C17">
              <w:rPr>
                <w:sz w:val="20"/>
                <w:szCs w:val="20"/>
              </w:rPr>
              <w:t>-5 y</w:t>
            </w:r>
            <w:r>
              <w:rPr>
                <w:sz w:val="20"/>
                <w:szCs w:val="20"/>
              </w:rPr>
              <w:t>rs</w:t>
            </w:r>
            <w:r w:rsidR="007B4F71">
              <w:rPr>
                <w:sz w:val="20"/>
                <w:szCs w:val="20"/>
              </w:rPr>
              <w:t>.</w:t>
            </w:r>
          </w:p>
          <w:p w14:paraId="5CF7D283" w14:textId="53BEBAB0" w:rsidR="003B2170" w:rsidRPr="00805C17" w:rsidRDefault="003B2170" w:rsidP="003B2170">
            <w:pPr>
              <w:jc w:val="center"/>
              <w:rPr>
                <w:sz w:val="20"/>
                <w:szCs w:val="20"/>
              </w:rPr>
            </w:pPr>
          </w:p>
        </w:tc>
        <w:tc>
          <w:tcPr>
            <w:tcW w:w="990" w:type="dxa"/>
            <w:vMerge w:val="restart"/>
            <w:vAlign w:val="center"/>
          </w:tcPr>
          <w:p w14:paraId="2A53C9B4" w14:textId="0FBB2D73" w:rsidR="003B2170" w:rsidRPr="00C573FB" w:rsidRDefault="003B2170" w:rsidP="003B2170">
            <w:pPr>
              <w:jc w:val="center"/>
              <w:rPr>
                <w:sz w:val="20"/>
                <w:szCs w:val="20"/>
              </w:rPr>
            </w:pPr>
            <w:r w:rsidRPr="00C573FB">
              <w:rPr>
                <w:sz w:val="20"/>
                <w:szCs w:val="20"/>
              </w:rPr>
              <w:t>Boys</w:t>
            </w:r>
          </w:p>
        </w:tc>
      </w:tr>
      <w:tr w:rsidR="003B2170" w14:paraId="6F865F4F" w14:textId="77777777" w:rsidTr="00E7661A">
        <w:trPr>
          <w:trHeight w:val="490"/>
          <w:jc w:val="center"/>
        </w:trPr>
        <w:tc>
          <w:tcPr>
            <w:tcW w:w="2335" w:type="dxa"/>
            <w:vAlign w:val="center"/>
          </w:tcPr>
          <w:p w14:paraId="115FE47B" w14:textId="31CC3474" w:rsidR="003B2170" w:rsidRPr="0063570C" w:rsidRDefault="003B2170" w:rsidP="003B2170">
            <w:pPr>
              <w:rPr>
                <w:sz w:val="20"/>
                <w:szCs w:val="20"/>
                <w:lang w:val="es-ES"/>
              </w:rPr>
            </w:pPr>
            <w:proofErr w:type="spellStart"/>
            <w:r w:rsidRPr="00805C17">
              <w:rPr>
                <w:sz w:val="20"/>
                <w:szCs w:val="20"/>
              </w:rPr>
              <w:t>Roen</w:t>
            </w:r>
            <w:proofErr w:type="spellEnd"/>
            <w:r w:rsidRPr="00805C17">
              <w:rPr>
                <w:sz w:val="20"/>
                <w:szCs w:val="20"/>
              </w:rPr>
              <w:t xml:space="preserve"> et al., 2015 </w:t>
            </w:r>
            <w:r>
              <w:rPr>
                <w:sz w:val="20"/>
                <w:szCs w:val="20"/>
                <w:lang w:val="es-ES"/>
              </w:rPr>
              <w:fldChar w:fldCharType="begin" w:fldLock="1"/>
            </w:r>
            <w:r w:rsidR="004207B1">
              <w:rPr>
                <w:sz w:val="20"/>
                <w:szCs w:val="20"/>
              </w:rPr>
              <w:instrText>ADDIN CSL_CITATION {"citationItems":[{"id":"ITEM-1","itemData":{"DOI":"10.1016/j.envres.2015.01.014","ISSN":"1096-0953","PMID":"25724466","abstract":"BACKGROUND Bisphenol A (BPA) is a ubiquitous endocrine disrupting compound. Several experimental and epidemiological studies suggest that gestational BPA exposure can lead to neurodevelopmental and behavioral problems in early-life, but results have been inconsistent. We previously reported that prenatal BPA exposure may affect child behavior and differently among boys and girls at ages 3-5 years. OBJECTIVES We investigated the association of prenatal and early childhood BPA exposure with behavioral outcomes in 7-9 year old minority children and hypothesized that we would observe the same sex-specific pattern observed at earlier ages. METHODS African-American and Dominican women enrolled in an inner-city prospective cohort study and their children were followed from mother's pregnancy through children's age 7-9 years. Women during the third trimester of pregnancy and children at ages 3 and 5 years provided spot urine samples. BPA exposure was categorized by tertiles of BPA urinary concentrations. The Child Behavioral Checklist (CBCL) was administered at ages 7 and 9 to assess multiple child behavior domains. Associations between behavior and prenatal (maternal) BPA concentrations and behavior and postnatal (child) BPA concentration were assessed via Poisson regression in models stratified by sex. These models accounted for potential confounders including prenatal or postnatal urinary BPA concentrations, child age at CBCL assessment, ethnicity, gestational age, maternal intelligence, maternal education and demoralization, quality of child's home environment, prenatal environmental tobacco smoke exposure, and prenatal mono-n-butyl phthalate concentration. RESULTS The direction of the associations differed between boys and girls. Among boys (n=115), high prenatal BPA concentration (upper tertile vs. lower two tertiles) was associated with increased internalizing (β=0.41, p&lt;0.0001) and externalizing composite scores (β=0.40, p&lt;0.0001) and with their corresponding individual syndrome scales. There was a general decrease in scores among girls that was significant for the internalizing composite score (β=-0.17, p=0.04) (n=135). After accounting for possible selection bias, the results remained consistent for boys. Conversely, high postnatal BPA concentration was associated with increased behaviors on both the internalizing composite (β=0.30, p=0.0002) and externalizing composite scores (β=0.33, p&lt;0.0001) and individual subscores in girls but fewer symptoms in …","author":[{"dropping-particle":"","family":"Roen","given":"Emily L","non-dropping-particle":"","parse-names":false,"suffix":""},{"dropping-particle":"","family":"Wang","given":"Ya","non-dropping-particle":"","parse-names":false,"suffix":""},{"dropping-particle":"","family":"Calafat","given":"Antonia M","non-dropping-particle":"","parse-names":false,"suffix":""},{"dropping-particle":"","family":"Wang","given":"Shuang","non-dropping-particle":"","parse-names":false,"suffix":""},{"dropping-particle":"","family":"Margolis","given":"Amy","non-dropping-particle":"","parse-names":false,"suffix":""},{"dropping-particle":"","family":"Herbstman","given":"Julie","non-dropping-particle":"","parse-names":false,"suffix":""},{"dropping-particle":"","family":"Hoepner","given":"Lori A","non-dropping-particle":"","parse-names":false,"suffix":""},{"dropping-particle":"","family":"Rauh","given":"Virginia","non-dropping-particle":"","parse-names":false,"suffix":""},{"dropping-particle":"","family":"Perera","given":"Frederica P","non-dropping-particle":"","parse-names":false,"suffix":""}],"container-title":"Environmental research","id":"ITEM-1","issued":{"date-parts":[["2015","10"]]},"page":"739-45","title":"Bisphenol A exposure and behavioral problems among inner city children at 7-9 years of age.","type":"article-journal","volume":"142"},"uris":["http://www.mendeley.com/documents/?uuid=d4902364-b4de-3976-be15-9196f590ab97"]}],"mendeley":{"formattedCitation":"[7]","plainTextFormattedCitation":"[7]","previouslyFormattedCitation":"[6]"},"properties":{"noteIndex":0},"schema":"https://github.com/citation-style-language/schema/raw/master/csl-citation.json"}</w:instrText>
            </w:r>
            <w:r>
              <w:rPr>
                <w:sz w:val="20"/>
                <w:szCs w:val="20"/>
                <w:lang w:val="es-ES"/>
              </w:rPr>
              <w:fldChar w:fldCharType="separate"/>
            </w:r>
            <w:r w:rsidR="004207B1" w:rsidRPr="004207B1">
              <w:rPr>
                <w:noProof/>
                <w:sz w:val="20"/>
                <w:szCs w:val="20"/>
                <w:lang w:val="es-ES"/>
              </w:rPr>
              <w:t>[7]</w:t>
            </w:r>
            <w:r>
              <w:rPr>
                <w:sz w:val="20"/>
                <w:szCs w:val="20"/>
                <w:lang w:val="es-ES"/>
              </w:rPr>
              <w:fldChar w:fldCharType="end"/>
            </w:r>
          </w:p>
        </w:tc>
        <w:tc>
          <w:tcPr>
            <w:tcW w:w="900" w:type="dxa"/>
            <w:vAlign w:val="center"/>
          </w:tcPr>
          <w:p w14:paraId="26CCF4AA" w14:textId="47572A2C" w:rsidR="003B2170" w:rsidRDefault="003B2170" w:rsidP="003B2170">
            <w:pPr>
              <w:jc w:val="center"/>
              <w:rPr>
                <w:sz w:val="20"/>
                <w:szCs w:val="20"/>
              </w:rPr>
            </w:pPr>
            <w:r>
              <w:rPr>
                <w:sz w:val="20"/>
                <w:szCs w:val="20"/>
              </w:rPr>
              <w:t>250</w:t>
            </w:r>
          </w:p>
        </w:tc>
        <w:tc>
          <w:tcPr>
            <w:tcW w:w="1404" w:type="dxa"/>
            <w:vMerge/>
            <w:vAlign w:val="center"/>
          </w:tcPr>
          <w:p w14:paraId="7694D240" w14:textId="77777777" w:rsidR="003B2170" w:rsidRDefault="003B2170" w:rsidP="003B2170">
            <w:pPr>
              <w:jc w:val="center"/>
              <w:rPr>
                <w:sz w:val="20"/>
                <w:szCs w:val="20"/>
              </w:rPr>
            </w:pPr>
          </w:p>
        </w:tc>
        <w:tc>
          <w:tcPr>
            <w:tcW w:w="1576" w:type="dxa"/>
            <w:vAlign w:val="center"/>
          </w:tcPr>
          <w:p w14:paraId="4652CE58" w14:textId="5EBD72CB" w:rsidR="003B2170" w:rsidRPr="00C573FB" w:rsidRDefault="003B2170" w:rsidP="003B2170">
            <w:pPr>
              <w:jc w:val="center"/>
              <w:rPr>
                <w:sz w:val="20"/>
                <w:szCs w:val="20"/>
              </w:rPr>
            </w:pPr>
            <w:r>
              <w:rPr>
                <w:sz w:val="20"/>
                <w:szCs w:val="20"/>
              </w:rPr>
              <w:t>Yes</w:t>
            </w:r>
          </w:p>
        </w:tc>
        <w:tc>
          <w:tcPr>
            <w:tcW w:w="1980" w:type="dxa"/>
            <w:vAlign w:val="center"/>
          </w:tcPr>
          <w:p w14:paraId="71C2F1CA" w14:textId="2AC560E3" w:rsidR="003B2170" w:rsidRDefault="003B2170" w:rsidP="003B2170">
            <w:pPr>
              <w:jc w:val="center"/>
              <w:rPr>
                <w:sz w:val="20"/>
                <w:szCs w:val="20"/>
              </w:rPr>
            </w:pPr>
            <w:r>
              <w:rPr>
                <w:sz w:val="20"/>
                <w:szCs w:val="20"/>
              </w:rPr>
              <w:t>Both at 7-9 yrs</w:t>
            </w:r>
            <w:r w:rsidR="007B4F71">
              <w:rPr>
                <w:sz w:val="20"/>
                <w:szCs w:val="20"/>
              </w:rPr>
              <w:t>.</w:t>
            </w:r>
          </w:p>
        </w:tc>
        <w:tc>
          <w:tcPr>
            <w:tcW w:w="990" w:type="dxa"/>
            <w:vMerge/>
            <w:vAlign w:val="center"/>
          </w:tcPr>
          <w:p w14:paraId="5EC2BAD5" w14:textId="77777777" w:rsidR="003B2170" w:rsidRPr="00C573FB" w:rsidRDefault="003B2170" w:rsidP="003B2170">
            <w:pPr>
              <w:jc w:val="center"/>
              <w:rPr>
                <w:sz w:val="20"/>
                <w:szCs w:val="20"/>
              </w:rPr>
            </w:pPr>
          </w:p>
        </w:tc>
      </w:tr>
      <w:tr w:rsidR="003B2170" w14:paraId="42F1511E" w14:textId="77777777" w:rsidTr="00E7661A">
        <w:trPr>
          <w:trHeight w:val="570"/>
          <w:jc w:val="center"/>
        </w:trPr>
        <w:tc>
          <w:tcPr>
            <w:tcW w:w="2335" w:type="dxa"/>
            <w:vAlign w:val="center"/>
          </w:tcPr>
          <w:p w14:paraId="1103430D" w14:textId="6196AD18" w:rsidR="003B2170" w:rsidRPr="00C573FB" w:rsidRDefault="003B2170" w:rsidP="003B2170">
            <w:pPr>
              <w:rPr>
                <w:sz w:val="20"/>
                <w:szCs w:val="20"/>
              </w:rPr>
            </w:pPr>
            <w:r w:rsidRPr="007332E8">
              <w:rPr>
                <w:sz w:val="20"/>
                <w:szCs w:val="20"/>
                <w:lang w:val="es-ES"/>
              </w:rPr>
              <w:t>Perera et al., 2016</w:t>
            </w:r>
            <w:r>
              <w:rPr>
                <w:sz w:val="20"/>
                <w:szCs w:val="20"/>
                <w:lang w:val="es-ES"/>
              </w:rPr>
              <w:t xml:space="preserve"> </w:t>
            </w:r>
            <w:r>
              <w:rPr>
                <w:sz w:val="20"/>
                <w:szCs w:val="20"/>
                <w:lang w:val="es-ES"/>
              </w:rPr>
              <w:fldChar w:fldCharType="begin" w:fldLock="1"/>
            </w:r>
            <w:r w:rsidR="004207B1">
              <w:rPr>
                <w:sz w:val="20"/>
                <w:szCs w:val="20"/>
                <w:lang w:val="es-ES"/>
              </w:rPr>
              <w:instrText>ADDIN CSL_CITATION {"citationItems":[{"id":"ITEM-1","itemData":{"DOI":"10.1016/j.envres.2016.07.028","ISSN":"00139351","PMID":"27497082","abstract":"BACKGROUND Experimental and epidemiological studies suggest that gestational exposure to Bisphenol A (BPA), an ubiquitous endocrine disrupting chemical, may lead to neurobehavioral problems in childhood; however, not all results have been consistent. We previously reported a positive association between prenatal BPA exposure and symptoms of anxiety/depression reported by the mother at child age 7-9 years in boys, but not girls. OBJECTIVES Here, in the same birth cohort, we investigated the association of prenatal BPA exposure with symptoms of depression and anxiety self-reported by the 10-12 year olds, hypothesizing that we would observe sex-specific differences in anxiety and depressive symptoms. METHODS African-American and Dominican women living in Northern Manhattan and their children were followed from mother's pregnancy through children's age 10-12 years. BPA was quantified in maternal urine collected during the third trimester of pregnancy and in child urine collected at ages 3 and 5 years. Children were evaluated using the Revised Children's Manifest Anxiety Scale (RCMAS) and Children's Depression Rating Scale (CDRS). We compared the children in the highest tertile of BPA concentration to those in the lower two tertiles. Associations between behavior and prenatal (maternal) BPA concentration or postnatal (child) BPA concentration were assessed in regression models stratified by sex. RESULTS Significant positive associations between prenatal BPA and symptoms of depression and anxiety were observed among boys. Postnatal BPA exposure was not significantly associated with outcomes. There was substantial co-occurrence of anxiety and depressive symptoms in this sample. CONCLUSION These results provide evidence that prenatal BPA exposure is associated with more symptoms of anxiety and depression in boys but not in girls at age 10-12 years.","author":[{"dropping-particle":"","family":"Perera","given":"Frederica","non-dropping-particle":"","parse-names":false,"suffix":""},{"dropping-particle":"","family":"Nolte","given":"Emily L. Roen","non-dropping-particle":"","parse-names":false,"suffix":""},{"dropping-particle":"","family":"Wang","given":"Ya","non-dropping-particle":"","parse-names":false,"suffix":""},{"dropping-particle":"","family":"Margolis","given":"Amy E.","non-dropping-particle":"","parse-names":false,"suffix":""},{"dropping-particle":"","family":"Calafat","given":"Antonia M.","non-dropping-particle":"","parse-names":false,"suffix":""},{"dropping-particle":"","family":"Wang","given":"Shuang","non-dropping-particle":"","parse-names":false,"suffix":""},{"dropping-particle":"","family":"Garcia","given":"Wanda","non-dropping-particle":"","parse-names":false,"suffix":""},{"dropping-particle":"","family":"Hoepner","given":"Lori A.","non-dropping-particle":"","parse-names":false,"suffix":""},{"dropping-particle":"","family":"Peterson","given":"Bradley S.","non-dropping-particle":"","parse-names":false,"suffix":""},{"dropping-particle":"","family":"Rauh","given":"Virginia","non-dropping-particle":"","parse-names":false,"suffix":""},{"dropping-particle":"","family":"Herbstman","given":"Julie","non-dropping-particle":"","parse-names":false,"suffix":""}],"container-title":"Environmental Research","id":"ITEM-1","issued":{"date-parts":[["2016","11"]]},"page":"195-202","title":"Bisphenol A exposure and symptoms of anxiety and depression among inner city children at 10–12 years of age","type":"article-journal","volume":"151"},"uris":["http://www.mendeley.com/documents/?uuid=bee6058d-daa9-31dc-a92f-88ff375545a5"]}],"mendeley":{"formattedCitation":"[8]","plainTextFormattedCitation":"[8]","previouslyFormattedCitation":"[7]"},"properties":{"noteIndex":0},"schema":"https://github.com/citation-style-language/schema/raw/master/csl-citation.json"}</w:instrText>
            </w:r>
            <w:r>
              <w:rPr>
                <w:sz w:val="20"/>
                <w:szCs w:val="20"/>
                <w:lang w:val="es-ES"/>
              </w:rPr>
              <w:fldChar w:fldCharType="separate"/>
            </w:r>
            <w:r w:rsidR="004207B1" w:rsidRPr="004207B1">
              <w:rPr>
                <w:noProof/>
                <w:sz w:val="20"/>
                <w:szCs w:val="20"/>
                <w:lang w:val="es-ES"/>
              </w:rPr>
              <w:t>[8]</w:t>
            </w:r>
            <w:r>
              <w:rPr>
                <w:sz w:val="20"/>
                <w:szCs w:val="20"/>
                <w:lang w:val="es-ES"/>
              </w:rPr>
              <w:fldChar w:fldCharType="end"/>
            </w:r>
          </w:p>
        </w:tc>
        <w:tc>
          <w:tcPr>
            <w:tcW w:w="900" w:type="dxa"/>
            <w:vAlign w:val="center"/>
          </w:tcPr>
          <w:p w14:paraId="45300C2F" w14:textId="5F12958D" w:rsidR="003B2170" w:rsidRDefault="003B2170" w:rsidP="003B2170">
            <w:pPr>
              <w:jc w:val="center"/>
              <w:rPr>
                <w:sz w:val="20"/>
                <w:szCs w:val="20"/>
              </w:rPr>
            </w:pPr>
            <w:r>
              <w:rPr>
                <w:sz w:val="20"/>
                <w:szCs w:val="20"/>
              </w:rPr>
              <w:t>241</w:t>
            </w:r>
          </w:p>
        </w:tc>
        <w:tc>
          <w:tcPr>
            <w:tcW w:w="1404" w:type="dxa"/>
            <w:vMerge/>
            <w:vAlign w:val="center"/>
          </w:tcPr>
          <w:p w14:paraId="2580BB0D" w14:textId="77777777" w:rsidR="003B2170" w:rsidRDefault="003B2170" w:rsidP="003B2170">
            <w:pPr>
              <w:jc w:val="center"/>
              <w:rPr>
                <w:sz w:val="20"/>
                <w:szCs w:val="20"/>
              </w:rPr>
            </w:pPr>
          </w:p>
        </w:tc>
        <w:tc>
          <w:tcPr>
            <w:tcW w:w="1576" w:type="dxa"/>
            <w:vAlign w:val="center"/>
          </w:tcPr>
          <w:p w14:paraId="5694AE26" w14:textId="18B5FB2C" w:rsidR="003B2170" w:rsidRPr="00C573FB" w:rsidRDefault="003B2170" w:rsidP="003B2170">
            <w:pPr>
              <w:jc w:val="center"/>
              <w:rPr>
                <w:sz w:val="20"/>
                <w:szCs w:val="20"/>
              </w:rPr>
            </w:pPr>
            <w:r>
              <w:rPr>
                <w:sz w:val="20"/>
                <w:szCs w:val="20"/>
              </w:rPr>
              <w:t>Yes</w:t>
            </w:r>
          </w:p>
        </w:tc>
        <w:tc>
          <w:tcPr>
            <w:tcW w:w="1980" w:type="dxa"/>
            <w:vAlign w:val="center"/>
          </w:tcPr>
          <w:p w14:paraId="20E9CC23" w14:textId="7122B7EF" w:rsidR="003B2170" w:rsidRDefault="003B2170" w:rsidP="003B2170">
            <w:pPr>
              <w:jc w:val="center"/>
              <w:rPr>
                <w:sz w:val="20"/>
                <w:szCs w:val="20"/>
              </w:rPr>
            </w:pPr>
            <w:proofErr w:type="spellStart"/>
            <w:r>
              <w:rPr>
                <w:sz w:val="20"/>
                <w:szCs w:val="20"/>
                <w:lang w:val="es-ES"/>
              </w:rPr>
              <w:t>Internalizing</w:t>
            </w:r>
            <w:proofErr w:type="spellEnd"/>
            <w:r>
              <w:rPr>
                <w:sz w:val="20"/>
                <w:szCs w:val="20"/>
                <w:lang w:val="es-ES"/>
              </w:rPr>
              <w:t xml:space="preserve"> at 10-12 </w:t>
            </w:r>
            <w:proofErr w:type="spellStart"/>
            <w:r>
              <w:rPr>
                <w:sz w:val="20"/>
                <w:szCs w:val="20"/>
                <w:lang w:val="es-ES"/>
              </w:rPr>
              <w:t>yrs</w:t>
            </w:r>
            <w:proofErr w:type="spellEnd"/>
            <w:r w:rsidR="007B4F71">
              <w:rPr>
                <w:sz w:val="20"/>
                <w:szCs w:val="20"/>
                <w:lang w:val="es-ES"/>
              </w:rPr>
              <w:t>.</w:t>
            </w:r>
          </w:p>
        </w:tc>
        <w:tc>
          <w:tcPr>
            <w:tcW w:w="990" w:type="dxa"/>
            <w:vMerge/>
            <w:vAlign w:val="center"/>
          </w:tcPr>
          <w:p w14:paraId="44491682" w14:textId="77777777" w:rsidR="003B2170" w:rsidRPr="00C573FB" w:rsidRDefault="003B2170" w:rsidP="003B2170">
            <w:pPr>
              <w:jc w:val="center"/>
              <w:rPr>
                <w:sz w:val="20"/>
                <w:szCs w:val="20"/>
              </w:rPr>
            </w:pPr>
          </w:p>
        </w:tc>
      </w:tr>
      <w:tr w:rsidR="003B2170" w14:paraId="5CF955B3" w14:textId="77777777" w:rsidTr="00E7661A">
        <w:trPr>
          <w:trHeight w:val="496"/>
          <w:jc w:val="center"/>
        </w:trPr>
        <w:tc>
          <w:tcPr>
            <w:tcW w:w="2335" w:type="dxa"/>
            <w:vAlign w:val="center"/>
          </w:tcPr>
          <w:p w14:paraId="1DB78376" w14:textId="65AA89C6" w:rsidR="003B2170" w:rsidRPr="007C485D" w:rsidRDefault="003B2170" w:rsidP="003B2170">
            <w:pPr>
              <w:rPr>
                <w:b/>
                <w:bCs/>
                <w:sz w:val="20"/>
                <w:szCs w:val="20"/>
                <w:lang w:val="es-ES"/>
              </w:rPr>
            </w:pPr>
            <w:r w:rsidRPr="007C485D">
              <w:rPr>
                <w:b/>
                <w:bCs/>
                <w:sz w:val="20"/>
                <w:szCs w:val="20"/>
                <w:lang w:val="es-ES"/>
              </w:rPr>
              <w:t>CHAMACOS (U</w:t>
            </w:r>
            <w:r>
              <w:rPr>
                <w:b/>
                <w:bCs/>
                <w:sz w:val="20"/>
                <w:szCs w:val="20"/>
                <w:lang w:val="es-ES"/>
              </w:rPr>
              <w:t>SA)</w:t>
            </w:r>
          </w:p>
          <w:p w14:paraId="39B5E275" w14:textId="3BCB2DF5" w:rsidR="003B2170" w:rsidRPr="00C573FB" w:rsidRDefault="003B2170" w:rsidP="003B2170">
            <w:pPr>
              <w:rPr>
                <w:sz w:val="20"/>
                <w:szCs w:val="20"/>
              </w:rPr>
            </w:pPr>
            <w:r w:rsidRPr="007C485D">
              <w:rPr>
                <w:sz w:val="20"/>
                <w:szCs w:val="20"/>
                <w:lang w:val="es-ES"/>
              </w:rPr>
              <w:t xml:space="preserve">Harley et al. 2013 </w:t>
            </w:r>
            <w:r>
              <w:rPr>
                <w:sz w:val="20"/>
                <w:szCs w:val="20"/>
              </w:rPr>
              <w:fldChar w:fldCharType="begin" w:fldLock="1"/>
            </w:r>
            <w:r w:rsidR="004207B1">
              <w:rPr>
                <w:sz w:val="20"/>
                <w:szCs w:val="20"/>
                <w:lang w:val="es-ES"/>
              </w:rPr>
              <w:instrText>ADDIN CSL_CITATION {"citationItems":[{"id":"ITEM-1","itemData":{"DOI":"10.1289/ehp.1205548","ISSN":"0091-6765","PMID":"23416456","abstract":"BACKGROUND Bisphenol A (BPA), a widely used endocrine-disrupting chemical, has been associated with increased body weight and fat deposition in rodents. OBJECTIVES We examined whether prenatal and postnatal urinary BPA concentrations were associated with body mass index (BMI), waist circumference, percent body fat, and obesity in 9-year-old children (n = 311) in the CHAMACOS longitudinal cohort study. METHODS BPA was measured in spot urine samples collected from mothers twice during pregnancy and from children at 5 and 9 years of age. RESULTS Prenatal urinary BPA concentrations were associated with decreased BMI at 9 years of age in girls but not boys. Among girls, being in the highest tertile of prenatal BPA concentrations was associated with decreased BMI z-score (β = -0.47, 95% CI: -0.87, -0.07) and percent body fat (β = -4.36, 95% CI: -8.37, -0.34) and decreased odds of overweight/obesity [odds ratio (OR) = 0.37, 95% CI: 0.16, 0.91] compared with girls in the lowest tertile. These findings were strongest in prepubertal girls. Urinary BPA concentrations at 5 years of age were not associated with any anthropometric parameters at 5 or 9 years, but BPA concentrations at 9 years were positively associated with BMI, waist circumference, fat mass, and overweight/obesity at 9 years in boys and girls. CONCLUSIONS Consistent with other cross-sectional studies, higher urinary BPA concentrations at 9 years of age were associated with increased adiposity at 9 years. However, increasing BPA concentrations in mothers during pregnancy were associated with decreased BMI, body fat, and overweight/obesity among their daughters at 9 years of age.","author":[{"dropping-particle":"","family":"Harley","given":"Kim G.","non-dropping-particle":"","parse-names":false,"suffix":""},{"dropping-particle":"","family":"Aguilar Schall","given":"Raul","non-dropping-particle":"","parse-names":false,"suffix":""},{"dropping-particle":"","family":"Chevrier","given":"Jonathan","non-dropping-p</w:instrText>
            </w:r>
            <w:r w:rsidR="004207B1" w:rsidRPr="0013062F">
              <w:rPr>
                <w:sz w:val="20"/>
                <w:szCs w:val="20"/>
              </w:rPr>
              <w:instrText>article":"","parse-names":false,"suffix":""},{"dropping-particle":"","family":"Tyler","given":"Kristin","non-dropping-particle":"","parse-names":false,"suffix":""},{"dropping-particle":"","family":"Aguirre","given":"Helen","non-dropping-particle":"","parse-names":false,"suffix":""},{"dropping-particle":"","family":"Bradman","given":"Asa","non-dropping-particle":"","parse-names":false,"suffix":""},{"dropping-particle":"","family":"Holland","given":"Nina T.","non-dropping-particle":"","parse-names":false,"suffix":""},{"dropping-particle":"","family":"Lustig","given":"Robert H.","non-dropping-particle":"","parse-names":false,"suffix":""},{"dropping-particle":"","family":"Calafat","given":"Antonia M.","non-dropping-particle":"","parse-names":false,"suffix":""},{"dropping-particle":"","family":"Eskenazi","given":"Brenda","non-dropping-parti</w:instrText>
            </w:r>
            <w:r w:rsidR="004207B1" w:rsidRPr="004207B1">
              <w:rPr>
                <w:sz w:val="20"/>
                <w:szCs w:val="20"/>
              </w:rPr>
              <w:instrText>cle":"","parse-names":false,"suffix":""}],"container-title":"Environmental Health Perspectives","id":"ITEM-1","issue":"4","issued":{"date-parts":[["2013","2","15"]]},"page":"514-20","title":"Prenatal and Postnatal Bisphenol A Exposure and Body Mass Index in Childhood in the CHAMACOS Cohort","type":"article-journal","volume":"121"},"uris":["http://www.mendeley.com/documents/?uuid=d935a56a-384f-3c6d-8d77-77602037927d"]}],"mendeley":{"formattedCitation":"[9]","plainTextFormattedCitation":"[9]","previouslyFormattedCitation":"[8]"},"properties":{"noteIndex":0},"schema":"https://github.com/citation-style-language/schema/raw/master/csl-citation.json"}</w:instrText>
            </w:r>
            <w:r>
              <w:rPr>
                <w:sz w:val="20"/>
                <w:szCs w:val="20"/>
              </w:rPr>
              <w:fldChar w:fldCharType="separate"/>
            </w:r>
            <w:r w:rsidR="004207B1" w:rsidRPr="004207B1">
              <w:rPr>
                <w:noProof/>
                <w:sz w:val="20"/>
                <w:szCs w:val="20"/>
              </w:rPr>
              <w:t>[9]</w:t>
            </w:r>
            <w:r>
              <w:rPr>
                <w:sz w:val="20"/>
                <w:szCs w:val="20"/>
              </w:rPr>
              <w:fldChar w:fldCharType="end"/>
            </w:r>
          </w:p>
        </w:tc>
        <w:tc>
          <w:tcPr>
            <w:tcW w:w="900" w:type="dxa"/>
            <w:vAlign w:val="center"/>
          </w:tcPr>
          <w:p w14:paraId="11BD735B" w14:textId="4085486B" w:rsidR="003B2170" w:rsidRPr="00C573FB" w:rsidRDefault="003B2170" w:rsidP="003B2170">
            <w:pPr>
              <w:jc w:val="center"/>
              <w:rPr>
                <w:sz w:val="20"/>
                <w:szCs w:val="20"/>
              </w:rPr>
            </w:pPr>
            <w:r w:rsidRPr="00C573FB">
              <w:rPr>
                <w:sz w:val="20"/>
                <w:szCs w:val="20"/>
              </w:rPr>
              <w:t>292</w:t>
            </w:r>
          </w:p>
        </w:tc>
        <w:tc>
          <w:tcPr>
            <w:tcW w:w="1404" w:type="dxa"/>
            <w:vAlign w:val="center"/>
          </w:tcPr>
          <w:p w14:paraId="415C7521" w14:textId="45A74C46" w:rsidR="003B2170" w:rsidRPr="00C573FB" w:rsidRDefault="003B2170" w:rsidP="003B2170">
            <w:pPr>
              <w:jc w:val="center"/>
              <w:rPr>
                <w:sz w:val="20"/>
                <w:szCs w:val="20"/>
              </w:rPr>
            </w:pPr>
            <w:r>
              <w:rPr>
                <w:sz w:val="20"/>
                <w:szCs w:val="20"/>
              </w:rPr>
              <w:t>2 (gestation weeks 14</w:t>
            </w:r>
            <w:r w:rsidRPr="00F54223">
              <w:rPr>
                <w:sz w:val="20"/>
                <w:szCs w:val="20"/>
                <w:vertAlign w:val="superscript"/>
              </w:rPr>
              <w:t>th</w:t>
            </w:r>
            <w:r>
              <w:rPr>
                <w:sz w:val="20"/>
                <w:szCs w:val="20"/>
              </w:rPr>
              <w:t xml:space="preserve"> and 26</w:t>
            </w:r>
            <w:r w:rsidRPr="00F54223">
              <w:rPr>
                <w:sz w:val="20"/>
                <w:szCs w:val="20"/>
                <w:vertAlign w:val="superscript"/>
              </w:rPr>
              <w:t>th</w:t>
            </w:r>
            <w:r>
              <w:rPr>
                <w:sz w:val="20"/>
                <w:szCs w:val="20"/>
              </w:rPr>
              <w:t>)</w:t>
            </w:r>
          </w:p>
        </w:tc>
        <w:tc>
          <w:tcPr>
            <w:tcW w:w="1576" w:type="dxa"/>
            <w:vAlign w:val="center"/>
          </w:tcPr>
          <w:p w14:paraId="2BFF1D29" w14:textId="75EA7615" w:rsidR="003B2170" w:rsidRPr="00C573FB" w:rsidRDefault="003B2170" w:rsidP="003B2170">
            <w:pPr>
              <w:jc w:val="center"/>
              <w:rPr>
                <w:sz w:val="20"/>
                <w:szCs w:val="20"/>
              </w:rPr>
            </w:pPr>
            <w:r w:rsidRPr="00C573FB">
              <w:rPr>
                <w:sz w:val="20"/>
                <w:szCs w:val="20"/>
              </w:rPr>
              <w:t>Yes</w:t>
            </w:r>
          </w:p>
        </w:tc>
        <w:tc>
          <w:tcPr>
            <w:tcW w:w="1980" w:type="dxa"/>
            <w:vAlign w:val="center"/>
          </w:tcPr>
          <w:p w14:paraId="750E8316" w14:textId="5BF73300" w:rsidR="003B2170" w:rsidRPr="00C573FB" w:rsidRDefault="003B2170" w:rsidP="003B2170">
            <w:pPr>
              <w:jc w:val="center"/>
              <w:rPr>
                <w:sz w:val="20"/>
                <w:szCs w:val="20"/>
              </w:rPr>
            </w:pPr>
            <w:r>
              <w:rPr>
                <w:sz w:val="20"/>
                <w:szCs w:val="20"/>
              </w:rPr>
              <w:t>Mostly internalizing, but also aggressive behavior at 7 yrs</w:t>
            </w:r>
            <w:r w:rsidR="007B4F71">
              <w:rPr>
                <w:sz w:val="20"/>
                <w:szCs w:val="20"/>
              </w:rPr>
              <w:t>.</w:t>
            </w:r>
          </w:p>
        </w:tc>
        <w:tc>
          <w:tcPr>
            <w:tcW w:w="990" w:type="dxa"/>
            <w:vAlign w:val="center"/>
          </w:tcPr>
          <w:p w14:paraId="48C7D0FD" w14:textId="30CAAA83" w:rsidR="003B2170" w:rsidRPr="00C573FB" w:rsidRDefault="003B2170" w:rsidP="003B2170">
            <w:pPr>
              <w:jc w:val="center"/>
              <w:rPr>
                <w:sz w:val="20"/>
                <w:szCs w:val="20"/>
              </w:rPr>
            </w:pPr>
            <w:r w:rsidRPr="00C573FB">
              <w:rPr>
                <w:sz w:val="20"/>
                <w:szCs w:val="20"/>
              </w:rPr>
              <w:t>Boys</w:t>
            </w:r>
          </w:p>
        </w:tc>
      </w:tr>
      <w:tr w:rsidR="003B2170" w14:paraId="042DB05A" w14:textId="77777777" w:rsidTr="00E7661A">
        <w:trPr>
          <w:trHeight w:val="525"/>
          <w:jc w:val="center"/>
        </w:trPr>
        <w:tc>
          <w:tcPr>
            <w:tcW w:w="2335" w:type="dxa"/>
            <w:vAlign w:val="center"/>
          </w:tcPr>
          <w:p w14:paraId="35667B46" w14:textId="096900C8" w:rsidR="003B2170" w:rsidRPr="0013062F" w:rsidRDefault="003B2170" w:rsidP="003B2170">
            <w:pPr>
              <w:rPr>
                <w:b/>
                <w:bCs/>
                <w:sz w:val="20"/>
                <w:szCs w:val="20"/>
              </w:rPr>
            </w:pPr>
            <w:r w:rsidRPr="0013062F">
              <w:rPr>
                <w:b/>
                <w:bCs/>
                <w:sz w:val="20"/>
                <w:szCs w:val="20"/>
              </w:rPr>
              <w:t>SFFII (USA)</w:t>
            </w:r>
          </w:p>
          <w:p w14:paraId="64599A4D" w14:textId="7F197801" w:rsidR="003B2170" w:rsidRPr="00C573FB" w:rsidRDefault="003B2170" w:rsidP="003B2170">
            <w:pPr>
              <w:rPr>
                <w:sz w:val="20"/>
                <w:szCs w:val="20"/>
              </w:rPr>
            </w:pPr>
            <w:r w:rsidRPr="0013062F">
              <w:rPr>
                <w:sz w:val="20"/>
                <w:szCs w:val="20"/>
              </w:rPr>
              <w:t xml:space="preserve">Evans et al., 2014 </w:t>
            </w:r>
            <w:r>
              <w:rPr>
                <w:sz w:val="20"/>
                <w:szCs w:val="20"/>
              </w:rPr>
              <w:fldChar w:fldCharType="begin" w:fldLock="1"/>
            </w:r>
            <w:r w:rsidR="004207B1" w:rsidRPr="0013062F">
              <w:rPr>
                <w:sz w:val="20"/>
                <w:szCs w:val="20"/>
              </w:rPr>
              <w:instrText>ADDIN CSL_CITATION {"citationItems":[{"id":"ITEM-1","itemData":{"DOI":"10.1016/j.neuro.2014.10.003","ISSN":"0161813X","PMID":"25307304","abstract":"Prenatal exposure to gonadal hormones plays a major role in the normal development of the male and female brain and sexually dimorphic behaviors. Hormone-dependent differences in brain structure and function suggest that exposure to exogenous endocrine disrupting chemicals may be associated with sex-specific alterations in behavior. Bisphenol A (BPA) is an environmental chemical that has been shown to alter estrogen, androgen, and thyroid hormone signaling pathways. Epidemiological and experimental studies suggest associations between prenatal exposure to BPA and child behavior, however data are inconsistent, and few studies have examined school age children. We examined BPA concentration in spot urine samples from women at mean 27 weeks of pregnancy in relation to child behavior assessed at age 6-10 years using the parent-completed Child Behavior Checklist (CBCL). We report associations between maternal BPA urinary concentrations and several CBCL scores in 153 children (77 boys and 76 girls). We observed a significant interaction between maternal urinary BPA and sex for several behaviors (externalizing, aggression, Anxiety Disorder, Oppositional/Defiant Disorder and Conduct Disorder trai</w:instrText>
            </w:r>
            <w:r w:rsidR="004207B1" w:rsidRPr="0013062F">
              <w:rPr>
                <w:sz w:val="20"/>
                <w:szCs w:val="20"/>
                <w:lang w:val="es-ES"/>
              </w:rPr>
              <w:instrText>ts), but no significant associations between BPA and scores on any CBCL scales. However in analyses restricted to children of mothers with detectable prenatal urinary BPA (n=125), BPA was associated with moderately increased internalizing and externalizing behaviors, withdrawn/depressed behavior, somatic problems, and Oppositional/Defiant Disorder traits in boys. In addition we observed a significant interaction between BPA and sex for several behaviors (externalizing, withdrawn/depressed, rule-breaking, Oppositional/Defiant Disorder traits, and Conduct Disorder traits). These results suggest that prenatal exposure to BPA may be related to increased behavior problems in school age boys, but not girls.","author":[{"dropping-particle":"","family":"Evans","given":"Sarah F.","non-dropping-particle":"","parse-names":false,"suffix":""},{"dropping-particle":"","family"</w:instrText>
            </w:r>
            <w:r w:rsidR="004207B1" w:rsidRPr="0013062F">
              <w:rPr>
                <w:sz w:val="20"/>
                <w:szCs w:val="20"/>
              </w:rPr>
              <w:instrText>:"Kobrosly","given":"Roni W.","non-dropping-particle":"","parse-names":false,"suffix":""},{"dropping-particle":"","family":"Barrett","given":"Emily S.","non-dropping-particle":"","parse-names":false,"suffix":""},{"dropping-particle":"","family":"Thurston","given":"Sally W.","non-dropping-particle":"","parse-names":false,"suffix":""},{"dropping-particle":"","family":"Calafat","given":"Antonia M.","non-dropping-particle":"","parse-names":false,"suffix":""},{"dropping-particle":"","family":"Weiss","given":"Bernard","non-dropping-particle":"","parse-names":false,"suffix":""},{"dropping-particle":"","family":"Stahlhut","given":"Richard","non-dropping-particle":"","parse-names":false,"suffix":""},{"dropping-particle":"","family":"Yolton","given":"</w:instrText>
            </w:r>
            <w:r w:rsidR="004207B1">
              <w:rPr>
                <w:sz w:val="20"/>
                <w:szCs w:val="20"/>
              </w:rPr>
              <w:instrText>Kimberly","non-dropping-particle":"","parse-names":false,"suffix":""},{"dropping-particle":"","family":"Swan","given":"Shanna H.","non-dropping-particle":"","parse-names":false,"suffix":""}],"container-title":"NeuroToxicology","id":"ITEM-1","issued":{"date-parts":[["2014","12"]]},"page":"91-99","title":"Prenatal bisphenol A exposure and maternally reported behavior in boys and girls","type":"article-journal","volume":"45"},"uris":["http://www.mendeley.com/documents/?uuid=aa9145a4-aa99-3d59-be41-e410502f1d10"]}],"mendeley":{"formattedCitation":"[10]","plainTextFormattedCitation":"[10]","previouslyFormattedCitation":"[9]"},"properties":{"noteIndex":0},"schema":"https://github.com/citation-style-language/schema/raw/master/csl-citation.json"}</w:instrText>
            </w:r>
            <w:r>
              <w:rPr>
                <w:sz w:val="20"/>
                <w:szCs w:val="20"/>
              </w:rPr>
              <w:fldChar w:fldCharType="separate"/>
            </w:r>
            <w:r w:rsidR="004207B1" w:rsidRPr="004207B1">
              <w:rPr>
                <w:noProof/>
                <w:sz w:val="20"/>
                <w:szCs w:val="20"/>
              </w:rPr>
              <w:t>[10]</w:t>
            </w:r>
            <w:r>
              <w:rPr>
                <w:sz w:val="20"/>
                <w:szCs w:val="20"/>
              </w:rPr>
              <w:fldChar w:fldCharType="end"/>
            </w:r>
          </w:p>
        </w:tc>
        <w:tc>
          <w:tcPr>
            <w:tcW w:w="900" w:type="dxa"/>
            <w:vAlign w:val="center"/>
          </w:tcPr>
          <w:p w14:paraId="5C8179DA" w14:textId="4475B605" w:rsidR="003B2170" w:rsidRPr="00C573FB" w:rsidRDefault="003B2170" w:rsidP="003B2170">
            <w:pPr>
              <w:jc w:val="center"/>
              <w:rPr>
                <w:sz w:val="20"/>
                <w:szCs w:val="20"/>
              </w:rPr>
            </w:pPr>
            <w:r w:rsidRPr="00C573FB">
              <w:rPr>
                <w:sz w:val="20"/>
                <w:szCs w:val="20"/>
              </w:rPr>
              <w:t>1</w:t>
            </w:r>
            <w:r>
              <w:rPr>
                <w:sz w:val="20"/>
                <w:szCs w:val="20"/>
              </w:rPr>
              <w:t>53</w:t>
            </w:r>
          </w:p>
        </w:tc>
        <w:tc>
          <w:tcPr>
            <w:tcW w:w="1404" w:type="dxa"/>
            <w:vAlign w:val="center"/>
          </w:tcPr>
          <w:p w14:paraId="7514434B" w14:textId="4F23A48F" w:rsidR="003B2170" w:rsidRPr="00C573FB" w:rsidRDefault="003B2170" w:rsidP="003B2170">
            <w:pPr>
              <w:jc w:val="center"/>
              <w:rPr>
                <w:sz w:val="20"/>
                <w:szCs w:val="20"/>
              </w:rPr>
            </w:pPr>
            <w:r>
              <w:rPr>
                <w:sz w:val="20"/>
                <w:szCs w:val="20"/>
              </w:rPr>
              <w:t>1 (gestation week 27</w:t>
            </w:r>
            <w:r w:rsidRPr="00F54223">
              <w:rPr>
                <w:sz w:val="20"/>
                <w:szCs w:val="20"/>
                <w:vertAlign w:val="superscript"/>
              </w:rPr>
              <w:t>th</w:t>
            </w:r>
            <w:r>
              <w:rPr>
                <w:sz w:val="20"/>
                <w:szCs w:val="20"/>
              </w:rPr>
              <w:t>)</w:t>
            </w:r>
          </w:p>
        </w:tc>
        <w:tc>
          <w:tcPr>
            <w:tcW w:w="1576" w:type="dxa"/>
            <w:vAlign w:val="center"/>
          </w:tcPr>
          <w:p w14:paraId="6E2C8007" w14:textId="5E1AA668" w:rsidR="003B2170" w:rsidRPr="00C573FB" w:rsidRDefault="003B2170" w:rsidP="003B2170">
            <w:pPr>
              <w:jc w:val="center"/>
              <w:rPr>
                <w:sz w:val="20"/>
                <w:szCs w:val="20"/>
              </w:rPr>
            </w:pPr>
            <w:r w:rsidRPr="00C573FB">
              <w:rPr>
                <w:sz w:val="20"/>
                <w:szCs w:val="20"/>
              </w:rPr>
              <w:t>Yes</w:t>
            </w:r>
          </w:p>
        </w:tc>
        <w:tc>
          <w:tcPr>
            <w:tcW w:w="1980" w:type="dxa"/>
            <w:vAlign w:val="center"/>
          </w:tcPr>
          <w:p w14:paraId="3C387299" w14:textId="356C657C" w:rsidR="003B2170" w:rsidRPr="00C573FB" w:rsidRDefault="003B2170" w:rsidP="003B2170">
            <w:pPr>
              <w:jc w:val="center"/>
              <w:rPr>
                <w:sz w:val="20"/>
                <w:szCs w:val="20"/>
              </w:rPr>
            </w:pPr>
            <w:r>
              <w:rPr>
                <w:sz w:val="20"/>
                <w:szCs w:val="20"/>
              </w:rPr>
              <w:t>Both at 5 yrs</w:t>
            </w:r>
            <w:r w:rsidR="007B4F71">
              <w:rPr>
                <w:sz w:val="20"/>
                <w:szCs w:val="20"/>
              </w:rPr>
              <w:t>.</w:t>
            </w:r>
          </w:p>
        </w:tc>
        <w:tc>
          <w:tcPr>
            <w:tcW w:w="990" w:type="dxa"/>
            <w:vAlign w:val="center"/>
          </w:tcPr>
          <w:p w14:paraId="5C911A57" w14:textId="7406825C" w:rsidR="003B2170" w:rsidRPr="00C573FB" w:rsidRDefault="003B2170" w:rsidP="003B2170">
            <w:pPr>
              <w:jc w:val="center"/>
              <w:rPr>
                <w:sz w:val="20"/>
                <w:szCs w:val="20"/>
              </w:rPr>
            </w:pPr>
            <w:r w:rsidRPr="00C573FB">
              <w:rPr>
                <w:sz w:val="20"/>
                <w:szCs w:val="20"/>
              </w:rPr>
              <w:t>Boys</w:t>
            </w:r>
          </w:p>
        </w:tc>
      </w:tr>
      <w:tr w:rsidR="003B2170" w14:paraId="2E8D940F" w14:textId="77777777" w:rsidTr="00E7661A">
        <w:trPr>
          <w:trHeight w:val="496"/>
          <w:jc w:val="center"/>
        </w:trPr>
        <w:tc>
          <w:tcPr>
            <w:tcW w:w="2335" w:type="dxa"/>
            <w:vAlign w:val="center"/>
          </w:tcPr>
          <w:p w14:paraId="693DD352" w14:textId="509E8A0F" w:rsidR="003B2170" w:rsidRPr="0013062F" w:rsidRDefault="003B2170" w:rsidP="003B2170">
            <w:pPr>
              <w:rPr>
                <w:b/>
                <w:bCs/>
                <w:sz w:val="20"/>
                <w:szCs w:val="20"/>
              </w:rPr>
            </w:pPr>
            <w:r w:rsidRPr="0013062F">
              <w:rPr>
                <w:b/>
                <w:bCs/>
                <w:sz w:val="20"/>
                <w:szCs w:val="20"/>
              </w:rPr>
              <w:t>INMA-Sabadell (Spain)</w:t>
            </w:r>
          </w:p>
          <w:p w14:paraId="67D31441" w14:textId="2C8BEC58" w:rsidR="003B2170" w:rsidRPr="00805C17" w:rsidRDefault="003B2170" w:rsidP="003B2170">
            <w:pPr>
              <w:rPr>
                <w:sz w:val="20"/>
                <w:szCs w:val="20"/>
              </w:rPr>
            </w:pPr>
            <w:r w:rsidRPr="0013062F">
              <w:rPr>
                <w:sz w:val="20"/>
                <w:szCs w:val="20"/>
              </w:rPr>
              <w:t xml:space="preserve">Casas et al., 2015 </w:t>
            </w:r>
            <w:r>
              <w:rPr>
                <w:sz w:val="20"/>
                <w:szCs w:val="20"/>
                <w:lang w:val="es-ES"/>
              </w:rPr>
              <w:fldChar w:fldCharType="begin" w:fldLock="1"/>
            </w:r>
            <w:r w:rsidR="004207B1" w:rsidRPr="0013062F">
              <w:rPr>
                <w:sz w:val="20"/>
                <w:szCs w:val="20"/>
              </w:rPr>
              <w:instrText xml:space="preserve">ADDIN CSL_CITATION {"citationItems":[{"id":"ITEM-1","itemData":{"DOI":"10.1016/j.envres.2015.07.024","ISSN":"00139351","PMID":"26343751","abstract":"BACKGROUND Bisphenol A (BPA) may be a neurodevelopmental toxicant, but evidence is not consistent in terms of the sex-specific patterns of the associations and the specific behavioral or cognitive domains most affected. OBJECTIVE To examine the effects of prenatal BPA exposure on cognitive, psychomotor, and behavioral development in 438 children at 1, 4 and 7 years of age. METHODS BPA was measured in spot urine samples collected in trimester 1 and 3 of pregnancy from women participating in the INMA-Sabadell birth cohort study. Cognitive and psychomotor development was assessed at 1 and 4 years using psychologist-based scales. Attention deficit hyperactivity disorder (ADHD) symptoms and other behavioral problems were assessed at 4 years by teachers and at 7 years by parents using questionnaire-based rating scales. RESULTS Geometric mean creatinine-adjusted BPA concentration of the averaged samples was 2.6 </w:instrText>
            </w:r>
            <w:r w:rsidR="004207B1">
              <w:rPr>
                <w:sz w:val="20"/>
                <w:szCs w:val="20"/>
              </w:rPr>
              <w:instrText>μ</w:instrText>
            </w:r>
            <w:r w:rsidR="004207B1" w:rsidRPr="0013062F">
              <w:rPr>
                <w:sz w:val="20"/>
                <w:szCs w:val="20"/>
              </w:rPr>
              <w:instrText xml:space="preserve">g/g creatinine. BPA exposure was not associated with the cognitive scores or their subscales at 1 and 4 years of age. At 1 year of age, exposure in the highest tertile of BPA concentrations was associated with a reduction of psychomotor scores (T3 vs T1 </w:instrText>
            </w:r>
            <w:r w:rsidR="004207B1">
              <w:rPr>
                <w:sz w:val="20"/>
                <w:szCs w:val="20"/>
              </w:rPr>
              <w:instrText>β</w:instrText>
            </w:r>
            <w:r w:rsidR="004207B1" w:rsidRPr="0013062F">
              <w:rPr>
                <w:sz w:val="20"/>
                <w:szCs w:val="20"/>
              </w:rPr>
              <w:instrText>=-4.28 points, 95% CI: -8.15, -0.41), but there was no association with psych</w:instrText>
            </w:r>
            <w:r w:rsidR="004207B1" w:rsidRPr="0013062F">
              <w:rPr>
                <w:sz w:val="20"/>
                <w:szCs w:val="20"/>
                <w:lang w:val="es-ES"/>
              </w:rPr>
              <w:instrText xml:space="preserve">omotor outcomes at 4 years. At 4 years, BPA exposure was associated with an increased risk of ADHD-hyperactivity symptoms (Incidence Rate Ratio (IRR) per log10 </w:instrText>
            </w:r>
            <w:r w:rsidR="004207B1">
              <w:rPr>
                <w:sz w:val="20"/>
                <w:szCs w:val="20"/>
              </w:rPr>
              <w:instrText>μ</w:instrText>
            </w:r>
            <w:r w:rsidR="004207B1" w:rsidRPr="0013062F">
              <w:rPr>
                <w:sz w:val="20"/>
                <w:szCs w:val="20"/>
                <w:lang w:val="es-ES"/>
              </w:rPr>
              <w:instrText>g BPA/g creatinine increase=1.72; 1.08, 2.73) and this association was stronger in boys than in girls. Further, boys had an increased risk of ADHD-inattention symptoms whereas girls showed a reduced risk (p for interaction &lt;0.1). At 7 years, these associations were not statistically significant nor were any other behavioral problems. CONCLUSIONS These results suggest that prenatal BPA exposure does not affect cognitive development up to age 4 years. Associations are observed with psychomotor development and ADHD-related symptoms at early ages, but these do not appear to persist until later ages.","author":[{"dropping-particle":"","family":"Casas","given":"Maribel","non-dropping-particle":"","parse-names":false,"suffix":""},{"dropping-particle":"","family":"Forns","given":"Joan","non-dropping-particle":"","parse-names":false,"suffix":""},{"dropping-particle":"","family":"Martínez","given":"David","non-dropping-particle":"","parse-names":false,"suffix":""},{"dropping-particle":"","family":"Avella-García","given":"Claudia","n</w:instrText>
            </w:r>
            <w:r w:rsidR="004207B1" w:rsidRPr="0013062F">
              <w:rPr>
                <w:sz w:val="20"/>
                <w:szCs w:val="20"/>
              </w:rPr>
              <w:instrText>on-dropping-particle":"","parse-names":false,"suffix":""},{"dropping-particle":"","family":"Valvi","given":"Damaskini","non-dropping-particle":"","parse-names":false,"suffix":""},{"dropping-particle":"","family":"Ballesteros-Gómez","given":"Ana","non-dropping-particle":"","parse-names":false,"suffix":""},{"dropping-particle":"","family":"Luque","given":"Noelia","non-dropping-par</w:instrText>
            </w:r>
            <w:r w:rsidR="004207B1">
              <w:rPr>
                <w:sz w:val="20"/>
                <w:szCs w:val="20"/>
              </w:rPr>
              <w:instrText>ticle":"","parse-names":false,"suffix":""},{"dropping-particle":"","family":"Rubio","given":"Soledad","non-dropping-particle":"","parse-names":false,"suffix":""},{"dropping-particle":"","family":"Julvez","given":"Jordi","non-dropping-particle":"","parse-names":false,"suffix":""},{"dropping-particle":"","family":"Sunyer","given":"Jordi","non-dropping-particle":"","parse-names":false,"suffix":""},{"dropping-particle":"","family":"Vrijheid","given":"Martine","non-dropping-particle":"","parse-names":false,"suffix":""}],"container-title":"Environmental Research","id":"ITEM-1","issued":{"date-parts":[["2015","10"]]},"page":"671-679","title":"Exposure to bisphenol A during pregnancy and child neuropsychological development in the INMA-Sabadell cohort","type":"article-journal","volume":"142"},"uris":["http://www.mendeley.com/documents/?uuid=7077042f-3f76-3aa9-8785-3fefa029252d"]}],"mendeley":{"formattedCitation":"[11]","plainTextFormattedCitation":"[11]","previouslyFormattedCitation":"[10]"},"properties":{"noteIndex":0},"schema":"https://github.com/citation-style-language/schema/raw/master/csl-citation.json"}</w:instrText>
            </w:r>
            <w:r>
              <w:rPr>
                <w:sz w:val="20"/>
                <w:szCs w:val="20"/>
                <w:lang w:val="es-ES"/>
              </w:rPr>
              <w:fldChar w:fldCharType="separate"/>
            </w:r>
            <w:r w:rsidR="004207B1" w:rsidRPr="004207B1">
              <w:rPr>
                <w:noProof/>
                <w:sz w:val="20"/>
                <w:szCs w:val="20"/>
              </w:rPr>
              <w:t>[11]</w:t>
            </w:r>
            <w:r>
              <w:rPr>
                <w:sz w:val="20"/>
                <w:szCs w:val="20"/>
                <w:lang w:val="es-ES"/>
              </w:rPr>
              <w:fldChar w:fldCharType="end"/>
            </w:r>
          </w:p>
        </w:tc>
        <w:tc>
          <w:tcPr>
            <w:tcW w:w="900" w:type="dxa"/>
            <w:vAlign w:val="center"/>
          </w:tcPr>
          <w:p w14:paraId="27BCFE39" w14:textId="68171C3F" w:rsidR="003B2170" w:rsidRPr="00C573FB" w:rsidRDefault="003B2170" w:rsidP="003B2170">
            <w:pPr>
              <w:jc w:val="center"/>
              <w:rPr>
                <w:sz w:val="20"/>
                <w:szCs w:val="20"/>
              </w:rPr>
            </w:pPr>
            <w:r w:rsidRPr="00C573FB">
              <w:rPr>
                <w:sz w:val="20"/>
                <w:szCs w:val="20"/>
              </w:rPr>
              <w:t>438</w:t>
            </w:r>
          </w:p>
        </w:tc>
        <w:tc>
          <w:tcPr>
            <w:tcW w:w="1404" w:type="dxa"/>
            <w:vAlign w:val="center"/>
          </w:tcPr>
          <w:p w14:paraId="6C87A3DE" w14:textId="5DD9734D" w:rsidR="003B2170" w:rsidRPr="00C573FB" w:rsidRDefault="003B2170" w:rsidP="003B2170">
            <w:pPr>
              <w:jc w:val="center"/>
              <w:rPr>
                <w:sz w:val="20"/>
                <w:szCs w:val="20"/>
              </w:rPr>
            </w:pPr>
            <w:r>
              <w:rPr>
                <w:sz w:val="20"/>
                <w:szCs w:val="20"/>
              </w:rPr>
              <w:t>2 (1</w:t>
            </w:r>
            <w:r w:rsidRPr="002A3CAE">
              <w:rPr>
                <w:sz w:val="20"/>
                <w:szCs w:val="20"/>
                <w:vertAlign w:val="superscript"/>
              </w:rPr>
              <w:t>st</w:t>
            </w:r>
            <w:r>
              <w:rPr>
                <w:sz w:val="20"/>
                <w:szCs w:val="20"/>
              </w:rPr>
              <w:t xml:space="preserve"> and 3</w:t>
            </w:r>
            <w:r w:rsidRPr="002A3CAE">
              <w:rPr>
                <w:sz w:val="20"/>
                <w:szCs w:val="20"/>
                <w:vertAlign w:val="superscript"/>
              </w:rPr>
              <w:t>rd</w:t>
            </w:r>
            <w:r>
              <w:rPr>
                <w:sz w:val="20"/>
                <w:szCs w:val="20"/>
              </w:rPr>
              <w:t xml:space="preserve"> trimester)</w:t>
            </w:r>
          </w:p>
        </w:tc>
        <w:tc>
          <w:tcPr>
            <w:tcW w:w="1576" w:type="dxa"/>
            <w:vAlign w:val="center"/>
          </w:tcPr>
          <w:p w14:paraId="187186CF" w14:textId="1CFFA4D7" w:rsidR="003B2170" w:rsidRPr="00C573FB" w:rsidRDefault="003B2170" w:rsidP="003B2170">
            <w:pPr>
              <w:jc w:val="center"/>
              <w:rPr>
                <w:sz w:val="20"/>
                <w:szCs w:val="20"/>
              </w:rPr>
            </w:pPr>
            <w:r w:rsidRPr="00C573FB">
              <w:rPr>
                <w:sz w:val="20"/>
                <w:szCs w:val="20"/>
              </w:rPr>
              <w:t>Yes</w:t>
            </w:r>
          </w:p>
        </w:tc>
        <w:tc>
          <w:tcPr>
            <w:tcW w:w="1980" w:type="dxa"/>
            <w:vAlign w:val="center"/>
          </w:tcPr>
          <w:p w14:paraId="564D6C38" w14:textId="1A7E21C3" w:rsidR="003B2170" w:rsidRPr="00C573FB" w:rsidRDefault="003B2170" w:rsidP="003B2170">
            <w:pPr>
              <w:jc w:val="center"/>
              <w:rPr>
                <w:sz w:val="20"/>
                <w:szCs w:val="20"/>
              </w:rPr>
            </w:pPr>
            <w:r>
              <w:rPr>
                <w:sz w:val="20"/>
                <w:szCs w:val="20"/>
              </w:rPr>
              <w:t>Externalizing at 7 yrs</w:t>
            </w:r>
            <w:r w:rsidR="007B4F71">
              <w:rPr>
                <w:sz w:val="20"/>
                <w:szCs w:val="20"/>
              </w:rPr>
              <w:t>.</w:t>
            </w:r>
          </w:p>
        </w:tc>
        <w:tc>
          <w:tcPr>
            <w:tcW w:w="990" w:type="dxa"/>
            <w:vAlign w:val="center"/>
          </w:tcPr>
          <w:p w14:paraId="733D82F2" w14:textId="194A0217" w:rsidR="003B2170" w:rsidRPr="00C573FB" w:rsidRDefault="003B2170" w:rsidP="003B2170">
            <w:pPr>
              <w:jc w:val="center"/>
              <w:rPr>
                <w:sz w:val="20"/>
                <w:szCs w:val="20"/>
              </w:rPr>
            </w:pPr>
            <w:r w:rsidRPr="00C573FB">
              <w:rPr>
                <w:sz w:val="20"/>
                <w:szCs w:val="20"/>
              </w:rPr>
              <w:t>Boys</w:t>
            </w:r>
          </w:p>
        </w:tc>
      </w:tr>
      <w:tr w:rsidR="003B2170" w14:paraId="4D30ACAE" w14:textId="77777777" w:rsidTr="00E7661A">
        <w:trPr>
          <w:trHeight w:val="553"/>
          <w:jc w:val="center"/>
        </w:trPr>
        <w:tc>
          <w:tcPr>
            <w:tcW w:w="2335" w:type="dxa"/>
            <w:vAlign w:val="center"/>
          </w:tcPr>
          <w:p w14:paraId="2FB2BA8E" w14:textId="2E05C2B6" w:rsidR="003B2170" w:rsidRPr="007332E8" w:rsidRDefault="003B2170" w:rsidP="003B2170">
            <w:pPr>
              <w:rPr>
                <w:b/>
                <w:bCs/>
                <w:sz w:val="20"/>
                <w:szCs w:val="20"/>
              </w:rPr>
            </w:pPr>
            <w:r w:rsidRPr="007332E8">
              <w:rPr>
                <w:b/>
                <w:bCs/>
                <w:sz w:val="20"/>
                <w:szCs w:val="20"/>
              </w:rPr>
              <w:t>EDEN</w:t>
            </w:r>
            <w:r>
              <w:rPr>
                <w:b/>
                <w:bCs/>
                <w:sz w:val="20"/>
                <w:szCs w:val="20"/>
              </w:rPr>
              <w:t xml:space="preserve"> (France)</w:t>
            </w:r>
          </w:p>
          <w:p w14:paraId="137932A4" w14:textId="5061EE86" w:rsidR="003B2170" w:rsidRPr="00C573FB" w:rsidRDefault="003B2170" w:rsidP="003B2170">
            <w:pPr>
              <w:rPr>
                <w:sz w:val="20"/>
                <w:szCs w:val="20"/>
              </w:rPr>
            </w:pPr>
            <w:proofErr w:type="spellStart"/>
            <w:r w:rsidRPr="00C573FB">
              <w:rPr>
                <w:sz w:val="20"/>
                <w:szCs w:val="20"/>
              </w:rPr>
              <w:t>Philippat</w:t>
            </w:r>
            <w:proofErr w:type="spellEnd"/>
            <w:r w:rsidRPr="00C573FB">
              <w:rPr>
                <w:sz w:val="20"/>
                <w:szCs w:val="20"/>
              </w:rPr>
              <w:t xml:space="preserve"> et al., 2017</w:t>
            </w:r>
            <w:r>
              <w:rPr>
                <w:sz w:val="20"/>
                <w:szCs w:val="20"/>
              </w:rPr>
              <w:t xml:space="preserve"> </w:t>
            </w:r>
            <w:r>
              <w:rPr>
                <w:sz w:val="20"/>
                <w:szCs w:val="20"/>
              </w:rPr>
              <w:fldChar w:fldCharType="begin" w:fldLock="1"/>
            </w:r>
            <w:r w:rsidR="004207B1">
              <w:rPr>
                <w:sz w:val="20"/>
                <w:szCs w:val="20"/>
              </w:rPr>
              <w:instrText>ADDIN CSL_CITATION {"citationItems":[{"id":"ITEM-1","itemData":{"DOI":"10.1289/EHP1314","ISSN":"0091-6765","PMID":"28937960","abstract":"BACKGROUND Sex-specific associations have been reported between phthalates, bisphenol A (BPA), and child behavior. No data on large study populations are available for other phenols with possible endocrine-disrupting properties. OBJECTIVES We aimed to study associations between prenatal exposure to phthalates and several phenols on behavior among male infants. METHODS We quantified 11 phthalate metabolites and nine phenols (four parabens, benzophenone-3, BPA, two dichlorophenols, triclosan) in spot urine samples collected during pregnancy among EDEN cohort mothers who delivered a boy. Mothers completed the Strength and Difficulties Questionnaire (SDQ) when their children were 3.1 (n=529) and 5.6 (n=464) y old. RESULTS BPA was positively associated with the relationship problems subscale at 3 y [incidence rate ratio (IRR): 1.11; 95% confidence interval (CI): 1.03, 1.20] and the hyperactivity-inattention subscale scores at 5 y (IRR: 1.08; 95% CI: 1.01, 1.14). Mono-n-butyl phthalate (MnBP) was positively associated with internalizing behavior, relationship problem, and emotional symptom scores at 3 y. Monobenzyl phthalate (MBzP) was positively associated with internalizing behavior and relationship problems scores at 3 y. After dichotomizing SDQ scores, triclosan tended to be positively associated with emotional symptom subscales at both 3 and 5 y. CONCLUSIONS The observed associations between BPA, MnBP, and behavior in boys are consistent with previous findings. Further health impact assessment studies based on dose-response functions corrected for exposure misclassification are required to quantify the public health burden possibly entailed by such associations. https://doi.org/10.1289/EHP1314.","author":[{"dropping-particle":"","family":"Philippat","given":"Claire","non-dropping-particle":"","parse-names":false,"suffix":""},{"dropping-particle":"","family":"Nakiwala","given":"Dorothy","non-dropping-particle":"","parse-names":false,"suffix":""},{"dropping-particle":"","family":"Calafat","given":"Antonia M.","non-dropping-particle":"","parse-names":false,"suffix":""},{"dropping-particle":"","family":"Botton","given":"Jérémie","non-dropping-particle":"","parse-names":false,"suffix":""},{"dropping-particle":"","family":"Agostini","given":"Maria","non-dropping-particle":"De","parse-names":false,"suffix":""},{"dropping-particle":"","family":"Heude","given":"Barbara","non-dropping-particle":"","parse-names":false,"suffix":""},{"dropping-particle":"","family":"Slama","given":"Rémy","non-dropping-particle":"","parse-names":false,"suffix":""},{"dropping-particle":"","family":"EDEN Mother–Child Study Group","given":"","non-dropping-particle":"","parse-names":false,"suffix":""}],"container-title":"Environmental Health Perspectives","id":"ITEM-1","issue":"9","issued":{"date-parts":[["2017","9","15"]]},"page":"097014","title":"Prenatal Exposure to Nonpersistent Endocrine Disruptors and Behavior in Boys at 3 and 5 Years","type":"article-journal","volume":"125"},"uris":["http://www.mendeley.com/documents/?uuid=4b8d01d3-46e9-3ef1-98dc-0c1d217cf172"]}],"mendeley":{"formattedCitation":"[12]","plainTextFormattedCitation":"[12]","previouslyFormattedCitation":"[11]"},"properties":{"noteIndex":0},"schema":"https://github.com/citation-style-language/schema/raw/master/csl-citation.json"}</w:instrText>
            </w:r>
            <w:r>
              <w:rPr>
                <w:sz w:val="20"/>
                <w:szCs w:val="20"/>
              </w:rPr>
              <w:fldChar w:fldCharType="separate"/>
            </w:r>
            <w:r w:rsidR="004207B1" w:rsidRPr="004207B1">
              <w:rPr>
                <w:noProof/>
                <w:sz w:val="20"/>
                <w:szCs w:val="20"/>
              </w:rPr>
              <w:t>[12]</w:t>
            </w:r>
            <w:r>
              <w:rPr>
                <w:sz w:val="20"/>
                <w:szCs w:val="20"/>
              </w:rPr>
              <w:fldChar w:fldCharType="end"/>
            </w:r>
          </w:p>
        </w:tc>
        <w:tc>
          <w:tcPr>
            <w:tcW w:w="900" w:type="dxa"/>
            <w:vAlign w:val="center"/>
          </w:tcPr>
          <w:p w14:paraId="2B987627" w14:textId="3237A5DD" w:rsidR="003B2170" w:rsidRPr="00C573FB" w:rsidRDefault="003B2170" w:rsidP="003B2170">
            <w:pPr>
              <w:jc w:val="center"/>
              <w:rPr>
                <w:sz w:val="20"/>
                <w:szCs w:val="20"/>
              </w:rPr>
            </w:pPr>
            <w:r w:rsidRPr="00C573FB">
              <w:rPr>
                <w:sz w:val="20"/>
                <w:szCs w:val="20"/>
              </w:rPr>
              <w:t>5</w:t>
            </w:r>
            <w:r>
              <w:rPr>
                <w:sz w:val="20"/>
                <w:szCs w:val="20"/>
              </w:rPr>
              <w:t>29</w:t>
            </w:r>
          </w:p>
        </w:tc>
        <w:tc>
          <w:tcPr>
            <w:tcW w:w="1404" w:type="dxa"/>
            <w:vAlign w:val="center"/>
          </w:tcPr>
          <w:p w14:paraId="4E3DDF49" w14:textId="1ABAC3F3" w:rsidR="003B2170" w:rsidRPr="00C573FB" w:rsidRDefault="003B2170" w:rsidP="003B2170">
            <w:pPr>
              <w:jc w:val="center"/>
              <w:rPr>
                <w:sz w:val="20"/>
                <w:szCs w:val="20"/>
              </w:rPr>
            </w:pPr>
            <w:r>
              <w:rPr>
                <w:sz w:val="20"/>
                <w:szCs w:val="20"/>
              </w:rPr>
              <w:t>1 (2</w:t>
            </w:r>
            <w:r w:rsidRPr="003712F2">
              <w:rPr>
                <w:sz w:val="20"/>
                <w:szCs w:val="20"/>
                <w:vertAlign w:val="superscript"/>
              </w:rPr>
              <w:t>nd</w:t>
            </w:r>
            <w:r>
              <w:rPr>
                <w:sz w:val="20"/>
                <w:szCs w:val="20"/>
              </w:rPr>
              <w:t xml:space="preserve"> trimester)</w:t>
            </w:r>
          </w:p>
        </w:tc>
        <w:tc>
          <w:tcPr>
            <w:tcW w:w="1576" w:type="dxa"/>
            <w:vAlign w:val="center"/>
          </w:tcPr>
          <w:p w14:paraId="12F96EF7" w14:textId="36C0B64C" w:rsidR="003B2170" w:rsidRPr="00C573FB" w:rsidRDefault="003B2170" w:rsidP="003B2170">
            <w:pPr>
              <w:jc w:val="center"/>
              <w:rPr>
                <w:sz w:val="20"/>
                <w:szCs w:val="20"/>
              </w:rPr>
            </w:pPr>
            <w:r w:rsidRPr="00C573FB">
              <w:rPr>
                <w:sz w:val="20"/>
                <w:szCs w:val="20"/>
              </w:rPr>
              <w:t>Yes</w:t>
            </w:r>
          </w:p>
        </w:tc>
        <w:tc>
          <w:tcPr>
            <w:tcW w:w="1980" w:type="dxa"/>
            <w:vAlign w:val="center"/>
          </w:tcPr>
          <w:p w14:paraId="0622C76F" w14:textId="3EA3845F" w:rsidR="003B2170" w:rsidRPr="00C573FB" w:rsidRDefault="003B2170" w:rsidP="003B2170">
            <w:pPr>
              <w:jc w:val="center"/>
              <w:rPr>
                <w:sz w:val="20"/>
                <w:szCs w:val="20"/>
              </w:rPr>
            </w:pPr>
            <w:r>
              <w:rPr>
                <w:sz w:val="20"/>
                <w:szCs w:val="20"/>
              </w:rPr>
              <w:t>Internalizing at 3 yrs</w:t>
            </w:r>
            <w:r w:rsidR="007B4F71">
              <w:rPr>
                <w:sz w:val="20"/>
                <w:szCs w:val="20"/>
              </w:rPr>
              <w:t>.</w:t>
            </w:r>
            <w:r>
              <w:rPr>
                <w:sz w:val="20"/>
                <w:szCs w:val="20"/>
              </w:rPr>
              <w:t xml:space="preserve"> Externalizing at 5 yrs</w:t>
            </w:r>
            <w:r w:rsidR="007B4F71">
              <w:rPr>
                <w:sz w:val="20"/>
                <w:szCs w:val="20"/>
              </w:rPr>
              <w:t>.</w:t>
            </w:r>
          </w:p>
        </w:tc>
        <w:tc>
          <w:tcPr>
            <w:tcW w:w="990" w:type="dxa"/>
            <w:vAlign w:val="center"/>
          </w:tcPr>
          <w:p w14:paraId="7F49AEA8" w14:textId="69B69B0A" w:rsidR="003B2170" w:rsidRPr="00C573FB" w:rsidRDefault="003B2170" w:rsidP="003B2170">
            <w:pPr>
              <w:jc w:val="center"/>
              <w:rPr>
                <w:sz w:val="20"/>
                <w:szCs w:val="20"/>
              </w:rPr>
            </w:pPr>
            <w:r w:rsidRPr="00C573FB">
              <w:rPr>
                <w:sz w:val="20"/>
                <w:szCs w:val="20"/>
              </w:rPr>
              <w:t>Only boys</w:t>
            </w:r>
          </w:p>
        </w:tc>
      </w:tr>
      <w:tr w:rsidR="003B2170" w14:paraId="04464E91" w14:textId="77777777" w:rsidTr="00E7661A">
        <w:trPr>
          <w:trHeight w:val="496"/>
          <w:jc w:val="center"/>
        </w:trPr>
        <w:tc>
          <w:tcPr>
            <w:tcW w:w="2335" w:type="dxa"/>
            <w:vAlign w:val="center"/>
          </w:tcPr>
          <w:p w14:paraId="4D0A53F6" w14:textId="040E870D" w:rsidR="003B2170" w:rsidRPr="0013062F" w:rsidRDefault="003B2170" w:rsidP="003B2170">
            <w:pPr>
              <w:rPr>
                <w:b/>
                <w:bCs/>
                <w:sz w:val="20"/>
                <w:szCs w:val="20"/>
              </w:rPr>
            </w:pPr>
            <w:r w:rsidRPr="0013062F">
              <w:rPr>
                <w:b/>
                <w:bCs/>
                <w:sz w:val="20"/>
                <w:szCs w:val="20"/>
              </w:rPr>
              <w:t>MIREC (Canada)</w:t>
            </w:r>
          </w:p>
          <w:p w14:paraId="57476B89" w14:textId="3D386AEC" w:rsidR="003B2170" w:rsidRPr="00C573FB" w:rsidRDefault="003B2170" w:rsidP="003B2170">
            <w:pPr>
              <w:rPr>
                <w:sz w:val="20"/>
                <w:szCs w:val="20"/>
              </w:rPr>
            </w:pPr>
            <w:r w:rsidRPr="0013062F">
              <w:rPr>
                <w:sz w:val="20"/>
                <w:szCs w:val="20"/>
              </w:rPr>
              <w:t xml:space="preserve">Braun et al., 2017 </w:t>
            </w:r>
            <w:r>
              <w:rPr>
                <w:sz w:val="20"/>
                <w:szCs w:val="20"/>
              </w:rPr>
              <w:fldChar w:fldCharType="begin" w:fldLock="1"/>
            </w:r>
            <w:r w:rsidR="004207B1" w:rsidRPr="0013062F">
              <w:rPr>
                <w:sz w:val="20"/>
                <w:szCs w:val="20"/>
              </w:rPr>
              <w:instrText xml:space="preserve">ADDIN CSL_CITATION {"citationItems":[{"id":"ITEM-1","itemData":{"DOI":"10.1289/EHP984","ISSN":"0091-6765","PMID":"28657891","abstract":"BACKGROUND Prenatal bisphenol A (BPA) exposure has been associated with adverse neurodevelopment in epidemiological studies. However, prior studies had limited statistical power to examine sex-specific effects, and few examined child cognition. OBJECTIVES We estimated the association between prenatal BPA exposure and child neurobehavior at 3 y of age in a prospective cohort of 812 mothers and their children. METHODS We measured BPA concentration in urine samples collected at </w:instrText>
            </w:r>
            <w:r w:rsidR="004207B1" w:rsidRPr="0013062F">
              <w:rPr>
                <w:rFonts w:ascii="Cambria Math" w:hAnsi="Cambria Math" w:cs="Cambria Math"/>
                <w:sz w:val="20"/>
                <w:szCs w:val="20"/>
              </w:rPr>
              <w:instrText>∼</w:instrText>
            </w:r>
            <w:r w:rsidR="004207B1" w:rsidRPr="0013062F">
              <w:rPr>
                <w:sz w:val="20"/>
                <w:szCs w:val="20"/>
              </w:rPr>
              <w:instrText>12 wk gestation among women enrolled in a 10-city Canadian cohort study. At approximately 3 y of age, we assessed children</w:instrText>
            </w:r>
            <w:r w:rsidR="004207B1" w:rsidRPr="0013062F">
              <w:rPr>
                <w:rFonts w:ascii="Calibri" w:hAnsi="Calibri" w:cs="Calibri"/>
                <w:sz w:val="20"/>
                <w:szCs w:val="20"/>
              </w:rPr>
              <w:instrText>’</w:instrText>
            </w:r>
            <w:r w:rsidR="004207B1" w:rsidRPr="0013062F">
              <w:rPr>
                <w:sz w:val="20"/>
                <w:szCs w:val="20"/>
              </w:rPr>
              <w:instrText>s cognitive abilities with the Wechsler Primary and Preschool Scale of IntelligenceTM–III (WPPSI-III) and two scales of the Behavior Rating Inventory of Executive Function–Preschool (BRIEF-P). Parents reported children’s behavior using the Behavior Assessment System for Children–2 (BASC-2) and the Social Responsiveness ScaleTM–2 (SRS-2). We estimated covariate-adjusted differences in neurobehavioral outcomes with a doubling in BPA concentration and sex-specific associations. RESULTS BPA was not associated with WPPSI-III scores; child sex did not modify these associations. The association between BPA and BRIEF-P scores was modifi</w:instrText>
            </w:r>
            <w:r w:rsidR="004207B1" w:rsidRPr="0013062F">
              <w:rPr>
                <w:sz w:val="20"/>
                <w:szCs w:val="20"/>
                <w:lang w:val="es-ES"/>
              </w:rPr>
              <w:instrText>ed by child sex (BPA×sex p-values≤0.03). For example, a doubling of BPA concentration was associated with 1-point (95% CI: 0.3, 1.7) poorer working memory in boys and 0.5-point (95% CI: −1.1, 0.1) better scores in girls. BPA was not associated with most BASC-2 scales; however, it was associated with more internalizing and somatizing behaviors in boys, but not in girls (BPA×sex p&amp;-values≤0.08). A doubling of BPA concentration was associated with poorer SRS-2 scores [</w:instrText>
            </w:r>
            <w:r w:rsidR="004207B1">
              <w:rPr>
                <w:sz w:val="20"/>
                <w:szCs w:val="20"/>
              </w:rPr>
              <w:instrText>β</w:instrText>
            </w:r>
            <w:r w:rsidR="004207B1" w:rsidRPr="0013062F">
              <w:rPr>
                <w:sz w:val="20"/>
                <w:szCs w:val="20"/>
                <w:lang w:val="es-ES"/>
              </w:rPr>
              <w:instrText>=0.3 ( 95% CI: 0, 0.7)]; this association was not modified by sex. CONCLUSION Prenatal urinary BPA concentration was associated with some aspects of child behavior in this cohort, and some associations were stronger among boys. https://doi.org/10.1289/EHP984.","author":[{"dropping-particle":"","family":"Braun","given":"Joseph M.","non-dropping-particle":"","parse-names":false,"suffix":""},{"dropping-particle":"","family":"Muckle","given":"Gina","non-dropping-particle":"","parse-names":false,"suffix":""},{"dropping-particle":"","family":"Arbuckle","given":"Tye","non-dropping-particle":"","parse-nam</w:instrText>
            </w:r>
            <w:r w:rsidR="004207B1" w:rsidRPr="0013062F">
              <w:rPr>
                <w:sz w:val="20"/>
                <w:szCs w:val="20"/>
              </w:rPr>
              <w:instrText>es":false,"suffix":""},{"dropping-particle":"","family":"Bouchard","given":"Maryse F.","non-dropping-particle":"","parse-names":false,"suffix":""},{"dropping-particle":"","family":"Fraser","given":"William D.","non-dropping-particle":"","parse-names":false,"suffix":""},{"dropping-particle":"","family":"Ouellet","given":"Emmanuel","non-dropping-particle":"","parse-names":false,"suffix":""},{"dropping-particle":"","family":"Séguin","given":"Jean R.","non-dropping-particle":"","parse-names":false,"suffix":""},{"dropping-partic</w:instrText>
            </w:r>
            <w:r w:rsidR="004207B1">
              <w:rPr>
                <w:sz w:val="20"/>
                <w:szCs w:val="20"/>
              </w:rPr>
              <w:instrText>le":"","family":"Oulhote","given":"Youssef","non-dropping-particle":"","parse-names":false,"suffix":""},{"dropping-particle":"","family":"Webster","given":"Glenys M.","non-dropping-particle":"","parse-names":false,"suffix":""},{"dropping-particle":"","family":"Lanphear","given":"Bruce P.","non-dropping-particle":"","parse-names":false,"suffix":""}],"container-title":"Environmental Health Perspectives","id":"ITEM-1","issue":"06","issued":{"date-parts":[["2017","6","16"]]},"page":"067008","title":"Associations of Prenatal Urinary Bisphenol A Concentrations with Child Behaviors and Cognitive Abilities","type":"article-journal","volume":"125"},"uris":["http://www.mendeley.com/documents/?uuid=ff0ef6f8-dae7-3237-85f6-c527369f206b"]}],"mendeley":{"formattedCitation":"[13]","plainTextFormattedCitation":"[13]","previouslyFormattedCitation":"[12]"},"properties":{"noteIndex":0},"schema":"https://github.com/citation-style-language/schema/raw/master/csl-citation.json"}</w:instrText>
            </w:r>
            <w:r>
              <w:rPr>
                <w:sz w:val="20"/>
                <w:szCs w:val="20"/>
              </w:rPr>
              <w:fldChar w:fldCharType="separate"/>
            </w:r>
            <w:r w:rsidR="004207B1" w:rsidRPr="004207B1">
              <w:rPr>
                <w:noProof/>
                <w:sz w:val="20"/>
                <w:szCs w:val="20"/>
              </w:rPr>
              <w:t>[13]</w:t>
            </w:r>
            <w:r>
              <w:rPr>
                <w:sz w:val="20"/>
                <w:szCs w:val="20"/>
              </w:rPr>
              <w:fldChar w:fldCharType="end"/>
            </w:r>
          </w:p>
        </w:tc>
        <w:tc>
          <w:tcPr>
            <w:tcW w:w="900" w:type="dxa"/>
            <w:vAlign w:val="center"/>
          </w:tcPr>
          <w:p w14:paraId="69F55E21" w14:textId="7708EFE3" w:rsidR="003B2170" w:rsidRPr="00C573FB" w:rsidRDefault="003B2170" w:rsidP="003B2170">
            <w:pPr>
              <w:jc w:val="center"/>
              <w:rPr>
                <w:sz w:val="20"/>
                <w:szCs w:val="20"/>
              </w:rPr>
            </w:pPr>
            <w:r w:rsidRPr="00C573FB">
              <w:rPr>
                <w:sz w:val="20"/>
                <w:szCs w:val="20"/>
              </w:rPr>
              <w:t>812</w:t>
            </w:r>
          </w:p>
        </w:tc>
        <w:tc>
          <w:tcPr>
            <w:tcW w:w="1404" w:type="dxa"/>
            <w:vAlign w:val="center"/>
          </w:tcPr>
          <w:p w14:paraId="7A001C6D" w14:textId="23C68C52" w:rsidR="003B2170" w:rsidRPr="00805C17" w:rsidRDefault="003B2170" w:rsidP="003B2170">
            <w:pPr>
              <w:jc w:val="center"/>
              <w:rPr>
                <w:sz w:val="20"/>
                <w:szCs w:val="20"/>
              </w:rPr>
            </w:pPr>
            <w:r>
              <w:rPr>
                <w:sz w:val="20"/>
                <w:szCs w:val="20"/>
              </w:rPr>
              <w:t>1 (gestation week 12</w:t>
            </w:r>
            <w:r w:rsidRPr="00F54223">
              <w:rPr>
                <w:sz w:val="20"/>
                <w:szCs w:val="20"/>
                <w:vertAlign w:val="superscript"/>
              </w:rPr>
              <w:t>th</w:t>
            </w:r>
            <w:r w:rsidRPr="00CF3520">
              <w:rPr>
                <w:sz w:val="20"/>
                <w:szCs w:val="20"/>
              </w:rPr>
              <w:t>)</w:t>
            </w:r>
          </w:p>
        </w:tc>
        <w:tc>
          <w:tcPr>
            <w:tcW w:w="1576" w:type="dxa"/>
            <w:vAlign w:val="center"/>
          </w:tcPr>
          <w:p w14:paraId="0528FF65" w14:textId="0812BA3A" w:rsidR="003B2170" w:rsidRPr="00C573FB" w:rsidRDefault="003B2170" w:rsidP="003B2170">
            <w:pPr>
              <w:jc w:val="center"/>
              <w:rPr>
                <w:sz w:val="20"/>
                <w:szCs w:val="20"/>
              </w:rPr>
            </w:pPr>
            <w:r w:rsidRPr="00C573FB">
              <w:rPr>
                <w:sz w:val="20"/>
                <w:szCs w:val="20"/>
              </w:rPr>
              <w:t>Yes</w:t>
            </w:r>
          </w:p>
        </w:tc>
        <w:tc>
          <w:tcPr>
            <w:tcW w:w="1980" w:type="dxa"/>
            <w:vAlign w:val="center"/>
          </w:tcPr>
          <w:p w14:paraId="10DA6C48" w14:textId="221A0841" w:rsidR="003B2170" w:rsidRPr="00C573FB" w:rsidRDefault="003B2170" w:rsidP="003B2170">
            <w:pPr>
              <w:jc w:val="center"/>
              <w:rPr>
                <w:sz w:val="20"/>
                <w:szCs w:val="20"/>
              </w:rPr>
            </w:pPr>
            <w:r>
              <w:rPr>
                <w:sz w:val="20"/>
                <w:szCs w:val="20"/>
              </w:rPr>
              <w:t>Internalizing at 3 yrs</w:t>
            </w:r>
            <w:r w:rsidR="007B4F71">
              <w:rPr>
                <w:sz w:val="20"/>
                <w:szCs w:val="20"/>
              </w:rPr>
              <w:t>.</w:t>
            </w:r>
          </w:p>
        </w:tc>
        <w:tc>
          <w:tcPr>
            <w:tcW w:w="990" w:type="dxa"/>
            <w:vAlign w:val="center"/>
          </w:tcPr>
          <w:p w14:paraId="2678CE8A" w14:textId="068D3294" w:rsidR="003B2170" w:rsidRPr="00C573FB" w:rsidRDefault="003B2170" w:rsidP="003B2170">
            <w:pPr>
              <w:jc w:val="center"/>
              <w:rPr>
                <w:sz w:val="20"/>
                <w:szCs w:val="20"/>
              </w:rPr>
            </w:pPr>
            <w:r w:rsidRPr="00C573FB">
              <w:rPr>
                <w:sz w:val="20"/>
                <w:szCs w:val="20"/>
              </w:rPr>
              <w:t>Boys</w:t>
            </w:r>
          </w:p>
        </w:tc>
      </w:tr>
      <w:tr w:rsidR="003B2170" w14:paraId="71A148D1" w14:textId="77777777" w:rsidTr="00E7661A">
        <w:trPr>
          <w:trHeight w:val="496"/>
          <w:jc w:val="center"/>
        </w:trPr>
        <w:tc>
          <w:tcPr>
            <w:tcW w:w="2335" w:type="dxa"/>
            <w:vAlign w:val="center"/>
          </w:tcPr>
          <w:p w14:paraId="17CA2102" w14:textId="3B04E423" w:rsidR="003B2170" w:rsidRPr="0013062F" w:rsidRDefault="003B2170" w:rsidP="003B2170">
            <w:pPr>
              <w:rPr>
                <w:b/>
                <w:bCs/>
                <w:sz w:val="20"/>
                <w:szCs w:val="20"/>
              </w:rPr>
            </w:pPr>
            <w:r w:rsidRPr="0013062F">
              <w:rPr>
                <w:b/>
                <w:bCs/>
                <w:sz w:val="20"/>
                <w:szCs w:val="20"/>
              </w:rPr>
              <w:t>EDC (Korea)</w:t>
            </w:r>
          </w:p>
          <w:p w14:paraId="7F4B016A" w14:textId="3CC23A3F" w:rsidR="003B2170" w:rsidRPr="00C573FB" w:rsidRDefault="003B2170" w:rsidP="003B2170">
            <w:pPr>
              <w:rPr>
                <w:sz w:val="20"/>
                <w:szCs w:val="20"/>
              </w:rPr>
            </w:pPr>
            <w:r w:rsidRPr="0013062F">
              <w:rPr>
                <w:sz w:val="20"/>
                <w:szCs w:val="20"/>
              </w:rPr>
              <w:t xml:space="preserve">Lim et al., 2017 </w:t>
            </w:r>
            <w:r>
              <w:rPr>
                <w:sz w:val="20"/>
                <w:szCs w:val="20"/>
              </w:rPr>
              <w:fldChar w:fldCharType="begin" w:fldLock="1"/>
            </w:r>
            <w:r w:rsidR="004207B1" w:rsidRPr="0013062F">
              <w:rPr>
                <w:sz w:val="20"/>
                <w:szCs w:val="20"/>
              </w:rPr>
              <w:instrText>ADDIN CSL_CITATION {"citationItems":[{"id":"ITEM-1","itemData":{"DOI":"10.1186/s12940-017-0289-2","ISSN":"1476-069X","PMID":"28747197","abstract":"BACKGROUND Prenatal and postnatal exposure to bisphenol A (BPA) may affect early brain development. Rodent studies suggest that prenatal and postnatal neurodevelopmental toxicity from BPA exposure may manifest as social deficits in offspring. We investigated the association between prenatal and postnatal exposure to BPA and social impairments in a sample of 4-year-old children. METHODS We recruited second-trimester pregnant women between 2008 and 2011, and measured their creatinine-adjusted prenatal urine BPA levels. In 2014-2015, a subset of 4-year-old children born to these women underwent neurobehavioral assessment and physical examination. We collected urine and blood from the children and assessed social impairments, including deficits in social interaction, social communication, and other behavior patterns using the Korean version of the Social Communication Questionnaire (K-SCQ) (n = 304). We examined social impairments associated with prenatal exposure at mid-term pregnancy and postnatal exposure to BPA at 4 years of age, using linear and piecewise linear regression models. RESULTS The relationship between prenatal BPA exposure and social communication was non-linear and statistically significant at or above the flexion point fo</w:instrText>
            </w:r>
            <w:r w:rsidR="004207B1" w:rsidRPr="0013062F">
              <w:rPr>
                <w:sz w:val="20"/>
                <w:szCs w:val="20"/>
                <w:lang w:val="es-ES"/>
              </w:rPr>
              <w:instrText>r BPA levels of 3.0 </w:instrText>
            </w:r>
            <w:r w:rsidR="004207B1">
              <w:rPr>
                <w:sz w:val="20"/>
                <w:szCs w:val="20"/>
              </w:rPr>
              <w:instrText>μ</w:instrText>
            </w:r>
            <w:r w:rsidR="004207B1" w:rsidRPr="0013062F">
              <w:rPr>
                <w:sz w:val="20"/>
                <w:szCs w:val="20"/>
                <w:lang w:val="es-ES"/>
              </w:rPr>
              <w:instrText xml:space="preserve">g/g creatinine in girls (58.4%, 95% confidence interval [CI], 6.5% to 135.8%). Each 2-fold increase in postnatal BPA exposure was significantly associated with an 11.8% (95% CI, 0.6% to 24.3%) increase in impairment in social communication in 4-year old girls, as indicated by the linear regression model. CONCLUSION Prenatal and postnatal BPA exposure is associated </w:instrText>
            </w:r>
            <w:r w:rsidR="004207B1" w:rsidRPr="00D34DEE">
              <w:rPr>
                <w:sz w:val="20"/>
                <w:szCs w:val="20"/>
              </w:rPr>
              <w:instrText>with social impairment at 4 years of age, particularly in girls.","author":[{"dropping-particle":"","family":"Lim","given":"Youn-Hee","non-dropping-particle":"","parse-names":false,"suffix":""},{"dropping-particle":"","family":"Bae","given":"Sanghyuk","non-dropping-particle":"","parse-names":false,"suffix":""},{"dropping-particle":"","family":"Kim","given":"Bung-Nyun","non-dropping-particle":"","parse-names":false,"suffix":""},{"dropping-particle":"","family":"Shin","given":"Choong Ho","non-dropping-particle":"","parse-names":false,"suffix":""},{"dropping-particle":"","family":"Lee","given":"Young Ah","non-dropping-particle":"","parse-names":false,"suffix":""},{"dropping-particle":"","family":"Kim","given":"Johanna Inhyang","non-dropping-particle":"","parse-names":false,"suffix":""},{"dropping-particle":"","family":"Hong","given":"Yun-Chul","non-dropping-particle":"","parse-names":false,"suffix":""}],"container-title":"Environmental Health","id":"ITEM-1","issue":"1","issued":{"date-parts":[["2017","12","26"]]},"page":"79","title":"Prenatal and postnatal bisphenol A exposure and social impairment in 4-year-old children","type":"article-journal","volume":"16"},"uris":["http:</w:instrText>
            </w:r>
            <w:r w:rsidR="004207B1">
              <w:rPr>
                <w:sz w:val="20"/>
                <w:szCs w:val="20"/>
              </w:rPr>
              <w:instrText>//www.mendeley.com/documents/?uuid=d558ae56-31d0-3c12-babf-43d114ca90a9"]}],"mendeley":{"formattedCitation":"[14]","plainTextFormattedCitation":"[14]","previouslyFormattedCitation":"[13]"},"properties":{"noteIndex":0},"schema":"https://github.com/citation-style-language/schema/raw/master/csl-citation.json"}</w:instrText>
            </w:r>
            <w:r>
              <w:rPr>
                <w:sz w:val="20"/>
                <w:szCs w:val="20"/>
              </w:rPr>
              <w:fldChar w:fldCharType="separate"/>
            </w:r>
            <w:r w:rsidR="004207B1" w:rsidRPr="004207B1">
              <w:rPr>
                <w:noProof/>
                <w:sz w:val="20"/>
                <w:szCs w:val="20"/>
              </w:rPr>
              <w:t>[14]</w:t>
            </w:r>
            <w:r>
              <w:rPr>
                <w:sz w:val="20"/>
                <w:szCs w:val="20"/>
              </w:rPr>
              <w:fldChar w:fldCharType="end"/>
            </w:r>
          </w:p>
        </w:tc>
        <w:tc>
          <w:tcPr>
            <w:tcW w:w="900" w:type="dxa"/>
            <w:vAlign w:val="center"/>
          </w:tcPr>
          <w:p w14:paraId="7B8234FE" w14:textId="2F6F4EAD" w:rsidR="003B2170" w:rsidRPr="00C573FB" w:rsidRDefault="003B2170" w:rsidP="003B2170">
            <w:pPr>
              <w:jc w:val="center"/>
              <w:rPr>
                <w:sz w:val="20"/>
                <w:szCs w:val="20"/>
              </w:rPr>
            </w:pPr>
            <w:r w:rsidRPr="00C573FB">
              <w:rPr>
                <w:sz w:val="20"/>
                <w:szCs w:val="20"/>
              </w:rPr>
              <w:t>304</w:t>
            </w:r>
          </w:p>
        </w:tc>
        <w:tc>
          <w:tcPr>
            <w:tcW w:w="1404" w:type="dxa"/>
            <w:vAlign w:val="center"/>
          </w:tcPr>
          <w:p w14:paraId="0E597382" w14:textId="49DECD07" w:rsidR="003B2170" w:rsidRPr="00C573FB" w:rsidRDefault="003B2170" w:rsidP="003B2170">
            <w:pPr>
              <w:jc w:val="center"/>
              <w:rPr>
                <w:sz w:val="20"/>
                <w:szCs w:val="20"/>
              </w:rPr>
            </w:pPr>
            <w:r>
              <w:rPr>
                <w:sz w:val="20"/>
                <w:szCs w:val="20"/>
              </w:rPr>
              <w:t>1 (gestation week 20</w:t>
            </w:r>
            <w:r w:rsidRPr="00F54223">
              <w:rPr>
                <w:sz w:val="20"/>
                <w:szCs w:val="20"/>
                <w:vertAlign w:val="superscript"/>
              </w:rPr>
              <w:t>th</w:t>
            </w:r>
            <w:r>
              <w:rPr>
                <w:sz w:val="20"/>
                <w:szCs w:val="20"/>
              </w:rPr>
              <w:t>)</w:t>
            </w:r>
          </w:p>
        </w:tc>
        <w:tc>
          <w:tcPr>
            <w:tcW w:w="1576" w:type="dxa"/>
            <w:vAlign w:val="center"/>
          </w:tcPr>
          <w:p w14:paraId="4D37ED48" w14:textId="13784D11" w:rsidR="003B2170" w:rsidRPr="00C573FB" w:rsidRDefault="003B2170" w:rsidP="003B2170">
            <w:pPr>
              <w:jc w:val="center"/>
              <w:rPr>
                <w:sz w:val="20"/>
                <w:szCs w:val="20"/>
              </w:rPr>
            </w:pPr>
            <w:r w:rsidRPr="00C573FB">
              <w:rPr>
                <w:sz w:val="20"/>
                <w:szCs w:val="20"/>
              </w:rPr>
              <w:t>Yes</w:t>
            </w:r>
          </w:p>
        </w:tc>
        <w:tc>
          <w:tcPr>
            <w:tcW w:w="1980" w:type="dxa"/>
            <w:vAlign w:val="center"/>
          </w:tcPr>
          <w:p w14:paraId="7596CA7B" w14:textId="5BBB73FD" w:rsidR="003B2170" w:rsidRPr="00C573FB" w:rsidRDefault="003B2170" w:rsidP="003B2170">
            <w:pPr>
              <w:jc w:val="center"/>
              <w:rPr>
                <w:sz w:val="20"/>
                <w:szCs w:val="20"/>
              </w:rPr>
            </w:pPr>
            <w:r>
              <w:rPr>
                <w:sz w:val="20"/>
                <w:szCs w:val="20"/>
              </w:rPr>
              <w:t>Externalizing (S</w:t>
            </w:r>
            <w:r w:rsidRPr="00C573FB">
              <w:rPr>
                <w:sz w:val="20"/>
                <w:szCs w:val="20"/>
              </w:rPr>
              <w:t>ocial problems</w:t>
            </w:r>
            <w:r>
              <w:rPr>
                <w:sz w:val="20"/>
                <w:szCs w:val="20"/>
              </w:rPr>
              <w:t>) at 4 yrs</w:t>
            </w:r>
            <w:r w:rsidR="007B4F71">
              <w:rPr>
                <w:sz w:val="20"/>
                <w:szCs w:val="20"/>
              </w:rPr>
              <w:t>.</w:t>
            </w:r>
          </w:p>
        </w:tc>
        <w:tc>
          <w:tcPr>
            <w:tcW w:w="990" w:type="dxa"/>
            <w:vAlign w:val="center"/>
          </w:tcPr>
          <w:p w14:paraId="34E2BD08" w14:textId="0893C444" w:rsidR="003B2170" w:rsidRPr="00C573FB" w:rsidRDefault="003B2170" w:rsidP="003B2170">
            <w:pPr>
              <w:jc w:val="center"/>
              <w:rPr>
                <w:sz w:val="20"/>
                <w:szCs w:val="20"/>
              </w:rPr>
            </w:pPr>
            <w:r w:rsidRPr="00C573FB">
              <w:rPr>
                <w:sz w:val="20"/>
                <w:szCs w:val="20"/>
              </w:rPr>
              <w:t>Girls</w:t>
            </w:r>
          </w:p>
        </w:tc>
      </w:tr>
      <w:tr w:rsidR="003B2170" w14:paraId="1D63E4AD" w14:textId="77777777" w:rsidTr="00E7661A">
        <w:trPr>
          <w:trHeight w:val="496"/>
          <w:jc w:val="center"/>
        </w:trPr>
        <w:tc>
          <w:tcPr>
            <w:tcW w:w="2335" w:type="dxa"/>
            <w:vAlign w:val="center"/>
          </w:tcPr>
          <w:p w14:paraId="0DBD1B2B" w14:textId="1DD4F127" w:rsidR="003B2170" w:rsidRPr="00E7661A" w:rsidRDefault="003B2170" w:rsidP="003B2170">
            <w:pPr>
              <w:rPr>
                <w:b/>
                <w:bCs/>
                <w:sz w:val="20"/>
                <w:szCs w:val="20"/>
              </w:rPr>
            </w:pPr>
            <w:r w:rsidRPr="00E7661A">
              <w:rPr>
                <w:b/>
                <w:bCs/>
                <w:sz w:val="20"/>
                <w:szCs w:val="20"/>
              </w:rPr>
              <w:t>OCC (Denmark)</w:t>
            </w:r>
          </w:p>
          <w:p w14:paraId="70EE9E28" w14:textId="6B7E8DB7" w:rsidR="003B2170" w:rsidRPr="00C573FB" w:rsidRDefault="003B2170" w:rsidP="003B2170">
            <w:pPr>
              <w:rPr>
                <w:sz w:val="20"/>
                <w:szCs w:val="20"/>
              </w:rPr>
            </w:pPr>
            <w:r w:rsidRPr="00E7661A">
              <w:rPr>
                <w:sz w:val="20"/>
                <w:szCs w:val="20"/>
              </w:rPr>
              <w:t xml:space="preserve">Jensen et al., 2019 </w:t>
            </w:r>
            <w:r>
              <w:rPr>
                <w:sz w:val="20"/>
                <w:szCs w:val="20"/>
              </w:rPr>
              <w:fldChar w:fldCharType="begin" w:fldLock="1"/>
            </w:r>
            <w:r w:rsidR="004207B1">
              <w:rPr>
                <w:sz w:val="20"/>
                <w:szCs w:val="20"/>
              </w:rPr>
              <w:instrText>ADDIN CSL_CITATION {"citationItems":[{"id":"ITEM-1","itemData":{"DOI":"10.1016/j.envres.2018.12.055","ISSN":"10960953","abstract":"Bisphenol A (BPA) is a non-persistent chemical with endocrine disrupting abilities widely used in a variety of consumer products. The fetal brain is particularly sensitive to chemical exposures due to its rapid growth and complexity. Some studies have reported associationbetween maternal BPA exposure and behavior but few have assessed impact on cognitive development, and to our knowledge no studies have specifically assessed the impact on language development. We therefore assessed whether maternal urinary BPA concentration during pregnancy was associated with language development and attention-deficit and hyperactivity disorder (ADHD) symptoms in offspring aged 18–36 months in the prospective Odense Child Cohort. BPA was analyzed in 3rd trimester maternal fasting urine spot samples. Language development was addressed among 535 children using the Danish adaptation of the MacArthur-Bates Communicative Development Inventories at median age 21 months; ADHD traits were assessed by parents of 658 children using the Child Behavior Checklist for ages 1½-5 years at mean age 2.7 years. Associations were assessed using logistic regression models comparing children below the 15th percentile score for language and above the 85 percentiles score for ADHD with the other children while stratifying by sex and adjusting for maternal education, duration of breastfeeding and maternal urine phthalates. BPA was detected in 85.3% of the urine samples (median 1.2 ng/ml). Boys of mothers with BPA exposure in the highest tertile had an odds ratio of 3.70 (95% CI 1.34–10.21) of being in the lowest 15th percentile of vocabulary score compared to boys of mothers within the lowest tertile of BPA exposure after adjustment, whereas no association was found in girls. No clear dose-response relationship between maternal BPA and ADHD scores above the 85th percentile was found for either sex. Since early language development is a predictor of future reading skills and educational success, more epidemiological studies assessing BPA exposure and language skills are needed to confirm our findings.","author":[{"dropping-particle":"","family":"Jensen","given":"Tina Kold","non-dropping-particle":"","parse-names":false,"suffix":""},{"dropping-particle":"","family":"Mustieles","given":"Vicente","non-dropping-particle":"","parse-names":false,"suffix":""},{"dropping-particle":"","family":"Bleses","given":"Dorthe","non-dropping-particle":"","parse-names":false,"suffix":""},{"dropping-particle":"","family":"Frederiksen","given":"Hanne","non-dropping-particle":"","parse-names":false,"suffix":""},{"dropping-particle":"","family":"Trecca","given":"Fabio","non-dropping-particle":"","parse-names":false,"suffix":""},{"dropping-particle":"","family":"Schoeters","given":"Greet","non-dropping-particle":"","parse-names":false,"suffix":""},{"dropping-particle":"","family":"Andersen","given":"Helle Raun","non-dropping-particle":"","parse-names":false,"suffix":""},{"dropping-particle":"","family":"Grandjean","given":"Philippe","non-dropping-particle":"","parse-names":false,"suffix":""},{"dropping-particle":"","family":"Kyhl","given":"Henriette Boye","non-dropping-particle":"","parse-names":false,"suffix":""},{"dropping-particle":"","family":"Juul","given":"Anders","non-dropping-particle":"","parse-names":false,"suffix":""},{"dropping-particle":"","family":"Bilenberg","given":"Niels","non-dropping-particle":"","parse-names":false,"suffix":""},{"dropping-particle":"","family":"Andersson","given":"Anna Maria","non-dropping-particle":"","parse-names":false,"suffix":""}],"container-title":"Environmental Research","id":"ITEM-1","issued":{"date-parts":[["2019","3","1"]]},"page":"398-405","publisher":"Academic Press Inc.","title":"Prenatal bisphenol A exposure is associated with language development but not with ADHD-related behavior in toddlers from the Odense Child Cohort","type":"article-journal","volume":"170"},"uris":["http://www.mendeley.com/documents/?uuid=589bd4db-266f-3cb3-b067-ff55ff45b3f8"]}],"mendeley":{"formattedCitation":"[15]","plainTextFormattedCitation":"[15]","previouslyFormattedCitation":"[14]"},"properties":{"noteIndex":0},"schema":"https://github.com/citation-style-language/schema/raw/master/csl-citation.json"}</w:instrText>
            </w:r>
            <w:r>
              <w:rPr>
                <w:sz w:val="20"/>
                <w:szCs w:val="20"/>
              </w:rPr>
              <w:fldChar w:fldCharType="separate"/>
            </w:r>
            <w:r w:rsidR="004207B1" w:rsidRPr="004207B1">
              <w:rPr>
                <w:noProof/>
                <w:sz w:val="20"/>
                <w:szCs w:val="20"/>
              </w:rPr>
              <w:t>[15]</w:t>
            </w:r>
            <w:r>
              <w:rPr>
                <w:sz w:val="20"/>
                <w:szCs w:val="20"/>
              </w:rPr>
              <w:fldChar w:fldCharType="end"/>
            </w:r>
          </w:p>
        </w:tc>
        <w:tc>
          <w:tcPr>
            <w:tcW w:w="900" w:type="dxa"/>
            <w:vAlign w:val="center"/>
          </w:tcPr>
          <w:p w14:paraId="0D3657ED" w14:textId="1BD5AFE7" w:rsidR="003B2170" w:rsidRPr="00C573FB" w:rsidRDefault="003B2170" w:rsidP="003B2170">
            <w:pPr>
              <w:jc w:val="center"/>
              <w:rPr>
                <w:sz w:val="20"/>
                <w:szCs w:val="20"/>
              </w:rPr>
            </w:pPr>
            <w:r>
              <w:rPr>
                <w:sz w:val="20"/>
                <w:szCs w:val="20"/>
              </w:rPr>
              <w:t>658</w:t>
            </w:r>
          </w:p>
        </w:tc>
        <w:tc>
          <w:tcPr>
            <w:tcW w:w="1404" w:type="dxa"/>
            <w:vAlign w:val="center"/>
          </w:tcPr>
          <w:p w14:paraId="0923B52F" w14:textId="71D8AA26" w:rsidR="003B2170" w:rsidRPr="00C573FB" w:rsidRDefault="003B2170" w:rsidP="003B2170">
            <w:pPr>
              <w:jc w:val="center"/>
              <w:rPr>
                <w:sz w:val="20"/>
                <w:szCs w:val="20"/>
              </w:rPr>
            </w:pPr>
            <w:r>
              <w:rPr>
                <w:sz w:val="20"/>
                <w:szCs w:val="20"/>
              </w:rPr>
              <w:t>1 (gestation week 28</w:t>
            </w:r>
            <w:r w:rsidRPr="00F54223">
              <w:rPr>
                <w:sz w:val="20"/>
                <w:szCs w:val="20"/>
                <w:vertAlign w:val="superscript"/>
              </w:rPr>
              <w:t>th</w:t>
            </w:r>
            <w:r>
              <w:rPr>
                <w:sz w:val="20"/>
                <w:szCs w:val="20"/>
              </w:rPr>
              <w:t>)</w:t>
            </w:r>
          </w:p>
        </w:tc>
        <w:tc>
          <w:tcPr>
            <w:tcW w:w="1576" w:type="dxa"/>
            <w:vAlign w:val="center"/>
          </w:tcPr>
          <w:p w14:paraId="39EA80C0" w14:textId="35C1E56E" w:rsidR="003B2170" w:rsidRPr="00C573FB" w:rsidRDefault="003B2170" w:rsidP="003B2170">
            <w:pPr>
              <w:jc w:val="center"/>
              <w:rPr>
                <w:sz w:val="20"/>
                <w:szCs w:val="20"/>
              </w:rPr>
            </w:pPr>
            <w:r>
              <w:rPr>
                <w:sz w:val="20"/>
                <w:szCs w:val="20"/>
              </w:rPr>
              <w:t>No</w:t>
            </w:r>
          </w:p>
        </w:tc>
        <w:tc>
          <w:tcPr>
            <w:tcW w:w="1980" w:type="dxa"/>
            <w:vAlign w:val="center"/>
          </w:tcPr>
          <w:p w14:paraId="745A13D3" w14:textId="415D8A99" w:rsidR="003B2170" w:rsidRPr="00C573FB" w:rsidRDefault="003B2170" w:rsidP="003B2170">
            <w:pPr>
              <w:jc w:val="center"/>
              <w:rPr>
                <w:sz w:val="20"/>
                <w:szCs w:val="20"/>
              </w:rPr>
            </w:pPr>
            <w:r>
              <w:rPr>
                <w:sz w:val="20"/>
                <w:szCs w:val="20"/>
              </w:rPr>
              <w:t>At 2-4 yrs</w:t>
            </w:r>
            <w:r w:rsidR="007B4F71">
              <w:rPr>
                <w:sz w:val="20"/>
                <w:szCs w:val="20"/>
              </w:rPr>
              <w:t>.</w:t>
            </w:r>
          </w:p>
        </w:tc>
        <w:tc>
          <w:tcPr>
            <w:tcW w:w="990" w:type="dxa"/>
            <w:vAlign w:val="center"/>
          </w:tcPr>
          <w:p w14:paraId="3EB769D5" w14:textId="5720ACF5" w:rsidR="003B2170" w:rsidRPr="00330362" w:rsidRDefault="000777B6" w:rsidP="003B2170">
            <w:pPr>
              <w:jc w:val="center"/>
              <w:rPr>
                <w:sz w:val="20"/>
                <w:szCs w:val="20"/>
              </w:rPr>
            </w:pPr>
            <w:r w:rsidRPr="00330362">
              <w:rPr>
                <w:sz w:val="20"/>
                <w:szCs w:val="20"/>
              </w:rPr>
              <w:t>n/a</w:t>
            </w:r>
          </w:p>
        </w:tc>
      </w:tr>
      <w:tr w:rsidR="003B2170" w14:paraId="16752F54" w14:textId="77777777" w:rsidTr="00E7661A">
        <w:trPr>
          <w:trHeight w:val="496"/>
          <w:jc w:val="center"/>
        </w:trPr>
        <w:tc>
          <w:tcPr>
            <w:tcW w:w="2335" w:type="dxa"/>
            <w:vAlign w:val="center"/>
          </w:tcPr>
          <w:p w14:paraId="765F95B5" w14:textId="250D5241" w:rsidR="003B2170" w:rsidRPr="007332E8" w:rsidRDefault="003B2170" w:rsidP="003B2170">
            <w:pPr>
              <w:rPr>
                <w:b/>
                <w:bCs/>
                <w:sz w:val="20"/>
                <w:szCs w:val="20"/>
              </w:rPr>
            </w:pPr>
            <w:r w:rsidRPr="007332E8">
              <w:rPr>
                <w:b/>
                <w:bCs/>
                <w:sz w:val="20"/>
                <w:szCs w:val="20"/>
              </w:rPr>
              <w:t>CHECK</w:t>
            </w:r>
            <w:r>
              <w:rPr>
                <w:b/>
                <w:bCs/>
                <w:sz w:val="20"/>
                <w:szCs w:val="20"/>
              </w:rPr>
              <w:t xml:space="preserve"> (Korea)</w:t>
            </w:r>
          </w:p>
          <w:p w14:paraId="1C5D4BFB" w14:textId="6F700992" w:rsidR="003B2170" w:rsidRPr="00C573FB" w:rsidRDefault="003B2170" w:rsidP="003B2170">
            <w:pPr>
              <w:rPr>
                <w:sz w:val="20"/>
                <w:szCs w:val="20"/>
              </w:rPr>
            </w:pPr>
            <w:r>
              <w:rPr>
                <w:sz w:val="20"/>
                <w:szCs w:val="20"/>
              </w:rPr>
              <w:t xml:space="preserve">Kim et al., 2018 </w:t>
            </w:r>
            <w:r>
              <w:rPr>
                <w:sz w:val="20"/>
                <w:szCs w:val="20"/>
              </w:rPr>
              <w:fldChar w:fldCharType="begin" w:fldLock="1"/>
            </w:r>
            <w:r w:rsidR="004207B1">
              <w:rPr>
                <w:sz w:val="20"/>
                <w:szCs w:val="20"/>
              </w:rPr>
              <w:instrText>ADDIN CSL_CITATION {"citationItems":[{"id":"ITEM-1","itemData":{"DOI":"10.1016/j.scitotenv.2017.12.058","ISSN":"1879-1026","PMID":"29258038","abstract":"Exposure of the developing fetus and infants to toxic substances can cause serious lifelong health consequences. Several chemicals have been associated with adverse neurodevelopmental disorders in the early life stages of humans. However, most epidemiological studies have focused on a limited number of chemicals, and hence may exclude important chemicals from consideration or result in conclusions built on associations by chance. In the present study, we investigated the chemical exposure profile of the women, and associated these with the early neurodevelopmental performance of their offspring at 13-24months of age. The chemicals assessed include four phthalates, bisphenol A, three heavy metals, 19 polychlorinated biphenyls (PCBs), 19 organochlorine pesticides, and 19 polybrominated diphenyl ethers, which were measured from urine, whole blood, serum, and/or breastmilk of the pregnant or lactating women. For neurodevelopmental performance, the Bayley Scales of Infant Development-II (BSID-II), Social Maturity Scale (SMS), and Child Behavior Checklist (CBCL) were measured from a total of 140 toddlers. Among the measured chemicals, monoethyl phthalate (MEP) in maternal urine was significantly associated with early mental, psychomotor, and social development. In addition, breast milk di-ethylhexyl phthalate (DEHP) metabolite and blood lead concentrations were inversely associated with mental and psychomotor development indices, respectively. Maternal blood PCB153, heavy metals, and urinary MEP levels were also higher among the children with behavioral problems, as indicated by the CBCL range. Taken together, maternal exposure to several EDCs such as PCBs and DEHP was associated with adverse neurodevelopmental performances among the children aged 1-2years. Confirmation of these association in larger populations, as well as longer-term consequences of such exposure warrant further investigation.","author":[{"dropping-particle":"","family":"Kim","given":"Sunmi","non-dropping-particle":"","parse-names":false,"suffix":""},{"dropping-particle":"","family":"Eom","given":"Soyong","non-dropping-particle":"","parse-names":false,"suffix":""},{"dropping-particle":"","family":"Kim","given":"Hai-Joong","non-dropping-particle":"","parse-names":false,"suffix":""},{"dropping-particle":"","family":"Lee","given":"Jeong Jae","non-dropping-particle":"","parse-names":false,"suffix":""},{"dropping-particle":"","family":"Choi","given":"Gyuyeon","non-dropping-particle":"","parse-names":false,"suffix":""},{"dropping-particle":"","family":"Choi","given":"Sooran","non-dropping-particle":"","parse-names":false,"suffix":""},{"dropping-particle":"","family":"Kim","given":"Sungjoo","non-dropping-particle":"","parse-names":false,"suffix":""},{"dropping-particle":"","family":"Kim","given":"Su Young","non-dropping-particle":"","parse-names":false,"suffix":""},{"dropping-particle":"","family":"Cho","given":"Geumjoon","non-dropping-particle":"","parse-names":false,"suffix":""},{"dropping-particle":"","family":"Kim","given":"Young Don","non-dropping-particle":"","parse-names":false,"suffix":""},{"dropping-particle":"","family":"Suh","given":"Eunsook","non-dropping-particle":"","parse-names":false,"suffix":""},{"dropping-particle":"","family":"Kim","given":"Sung Koo","non-dropping-particle":"","parse-names":false,"suffix":""},{"dropping-particle":"","family":"Kim","given":"Seunghyo","non-dropping-particle":"","parse-names":false,"suffix":""},{"dropping-particle":"","family":"Kim","given":"Gun-Ha","non-dropping-particle":"","parse-names":false,"suffix":""},{"dropping-particle":"","family":"Moon","given":"Hyo-Bang","non-dropping-particle":"","parse-names":false,"suffix":""},{"dropping-particle":"","family":"Park","given":"Jeongim","non-dropping-particle":"","parse-names":false,"suffix":""},{"dropping-particle":"","family":"Kim","given":"Sungkyoon","non-dropping-particle":"","parse-names":false,"suffix":""},{"dropping-particle":"","family":"Choi","given":"Kyungho","non-dropping-particle":"","parse-names":false,"suffix":""},{"dropping-particle":"","family":"Eun","given":"So-Hee","non-dropping-particle":"","parse-names":false,"suffix":""}],"container-title":"The Science of the total environment","id":"ITEM-1","issued":{"date-parts":[["2018","5","15"]]},"page":"377-384","publisher":"Elsevier B.V.","title":"Association between maternal exposure to major phthalates, heavy metals, and persistent organic pollutants, and the neurodevelopmental performances of their children at 1 to 2years of age- CHECK cohort study.","type":"article-journal","volume":"624"},"uris":["http://www.mendeley.com/documents/?uuid=c44d1d90-c59a-3364-80c2-cbff6e18d4dd"]}],"mendeley":{"formattedCitation":"[16]","plainTextFormattedCitation":"[16]","previouslyFormattedCitation":"[15]"},"properties":{"noteIndex":0},"schema":"https://github.com/citation-style-language/schema/raw/master/csl-citation.json"}</w:instrText>
            </w:r>
            <w:r>
              <w:rPr>
                <w:sz w:val="20"/>
                <w:szCs w:val="20"/>
              </w:rPr>
              <w:fldChar w:fldCharType="separate"/>
            </w:r>
            <w:r w:rsidR="004207B1" w:rsidRPr="004207B1">
              <w:rPr>
                <w:noProof/>
                <w:sz w:val="20"/>
                <w:szCs w:val="20"/>
              </w:rPr>
              <w:t>[16]</w:t>
            </w:r>
            <w:r>
              <w:rPr>
                <w:sz w:val="20"/>
                <w:szCs w:val="20"/>
              </w:rPr>
              <w:fldChar w:fldCharType="end"/>
            </w:r>
          </w:p>
        </w:tc>
        <w:tc>
          <w:tcPr>
            <w:tcW w:w="900" w:type="dxa"/>
            <w:vAlign w:val="center"/>
          </w:tcPr>
          <w:p w14:paraId="4238AFCE" w14:textId="5D7ED52D" w:rsidR="003B2170" w:rsidRPr="00C573FB" w:rsidRDefault="003B2170" w:rsidP="003B2170">
            <w:pPr>
              <w:jc w:val="center"/>
              <w:rPr>
                <w:sz w:val="20"/>
                <w:szCs w:val="20"/>
              </w:rPr>
            </w:pPr>
            <w:r w:rsidRPr="00C573FB">
              <w:rPr>
                <w:sz w:val="20"/>
                <w:szCs w:val="20"/>
              </w:rPr>
              <w:t>140</w:t>
            </w:r>
            <w:r>
              <w:rPr>
                <w:sz w:val="20"/>
                <w:szCs w:val="20"/>
              </w:rPr>
              <w:t xml:space="preserve"> </w:t>
            </w:r>
          </w:p>
        </w:tc>
        <w:tc>
          <w:tcPr>
            <w:tcW w:w="1404" w:type="dxa"/>
            <w:vAlign w:val="center"/>
          </w:tcPr>
          <w:p w14:paraId="6FE85715" w14:textId="61CCF18C" w:rsidR="003B2170" w:rsidRPr="00C573FB" w:rsidRDefault="003B2170" w:rsidP="003B2170">
            <w:pPr>
              <w:jc w:val="center"/>
              <w:rPr>
                <w:sz w:val="20"/>
                <w:szCs w:val="20"/>
              </w:rPr>
            </w:pPr>
            <w:r>
              <w:rPr>
                <w:sz w:val="20"/>
                <w:szCs w:val="20"/>
              </w:rPr>
              <w:t>1 (delivery)</w:t>
            </w:r>
          </w:p>
        </w:tc>
        <w:tc>
          <w:tcPr>
            <w:tcW w:w="1576" w:type="dxa"/>
            <w:vAlign w:val="center"/>
          </w:tcPr>
          <w:p w14:paraId="13BD4097" w14:textId="3A7DA9AA" w:rsidR="003B2170" w:rsidRPr="00C573FB" w:rsidRDefault="003B2170" w:rsidP="003B2170">
            <w:pPr>
              <w:jc w:val="center"/>
              <w:rPr>
                <w:sz w:val="20"/>
                <w:szCs w:val="20"/>
              </w:rPr>
            </w:pPr>
            <w:r w:rsidRPr="00C573FB">
              <w:rPr>
                <w:sz w:val="20"/>
                <w:szCs w:val="20"/>
              </w:rPr>
              <w:t>No</w:t>
            </w:r>
          </w:p>
        </w:tc>
        <w:tc>
          <w:tcPr>
            <w:tcW w:w="1980" w:type="dxa"/>
            <w:vAlign w:val="center"/>
          </w:tcPr>
          <w:p w14:paraId="5E6390A8" w14:textId="3C9AF9AE" w:rsidR="003B2170" w:rsidRPr="00C573FB" w:rsidRDefault="003B2170" w:rsidP="003B2170">
            <w:pPr>
              <w:jc w:val="center"/>
              <w:rPr>
                <w:sz w:val="20"/>
                <w:szCs w:val="20"/>
              </w:rPr>
            </w:pPr>
            <w:r>
              <w:rPr>
                <w:sz w:val="20"/>
                <w:szCs w:val="20"/>
              </w:rPr>
              <w:t>At 1-2 yrs</w:t>
            </w:r>
            <w:r w:rsidR="007B4F71">
              <w:rPr>
                <w:sz w:val="20"/>
                <w:szCs w:val="20"/>
              </w:rPr>
              <w:t>.</w:t>
            </w:r>
          </w:p>
        </w:tc>
        <w:tc>
          <w:tcPr>
            <w:tcW w:w="990" w:type="dxa"/>
            <w:vAlign w:val="center"/>
          </w:tcPr>
          <w:p w14:paraId="2CB178E4" w14:textId="31DEA051" w:rsidR="003B2170" w:rsidRPr="00330362" w:rsidRDefault="000777B6" w:rsidP="003B2170">
            <w:pPr>
              <w:jc w:val="center"/>
              <w:rPr>
                <w:sz w:val="20"/>
                <w:szCs w:val="20"/>
              </w:rPr>
            </w:pPr>
            <w:r w:rsidRPr="00330362">
              <w:rPr>
                <w:sz w:val="20"/>
                <w:szCs w:val="20"/>
              </w:rPr>
              <w:t>n/a</w:t>
            </w:r>
          </w:p>
        </w:tc>
      </w:tr>
      <w:tr w:rsidR="003B2170" w14:paraId="0684924D" w14:textId="77777777" w:rsidTr="00E7661A">
        <w:trPr>
          <w:trHeight w:val="616"/>
          <w:jc w:val="center"/>
        </w:trPr>
        <w:tc>
          <w:tcPr>
            <w:tcW w:w="2335" w:type="dxa"/>
            <w:vAlign w:val="center"/>
          </w:tcPr>
          <w:p w14:paraId="31EE2B32" w14:textId="6D36D725" w:rsidR="003B2170" w:rsidRPr="007C485D" w:rsidRDefault="003B2170" w:rsidP="003B2170">
            <w:pPr>
              <w:rPr>
                <w:b/>
                <w:bCs/>
                <w:sz w:val="20"/>
                <w:szCs w:val="20"/>
                <w:lang w:val="es-ES"/>
              </w:rPr>
            </w:pPr>
            <w:proofErr w:type="spellStart"/>
            <w:r w:rsidRPr="007C485D">
              <w:rPr>
                <w:b/>
                <w:bCs/>
                <w:sz w:val="20"/>
                <w:szCs w:val="20"/>
                <w:lang w:val="es-ES"/>
              </w:rPr>
              <w:t>APrON</w:t>
            </w:r>
            <w:proofErr w:type="spellEnd"/>
            <w:r w:rsidRPr="007C485D">
              <w:rPr>
                <w:b/>
                <w:bCs/>
                <w:sz w:val="20"/>
                <w:szCs w:val="20"/>
                <w:lang w:val="es-ES"/>
              </w:rPr>
              <w:t xml:space="preserve"> (</w:t>
            </w:r>
            <w:proofErr w:type="spellStart"/>
            <w:r w:rsidRPr="007C485D">
              <w:rPr>
                <w:b/>
                <w:bCs/>
                <w:sz w:val="20"/>
                <w:szCs w:val="20"/>
                <w:lang w:val="es-ES"/>
              </w:rPr>
              <w:t>Ca</w:t>
            </w:r>
            <w:r>
              <w:rPr>
                <w:b/>
                <w:bCs/>
                <w:sz w:val="20"/>
                <w:szCs w:val="20"/>
                <w:lang w:val="es-ES"/>
              </w:rPr>
              <w:t>nada</w:t>
            </w:r>
            <w:proofErr w:type="spellEnd"/>
            <w:r>
              <w:rPr>
                <w:b/>
                <w:bCs/>
                <w:sz w:val="20"/>
                <w:szCs w:val="20"/>
                <w:lang w:val="es-ES"/>
              </w:rPr>
              <w:t>)</w:t>
            </w:r>
          </w:p>
          <w:p w14:paraId="77F7DF5E" w14:textId="6D6F5934" w:rsidR="003B2170" w:rsidRDefault="003B2170" w:rsidP="003B2170">
            <w:pPr>
              <w:rPr>
                <w:b/>
                <w:bCs/>
                <w:sz w:val="20"/>
                <w:szCs w:val="20"/>
              </w:rPr>
            </w:pPr>
            <w:proofErr w:type="spellStart"/>
            <w:r w:rsidRPr="007C485D">
              <w:rPr>
                <w:sz w:val="20"/>
                <w:szCs w:val="20"/>
                <w:lang w:val="es-ES"/>
              </w:rPr>
              <w:t>Grohs</w:t>
            </w:r>
            <w:proofErr w:type="spellEnd"/>
            <w:r w:rsidRPr="007C485D">
              <w:rPr>
                <w:sz w:val="20"/>
                <w:szCs w:val="20"/>
                <w:lang w:val="es-ES"/>
              </w:rPr>
              <w:t xml:space="preserve"> et al., 2019 </w:t>
            </w:r>
            <w:r>
              <w:rPr>
                <w:sz w:val="20"/>
                <w:szCs w:val="20"/>
              </w:rPr>
              <w:fldChar w:fldCharType="begin" w:fldLock="1"/>
            </w:r>
            <w:r w:rsidR="004207B1">
              <w:rPr>
                <w:sz w:val="20"/>
                <w:szCs w:val="20"/>
                <w:lang w:val="es-ES"/>
              </w:rPr>
              <w:instrText>ADDIN CSL_CITATION {"citationItems":[{"id":"ITEM-1","itemData":{"DOI":"10.1186/s12940-019-0528-9","ISSN":"1476-069X","PMID":"31615514","abstract":"BACKGROUND Bisphenol A (BPA) is commonly used in the manufacture of plastics and epoxy resins. In North America, over 90% of the population has detectable levels of urinary BPA. Human epidemiological studies have reported adverse behavioral outcomes with BPA exposure in children, however, corresponding effects on children's brain structure have not yet been investigated. The current study examined the association between prenatal maternal and childhood BPA exposure and white matter microstructure in children aged 2 to 5 years, and investigated whether brain structure mediated the association between BPA exposure and child behavior. METHODS Participants were 98 mother-child pairs who were recruited between January 2009 and December 2012. Total BPA concentrations in spot urine samples obtained from mothers in the second trimester of pregnancy and from children at 3-4 years of age were analyzed. Children participated in a diffusion magnetic resonance imaging (MRI) scan at age 2-5 years (3.7 ± 0.8 years). Associations between prenatal maternal and childhood BPA and children's fractional anisotropy and mean diffusivity of 10 isolated white matter tracts were investigated, controlling for urinary creatinine, child sex, and age at the time of MRI. Post-hoc analyses examined if alterations in white matter mediated the relationship of BPA and children's scores on the Child Behavior Checklist (CBCL). RESULTS Prenatal maternal urinary BPA was significantly associated with child mean diffusivity in the splenium and right inferior longitudinal fasciculus. Splenium diffusivity mediated the relationship between maternal prenatal BPA levels and children's internalizing behavior (indirect effect: β = 0.213, CI [0.0167, 0.564]). No significant associations were found between childhood BPA and white matter microstructure. CONCLUSIONS This study provides preliminary evidence for the neural correlates of BPA exposure in humans. Our findings suggest that prenatal maternal exposure to BPA may lead to alterations in white matter microstructure in preschool aged children, and that such alterations mediate the relationship between early life exposure to BPA and internalizing problems.","author":[{"dropping-particle":"","family":"Grohs","given":"Melody N","non-dropping-particle":"","parse-names":false,"suffix":""},{"dropping-pa</w:instrText>
            </w:r>
            <w:r w:rsidR="004207B1" w:rsidRPr="0013062F">
              <w:rPr>
                <w:sz w:val="20"/>
                <w:szCs w:val="20"/>
              </w:rPr>
              <w:instrText>rticle":"","family":"Reynolds","given":"Jess E","non-dropping-particle":"","parse-names":false,"suffix":""},{"dropping-particle":"","family":"Liu","given":"Jiaying","non-dropping-particle":"","parse-names":false,"suffix":""},{"dropping-particle":"","family":"Martin","given":"Jonathan W","non-dropping-particle":"","parse-names":false,"suffix":""},{"dropping-particle":"","family":"Pollock","given":"Tyler","non-dropping-particle":"","parse-names":false,"suffix":""},{"dropping-particle":"",</w:instrText>
            </w:r>
            <w:r w:rsidR="004207B1" w:rsidRPr="004207B1">
              <w:rPr>
                <w:sz w:val="20"/>
                <w:szCs w:val="20"/>
              </w:rPr>
              <w:instrText>"family":"Lebel","given":"Catherine","non-dropping-particle":"","parse-names":false,"suffix":""},{"dropping-particle":"","family":"Dewey","given":"Deborah","non-dropping-particle":"","parse-names":false,"suffix":""},{"dropping-particle":"","family":"APrON Study Team","given":"","non-dropping-particle":"","parse-names":false,"suffix":""}],"container-title":"Environmental health : a global access science source","id":"ITEM-1","issue":"1","issued":{"date-parts":[["2019","10","15"]]},"page":"85","publisher":"BioMed Central Ltd.","title":"Prenatal maternal and childhood bisphenol a exposure and brain structure and behavior of young children.","type":"article-journal","volume":"18"},"uris":["http://www.mendeley.com/documents/?uuid=fe77833e-1b5e-3857-849c-3bb5663bf14b"]}],"mendeley":{"formattedCitation":"[17]","plainTextFormattedCitation":"[17]","previouslyFormattedCitation":"[16]"},"properties":{"noteIndex":0},"schema":"https://github.com/citation-style-language/schema/raw/master/csl-citation.json"}</w:instrText>
            </w:r>
            <w:r>
              <w:rPr>
                <w:sz w:val="20"/>
                <w:szCs w:val="20"/>
              </w:rPr>
              <w:fldChar w:fldCharType="separate"/>
            </w:r>
            <w:r w:rsidR="004207B1" w:rsidRPr="004207B1">
              <w:rPr>
                <w:noProof/>
                <w:sz w:val="20"/>
                <w:szCs w:val="20"/>
              </w:rPr>
              <w:t>[17]</w:t>
            </w:r>
            <w:r>
              <w:rPr>
                <w:sz w:val="20"/>
                <w:szCs w:val="20"/>
              </w:rPr>
              <w:fldChar w:fldCharType="end"/>
            </w:r>
          </w:p>
        </w:tc>
        <w:tc>
          <w:tcPr>
            <w:tcW w:w="900" w:type="dxa"/>
            <w:vAlign w:val="center"/>
          </w:tcPr>
          <w:p w14:paraId="7B4104F8" w14:textId="0DC9871C" w:rsidR="003B2170" w:rsidRDefault="003B2170" w:rsidP="003B2170">
            <w:pPr>
              <w:jc w:val="center"/>
              <w:rPr>
                <w:sz w:val="20"/>
                <w:szCs w:val="20"/>
              </w:rPr>
            </w:pPr>
            <w:r>
              <w:rPr>
                <w:sz w:val="20"/>
                <w:szCs w:val="20"/>
              </w:rPr>
              <w:t>98</w:t>
            </w:r>
          </w:p>
        </w:tc>
        <w:tc>
          <w:tcPr>
            <w:tcW w:w="1404" w:type="dxa"/>
            <w:vAlign w:val="center"/>
          </w:tcPr>
          <w:p w14:paraId="2D014439" w14:textId="644F6FB9" w:rsidR="003B2170" w:rsidRDefault="003B2170" w:rsidP="003B2170">
            <w:pPr>
              <w:jc w:val="center"/>
              <w:rPr>
                <w:sz w:val="20"/>
                <w:szCs w:val="20"/>
              </w:rPr>
            </w:pPr>
            <w:r>
              <w:rPr>
                <w:sz w:val="20"/>
                <w:szCs w:val="20"/>
              </w:rPr>
              <w:t>1 (gestation week 17</w:t>
            </w:r>
            <w:r w:rsidRPr="00E75CD8">
              <w:rPr>
                <w:sz w:val="20"/>
                <w:szCs w:val="20"/>
                <w:vertAlign w:val="superscript"/>
              </w:rPr>
              <w:t>th</w:t>
            </w:r>
            <w:r>
              <w:rPr>
                <w:sz w:val="20"/>
                <w:szCs w:val="20"/>
              </w:rPr>
              <w:t>)</w:t>
            </w:r>
          </w:p>
        </w:tc>
        <w:tc>
          <w:tcPr>
            <w:tcW w:w="1576" w:type="dxa"/>
            <w:vAlign w:val="center"/>
          </w:tcPr>
          <w:p w14:paraId="24A31CF8" w14:textId="2BEFB189" w:rsidR="003B2170" w:rsidRDefault="003B2170" w:rsidP="003B2170">
            <w:pPr>
              <w:jc w:val="center"/>
              <w:rPr>
                <w:sz w:val="20"/>
                <w:szCs w:val="20"/>
              </w:rPr>
            </w:pPr>
            <w:r>
              <w:rPr>
                <w:sz w:val="20"/>
                <w:szCs w:val="20"/>
              </w:rPr>
              <w:t>Yes</w:t>
            </w:r>
          </w:p>
        </w:tc>
        <w:tc>
          <w:tcPr>
            <w:tcW w:w="1980" w:type="dxa"/>
            <w:vAlign w:val="center"/>
          </w:tcPr>
          <w:p w14:paraId="209B1CE7" w14:textId="257A8C71" w:rsidR="003B2170" w:rsidRDefault="003B2170" w:rsidP="003B2170">
            <w:pPr>
              <w:jc w:val="center"/>
              <w:rPr>
                <w:sz w:val="20"/>
                <w:szCs w:val="20"/>
              </w:rPr>
            </w:pPr>
            <w:r>
              <w:rPr>
                <w:sz w:val="20"/>
                <w:szCs w:val="20"/>
              </w:rPr>
              <w:t>Internalizing at 4-5 years</w:t>
            </w:r>
          </w:p>
        </w:tc>
        <w:tc>
          <w:tcPr>
            <w:tcW w:w="990" w:type="dxa"/>
            <w:vAlign w:val="center"/>
          </w:tcPr>
          <w:p w14:paraId="79B09657" w14:textId="696AA350" w:rsidR="003B2170" w:rsidRDefault="003B2170" w:rsidP="003B2170">
            <w:pPr>
              <w:jc w:val="center"/>
              <w:rPr>
                <w:sz w:val="20"/>
                <w:szCs w:val="20"/>
              </w:rPr>
            </w:pPr>
            <w:r>
              <w:rPr>
                <w:sz w:val="20"/>
                <w:szCs w:val="20"/>
              </w:rPr>
              <w:t>Both</w:t>
            </w:r>
          </w:p>
        </w:tc>
      </w:tr>
      <w:tr w:rsidR="003B2170" w14:paraId="36796CB9" w14:textId="77777777" w:rsidTr="00E7661A">
        <w:trPr>
          <w:trHeight w:val="496"/>
          <w:jc w:val="center"/>
        </w:trPr>
        <w:tc>
          <w:tcPr>
            <w:tcW w:w="2335" w:type="dxa"/>
            <w:vAlign w:val="center"/>
          </w:tcPr>
          <w:p w14:paraId="532D7A29" w14:textId="77777777" w:rsidR="003B2170" w:rsidRPr="00E17D07" w:rsidRDefault="003B2170" w:rsidP="003B2170">
            <w:pPr>
              <w:rPr>
                <w:b/>
                <w:bCs/>
                <w:sz w:val="20"/>
                <w:szCs w:val="20"/>
              </w:rPr>
            </w:pPr>
            <w:r w:rsidRPr="00E17D07">
              <w:rPr>
                <w:b/>
                <w:bCs/>
                <w:sz w:val="20"/>
                <w:szCs w:val="20"/>
              </w:rPr>
              <w:t>S-MBCS (C</w:t>
            </w:r>
            <w:r>
              <w:rPr>
                <w:b/>
                <w:bCs/>
                <w:sz w:val="20"/>
                <w:szCs w:val="20"/>
              </w:rPr>
              <w:t>hina)</w:t>
            </w:r>
          </w:p>
          <w:p w14:paraId="6E3F69A6" w14:textId="7AD3BA34" w:rsidR="003B2170" w:rsidRPr="007C485D" w:rsidRDefault="003B2170" w:rsidP="00E7661A">
            <w:pPr>
              <w:rPr>
                <w:b/>
                <w:bCs/>
                <w:sz w:val="20"/>
                <w:szCs w:val="20"/>
              </w:rPr>
            </w:pPr>
            <w:r w:rsidRPr="00E17D07">
              <w:rPr>
                <w:sz w:val="20"/>
                <w:szCs w:val="20"/>
              </w:rPr>
              <w:t>Li et al., 2020</w:t>
            </w:r>
            <w:r w:rsidR="00E7661A">
              <w:rPr>
                <w:sz w:val="20"/>
                <w:szCs w:val="20"/>
              </w:rPr>
              <w:t xml:space="preserve"> </w:t>
            </w:r>
            <w:r w:rsidR="00E7661A">
              <w:rPr>
                <w:sz w:val="20"/>
                <w:szCs w:val="20"/>
              </w:rPr>
              <w:fldChar w:fldCharType="begin" w:fldLock="1"/>
            </w:r>
            <w:r w:rsidR="004207B1">
              <w:rPr>
                <w:sz w:val="20"/>
                <w:szCs w:val="20"/>
              </w:rPr>
              <w:instrText>ADDIN CSL_CITATION {"citationItems":[{"id":"ITEM-1","itemData":{"DOI":"10.1016/j.scitotenv.2020.137887","ISSN":"00489697","abstract":"Findings about the association between prenatal Bisphenol A (BPA) exposure and neurobehavioral development in children are still inconsistent. In addition, whether fetal thyroid hormones (THs) mediate the reported association remains unclear. The present study aimed to examine the association between prenatal BPA exposure and risks of child behavioral problems at 2 and 4 years of age and whether the association could be explained by alteration of fetal THs as measured in cord plasma. Using the Shanghai-Minhang Birth Cohort Study (S-MBCS), BPA concentration was measured in maternal urine samples collected at 12-16 weeks of gestation. Children's neurobehavioral development was assessed using the Child Behavior Checklist/1.5-5 (CBCL), at 2 and 4 years of age. Using generalized estimating equation (GEE) models, 745 mother-pairs were included to examine associations of BPA with CBCL scores, Using multiple linear regression models, 348 mother-pairs were included to evaluate the association between maternal BPA and THs in cord plasma. A mediation analysis was conducted to explore the potential mediating role of THs. After adjusting for potential confounders, prenatal BPA level was associated with increased risks of Emotionally Reactive problem, Anxious/Depressed problem, having Somatic Complaints, exhibiting Aggressive Behavior, and Internalizing and Externalizing Problems: compared to the lowest tertile, the risks in the highest tertile and middle tertile, ranged between 1.55-fold (95% CI: 1.09, 2.21) and 2.59-fold (95% CI: 1.52, 4.42). The association was more pronounced among boys. None of the associations reached statistical significance among girls. An inverse association between prenatal BPA and fetal TH level was also observed. However, the observed neurotoxic effects of prenatal BPA exposure did not appear to be mediated by THs levels. The current findings suggest that prenatal exposure to BPA may disrupt fetal THs levels and may induce long-lasting behavioral alterations, especially in boys.","author":[{"dropping-particle":"","family":"Li","given":"Fen","non-dropping-particle":"","parse-names":false,"suffix":""},{"dropping-particle":"","family":"Yang","given":"Fen","non-dropping-particle":"","parse-names":false,"suffix":""},{"dropping-particle":"","family":"Li","given":"De-Kun","non-dropping-particle":"","parse-names":false,"suffix":""},{"dropping-particle":"","family":"Tian","given":"Youping","non-dropping-particle":"","parse-names":false,"suffix":""},{"dropping-particle":"","family":"Miao","given":"Maohua","non-dropping-particle":"","parse-names":false,"suffix":""},{"dropping-particle":"","family":"Zhang","given":"Yan","non-dropping-particle":"","parse-names":false,"suffix":""},{"dropping-particle":"","family":"Ji","given":"Honglei","non-dropping-particle":"","parse-names":false,"suffix":""},{"dropping-particle":"","family":"Yuan","given":"Wei","non-dropping-particle":"","parse-names":false,"suffix":""},{"dropping-particle":"","family":"Liang","given":"Hong","non-dropping-particle":"","parse-names":false,"suffix":""}],"container-title":"Science of The Total Environment","id":"ITEM-1","issued":{"date-parts":[["2020","6","12"]]},"page":"137887","title":"Prenatal bisphenol A exposure, fetal thyroid hormones and neurobehavioral development in children at 2 and 4 years: A prospective cohort study","type":"article-journal","volume":"722"},"uris":["http://www.mendeley.com/documents/?uuid=d41fb97b-a9fe-32f3-ad18-b7c564af259e"]}],"mendeley":{"formattedCitation":"[18]","plainTextFormattedCitation":"[18]","previouslyFormattedCitation":"[17]"},"properties":{"noteIndex":0},"schema":"https://github.com/citation-style-language/schema/raw/master/csl-citation.json"}</w:instrText>
            </w:r>
            <w:r w:rsidR="00E7661A">
              <w:rPr>
                <w:sz w:val="20"/>
                <w:szCs w:val="20"/>
              </w:rPr>
              <w:fldChar w:fldCharType="separate"/>
            </w:r>
            <w:r w:rsidR="004207B1" w:rsidRPr="004207B1">
              <w:rPr>
                <w:noProof/>
                <w:sz w:val="20"/>
                <w:szCs w:val="20"/>
              </w:rPr>
              <w:t>[18]</w:t>
            </w:r>
            <w:r w:rsidR="00E7661A">
              <w:rPr>
                <w:sz w:val="20"/>
                <w:szCs w:val="20"/>
              </w:rPr>
              <w:fldChar w:fldCharType="end"/>
            </w:r>
          </w:p>
        </w:tc>
        <w:tc>
          <w:tcPr>
            <w:tcW w:w="900" w:type="dxa"/>
            <w:vAlign w:val="center"/>
          </w:tcPr>
          <w:p w14:paraId="11C4F600" w14:textId="2DDFC78F" w:rsidR="003B2170" w:rsidRDefault="003B2170" w:rsidP="003B2170">
            <w:pPr>
              <w:jc w:val="center"/>
              <w:rPr>
                <w:sz w:val="20"/>
                <w:szCs w:val="20"/>
              </w:rPr>
            </w:pPr>
            <w:r>
              <w:rPr>
                <w:sz w:val="20"/>
                <w:szCs w:val="20"/>
              </w:rPr>
              <w:t>745</w:t>
            </w:r>
          </w:p>
        </w:tc>
        <w:tc>
          <w:tcPr>
            <w:tcW w:w="1404" w:type="dxa"/>
            <w:vAlign w:val="center"/>
          </w:tcPr>
          <w:p w14:paraId="4C1E18AB" w14:textId="37428848" w:rsidR="003B2170" w:rsidRDefault="003B2170" w:rsidP="003B2170">
            <w:pPr>
              <w:jc w:val="center"/>
              <w:rPr>
                <w:sz w:val="20"/>
                <w:szCs w:val="20"/>
              </w:rPr>
            </w:pPr>
            <w:r>
              <w:rPr>
                <w:sz w:val="20"/>
                <w:szCs w:val="20"/>
              </w:rPr>
              <w:t>1 (gestation weeks 12</w:t>
            </w:r>
            <w:r w:rsidRPr="00A05492">
              <w:rPr>
                <w:sz w:val="20"/>
                <w:szCs w:val="20"/>
                <w:vertAlign w:val="superscript"/>
              </w:rPr>
              <w:t>th</w:t>
            </w:r>
            <w:r>
              <w:rPr>
                <w:sz w:val="20"/>
                <w:szCs w:val="20"/>
              </w:rPr>
              <w:t>-16</w:t>
            </w:r>
            <w:r w:rsidRPr="00A05492">
              <w:rPr>
                <w:sz w:val="20"/>
                <w:szCs w:val="20"/>
                <w:vertAlign w:val="superscript"/>
              </w:rPr>
              <w:t>th</w:t>
            </w:r>
            <w:r>
              <w:rPr>
                <w:sz w:val="20"/>
                <w:szCs w:val="20"/>
              </w:rPr>
              <w:t>)</w:t>
            </w:r>
          </w:p>
        </w:tc>
        <w:tc>
          <w:tcPr>
            <w:tcW w:w="1576" w:type="dxa"/>
            <w:vAlign w:val="center"/>
          </w:tcPr>
          <w:p w14:paraId="39A53A94" w14:textId="4142BB7E" w:rsidR="003B2170" w:rsidRDefault="003B2170" w:rsidP="003B2170">
            <w:pPr>
              <w:jc w:val="center"/>
              <w:rPr>
                <w:sz w:val="20"/>
                <w:szCs w:val="20"/>
              </w:rPr>
            </w:pPr>
            <w:r>
              <w:rPr>
                <w:sz w:val="20"/>
                <w:szCs w:val="20"/>
              </w:rPr>
              <w:t>Yes</w:t>
            </w:r>
          </w:p>
        </w:tc>
        <w:tc>
          <w:tcPr>
            <w:tcW w:w="1980" w:type="dxa"/>
            <w:vAlign w:val="center"/>
          </w:tcPr>
          <w:p w14:paraId="12C50D2B" w14:textId="206969D8" w:rsidR="003B2170" w:rsidRDefault="003B2170" w:rsidP="003B2170">
            <w:pPr>
              <w:jc w:val="center"/>
              <w:rPr>
                <w:sz w:val="20"/>
                <w:szCs w:val="20"/>
              </w:rPr>
            </w:pPr>
            <w:r>
              <w:rPr>
                <w:sz w:val="20"/>
                <w:szCs w:val="20"/>
              </w:rPr>
              <w:t>Both at 2-4 yrs</w:t>
            </w:r>
            <w:r w:rsidR="007B4F71">
              <w:rPr>
                <w:sz w:val="20"/>
                <w:szCs w:val="20"/>
              </w:rPr>
              <w:t>.</w:t>
            </w:r>
          </w:p>
        </w:tc>
        <w:tc>
          <w:tcPr>
            <w:tcW w:w="990" w:type="dxa"/>
            <w:vAlign w:val="center"/>
          </w:tcPr>
          <w:p w14:paraId="2C96F673" w14:textId="34034223" w:rsidR="003B2170" w:rsidRDefault="003B2170" w:rsidP="003B2170">
            <w:pPr>
              <w:jc w:val="center"/>
              <w:rPr>
                <w:sz w:val="20"/>
                <w:szCs w:val="20"/>
              </w:rPr>
            </w:pPr>
            <w:r>
              <w:rPr>
                <w:sz w:val="20"/>
                <w:szCs w:val="20"/>
              </w:rPr>
              <w:t>Boys</w:t>
            </w:r>
          </w:p>
        </w:tc>
      </w:tr>
    </w:tbl>
    <w:p w14:paraId="6AD0017F" w14:textId="74E33770" w:rsidR="002B28D8" w:rsidRDefault="000777B6">
      <w:pPr>
        <w:rPr>
          <w:i/>
          <w:iCs/>
        </w:rPr>
      </w:pPr>
      <w:r w:rsidRPr="00FD1D3C">
        <w:rPr>
          <w:i/>
          <w:iCs/>
        </w:rPr>
        <w:t xml:space="preserve">*A p-value </w:t>
      </w:r>
      <w:r w:rsidRPr="00FD1D3C">
        <w:rPr>
          <w:rFonts w:cstheme="minorHAnsi"/>
          <w:i/>
          <w:iCs/>
        </w:rPr>
        <w:t xml:space="preserve">≤ </w:t>
      </w:r>
      <w:r w:rsidRPr="00FD1D3C">
        <w:rPr>
          <w:i/>
          <w:iCs/>
        </w:rPr>
        <w:t>0.05 defined the existence of an association. However, other parameters such as the internal validity of associations w</w:t>
      </w:r>
      <w:r w:rsidR="00D34DEE">
        <w:rPr>
          <w:i/>
          <w:iCs/>
        </w:rPr>
        <w:t>ere</w:t>
      </w:r>
      <w:r w:rsidRPr="00FD1D3C">
        <w:rPr>
          <w:i/>
          <w:iCs/>
        </w:rPr>
        <w:t xml:space="preserve"> also considered. n/a: Not applicable, since no association was reported. </w:t>
      </w:r>
      <w:proofErr w:type="spellStart"/>
      <w:r w:rsidR="002B28D8" w:rsidRPr="00FD1D3C">
        <w:rPr>
          <w:i/>
          <w:iCs/>
        </w:rPr>
        <w:t>APrON</w:t>
      </w:r>
      <w:proofErr w:type="spellEnd"/>
      <w:r w:rsidR="002B28D8" w:rsidRPr="00FD1D3C">
        <w:rPr>
          <w:i/>
          <w:iCs/>
        </w:rPr>
        <w:t xml:space="preserve"> </w:t>
      </w:r>
      <w:r w:rsidR="002B28D8">
        <w:rPr>
          <w:i/>
          <w:iCs/>
        </w:rPr>
        <w:t>(</w:t>
      </w:r>
      <w:r w:rsidR="002B28D8" w:rsidRPr="002B28D8">
        <w:rPr>
          <w:i/>
          <w:iCs/>
        </w:rPr>
        <w:t>Alberta Pregnancy Outcomes and</w:t>
      </w:r>
      <w:r w:rsidR="002B28D8">
        <w:rPr>
          <w:i/>
          <w:iCs/>
        </w:rPr>
        <w:t xml:space="preserve"> </w:t>
      </w:r>
      <w:r w:rsidR="002B28D8" w:rsidRPr="002B28D8">
        <w:rPr>
          <w:i/>
          <w:iCs/>
        </w:rPr>
        <w:t>Nutrition</w:t>
      </w:r>
      <w:r w:rsidR="002B28D8">
        <w:rPr>
          <w:i/>
          <w:iCs/>
        </w:rPr>
        <w:t xml:space="preserve">); </w:t>
      </w:r>
      <w:r w:rsidR="002B28D8" w:rsidRPr="002B28D8">
        <w:rPr>
          <w:i/>
          <w:iCs/>
        </w:rPr>
        <w:t xml:space="preserve">CHAMACOS </w:t>
      </w:r>
      <w:r w:rsidR="002B28D8" w:rsidRPr="002B28D8">
        <w:rPr>
          <w:i/>
          <w:iCs/>
        </w:rPr>
        <w:lastRenderedPageBreak/>
        <w:t>(Center for the Health Assessment of Mothers and Children of Salinas); CHECK (Children's Health and Environmental Chemicals in Korea); CCCEH (Columbia Center for Children’s Environmental Health); EDC (Environment and Development of Children); EDEN (</w:t>
      </w:r>
      <w:r w:rsidR="002B28D8">
        <w:rPr>
          <w:i/>
          <w:iCs/>
        </w:rPr>
        <w:t>S</w:t>
      </w:r>
      <w:r w:rsidR="002B28D8" w:rsidRPr="002B28D8">
        <w:rPr>
          <w:i/>
          <w:iCs/>
        </w:rPr>
        <w:t xml:space="preserve">tudy on the </w:t>
      </w:r>
      <w:r w:rsidR="002B28D8">
        <w:rPr>
          <w:i/>
          <w:iCs/>
        </w:rPr>
        <w:t>P</w:t>
      </w:r>
      <w:r w:rsidR="002B28D8" w:rsidRPr="002B28D8">
        <w:rPr>
          <w:i/>
          <w:iCs/>
        </w:rPr>
        <w:t xml:space="preserve">re- and </w:t>
      </w:r>
      <w:r w:rsidR="002B28D8">
        <w:rPr>
          <w:i/>
          <w:iCs/>
        </w:rPr>
        <w:t>E</w:t>
      </w:r>
      <w:r w:rsidR="002B28D8" w:rsidRPr="002B28D8">
        <w:rPr>
          <w:i/>
          <w:iCs/>
        </w:rPr>
        <w:t xml:space="preserve">arly </w:t>
      </w:r>
      <w:r w:rsidR="002B28D8">
        <w:rPr>
          <w:i/>
          <w:iCs/>
        </w:rPr>
        <w:t>P</w:t>
      </w:r>
      <w:r w:rsidR="002B28D8" w:rsidRPr="002B28D8">
        <w:rPr>
          <w:i/>
          <w:iCs/>
        </w:rPr>
        <w:t xml:space="preserve">ostnatal </w:t>
      </w:r>
      <w:r w:rsidR="002B28D8">
        <w:rPr>
          <w:i/>
          <w:iCs/>
        </w:rPr>
        <w:t>D</w:t>
      </w:r>
      <w:r w:rsidR="002B28D8" w:rsidRPr="002B28D8">
        <w:rPr>
          <w:i/>
          <w:iCs/>
        </w:rPr>
        <w:t xml:space="preserve">eterminants of </w:t>
      </w:r>
      <w:r w:rsidR="002B28D8">
        <w:rPr>
          <w:i/>
          <w:iCs/>
        </w:rPr>
        <w:t>C</w:t>
      </w:r>
      <w:r w:rsidR="002B28D8" w:rsidRPr="002B28D8">
        <w:rPr>
          <w:i/>
          <w:iCs/>
        </w:rPr>
        <w:t>hild</w:t>
      </w:r>
      <w:r w:rsidR="002B28D8">
        <w:rPr>
          <w:i/>
          <w:iCs/>
        </w:rPr>
        <w:t xml:space="preserve"> H</w:t>
      </w:r>
      <w:r w:rsidR="002B28D8" w:rsidRPr="002B28D8">
        <w:rPr>
          <w:i/>
          <w:iCs/>
        </w:rPr>
        <w:t xml:space="preserve">ealth and </w:t>
      </w:r>
      <w:r w:rsidR="002B28D8">
        <w:rPr>
          <w:i/>
          <w:iCs/>
        </w:rPr>
        <w:t>D</w:t>
      </w:r>
      <w:r w:rsidR="002B28D8" w:rsidRPr="002B28D8">
        <w:rPr>
          <w:i/>
          <w:iCs/>
        </w:rPr>
        <w:t xml:space="preserve">evelopment); HOME (Health Outcomes and Measures of the Environment Study); INMA (Environment and Childhood Project); MIREC (Maternal-Infant Research on Environmental Chemicals); MSCEHS (Mount Sinai Children’s Environmental Health Study); </w:t>
      </w:r>
      <w:r w:rsidR="002B28D8">
        <w:rPr>
          <w:i/>
          <w:iCs/>
        </w:rPr>
        <w:t xml:space="preserve">OCC (Odense Child Cohort); </w:t>
      </w:r>
      <w:r w:rsidR="007C485D">
        <w:rPr>
          <w:i/>
          <w:iCs/>
        </w:rPr>
        <w:t>S-MBS (</w:t>
      </w:r>
      <w:r w:rsidR="007C485D" w:rsidRPr="00C96281">
        <w:rPr>
          <w:i/>
          <w:iCs/>
        </w:rPr>
        <w:t>Shanghai-Minhang Birth Cohort Study</w:t>
      </w:r>
      <w:r w:rsidR="007C485D">
        <w:rPr>
          <w:i/>
          <w:iCs/>
        </w:rPr>
        <w:t xml:space="preserve">); </w:t>
      </w:r>
      <w:r w:rsidR="002B28D8" w:rsidRPr="002B28D8">
        <w:rPr>
          <w:i/>
          <w:iCs/>
        </w:rPr>
        <w:t>SFFII (Study for Future Families II).</w:t>
      </w:r>
    </w:p>
    <w:p w14:paraId="0EB45A06" w14:textId="37EE41C4" w:rsidR="008D2E47" w:rsidRDefault="008D2E47">
      <w:pPr>
        <w:rPr>
          <w:i/>
          <w:iCs/>
        </w:rPr>
      </w:pPr>
    </w:p>
    <w:p w14:paraId="4A5DCEC6" w14:textId="77777777" w:rsidR="008D2E47" w:rsidRPr="00E679FA" w:rsidRDefault="008D2E47">
      <w:pPr>
        <w:rPr>
          <w:i/>
          <w:iCs/>
        </w:rPr>
      </w:pPr>
    </w:p>
    <w:p w14:paraId="2456685E" w14:textId="40F095FD" w:rsidR="005E0751" w:rsidRPr="00E679FA" w:rsidRDefault="00BF70F9">
      <w:r>
        <w:rPr>
          <w:b/>
          <w:bCs/>
        </w:rPr>
        <w:t xml:space="preserve">Supplemental </w:t>
      </w:r>
      <w:r w:rsidR="005E0751" w:rsidRPr="000E7742">
        <w:rPr>
          <w:b/>
          <w:bCs/>
        </w:rPr>
        <w:t xml:space="preserve">Table </w:t>
      </w:r>
      <w:r w:rsidR="005E0751">
        <w:rPr>
          <w:b/>
          <w:bCs/>
        </w:rPr>
        <w:t>2</w:t>
      </w:r>
      <w:r w:rsidR="005E0751" w:rsidRPr="000E7742">
        <w:rPr>
          <w:b/>
          <w:bCs/>
        </w:rPr>
        <w:t xml:space="preserve">. </w:t>
      </w:r>
      <w:r w:rsidR="005E0751" w:rsidRPr="00E679FA">
        <w:t>Comparison of prenatal vs. postnatal associations between urinary BPA concentrations and children’s behavior.</w:t>
      </w:r>
    </w:p>
    <w:tbl>
      <w:tblPr>
        <w:tblStyle w:val="TableGrid"/>
        <w:tblW w:w="9313" w:type="dxa"/>
        <w:jc w:val="center"/>
        <w:tblLook w:val="04A0" w:firstRow="1" w:lastRow="0" w:firstColumn="1" w:lastColumn="0" w:noHBand="0" w:noVBand="1"/>
      </w:tblPr>
      <w:tblGrid>
        <w:gridCol w:w="2070"/>
        <w:gridCol w:w="990"/>
        <w:gridCol w:w="1665"/>
        <w:gridCol w:w="1665"/>
        <w:gridCol w:w="1429"/>
        <w:gridCol w:w="1494"/>
      </w:tblGrid>
      <w:tr w:rsidR="00061F8A" w14:paraId="40320285" w14:textId="77777777" w:rsidTr="005B72EF">
        <w:trPr>
          <w:trHeight w:val="525"/>
          <w:jc w:val="center"/>
        </w:trPr>
        <w:tc>
          <w:tcPr>
            <w:tcW w:w="2070" w:type="dxa"/>
            <w:vAlign w:val="center"/>
          </w:tcPr>
          <w:p w14:paraId="4636ED64" w14:textId="77777777" w:rsidR="00061F8A" w:rsidRPr="00047EE8" w:rsidRDefault="00061F8A" w:rsidP="00082177">
            <w:pPr>
              <w:jc w:val="center"/>
              <w:rPr>
                <w:b/>
                <w:bCs/>
                <w:sz w:val="20"/>
                <w:szCs w:val="20"/>
              </w:rPr>
            </w:pPr>
            <w:r w:rsidRPr="00047EE8">
              <w:rPr>
                <w:b/>
                <w:bCs/>
                <w:sz w:val="20"/>
                <w:szCs w:val="20"/>
              </w:rPr>
              <w:t>Cohort</w:t>
            </w:r>
          </w:p>
        </w:tc>
        <w:tc>
          <w:tcPr>
            <w:tcW w:w="990" w:type="dxa"/>
            <w:vAlign w:val="center"/>
          </w:tcPr>
          <w:p w14:paraId="443DEA99" w14:textId="77777777" w:rsidR="00061F8A" w:rsidRPr="00047EE8" w:rsidRDefault="00061F8A" w:rsidP="00082177">
            <w:pPr>
              <w:jc w:val="center"/>
              <w:rPr>
                <w:b/>
                <w:bCs/>
                <w:sz w:val="20"/>
                <w:szCs w:val="20"/>
              </w:rPr>
            </w:pPr>
            <w:r w:rsidRPr="00047EE8">
              <w:rPr>
                <w:b/>
                <w:bCs/>
                <w:sz w:val="20"/>
                <w:szCs w:val="20"/>
              </w:rPr>
              <w:t>Sample size</w:t>
            </w:r>
          </w:p>
        </w:tc>
        <w:tc>
          <w:tcPr>
            <w:tcW w:w="1665" w:type="dxa"/>
            <w:vAlign w:val="center"/>
          </w:tcPr>
          <w:p w14:paraId="165DBE2F" w14:textId="7FE51FBC" w:rsidR="00061F8A" w:rsidRPr="00047EE8" w:rsidRDefault="00061F8A" w:rsidP="00082177">
            <w:pPr>
              <w:jc w:val="center"/>
              <w:rPr>
                <w:b/>
                <w:bCs/>
                <w:sz w:val="20"/>
                <w:szCs w:val="20"/>
              </w:rPr>
            </w:pPr>
            <w:r w:rsidRPr="00047EE8">
              <w:rPr>
                <w:b/>
                <w:bCs/>
                <w:sz w:val="20"/>
                <w:szCs w:val="20"/>
              </w:rPr>
              <w:t>Prenatal urin</w:t>
            </w:r>
            <w:r>
              <w:rPr>
                <w:b/>
                <w:bCs/>
                <w:sz w:val="20"/>
                <w:szCs w:val="20"/>
              </w:rPr>
              <w:t>e(s)</w:t>
            </w:r>
            <w:r w:rsidR="005B72EF">
              <w:rPr>
                <w:b/>
                <w:bCs/>
                <w:sz w:val="20"/>
                <w:szCs w:val="20"/>
              </w:rPr>
              <w:t xml:space="preserve"> samples</w:t>
            </w:r>
          </w:p>
        </w:tc>
        <w:tc>
          <w:tcPr>
            <w:tcW w:w="1665" w:type="dxa"/>
            <w:vAlign w:val="center"/>
          </w:tcPr>
          <w:p w14:paraId="0BD22A83" w14:textId="47CA5386" w:rsidR="00061F8A" w:rsidRPr="00047EE8" w:rsidRDefault="00C704CB" w:rsidP="00082177">
            <w:pPr>
              <w:jc w:val="center"/>
              <w:rPr>
                <w:b/>
                <w:bCs/>
                <w:sz w:val="20"/>
                <w:szCs w:val="20"/>
              </w:rPr>
            </w:pPr>
            <w:r>
              <w:rPr>
                <w:b/>
                <w:bCs/>
                <w:sz w:val="20"/>
                <w:szCs w:val="20"/>
              </w:rPr>
              <w:t>P</w:t>
            </w:r>
            <w:r w:rsidR="00061F8A" w:rsidRPr="00047EE8">
              <w:rPr>
                <w:b/>
                <w:bCs/>
                <w:sz w:val="20"/>
                <w:szCs w:val="20"/>
              </w:rPr>
              <w:t>ostnatal urine</w:t>
            </w:r>
            <w:r w:rsidR="00061F8A">
              <w:rPr>
                <w:b/>
                <w:bCs/>
                <w:sz w:val="20"/>
                <w:szCs w:val="20"/>
              </w:rPr>
              <w:t>(s)</w:t>
            </w:r>
            <w:r w:rsidR="005B72EF">
              <w:rPr>
                <w:b/>
                <w:bCs/>
                <w:sz w:val="20"/>
                <w:szCs w:val="20"/>
              </w:rPr>
              <w:t xml:space="preserve"> samples</w:t>
            </w:r>
          </w:p>
        </w:tc>
        <w:tc>
          <w:tcPr>
            <w:tcW w:w="1429" w:type="dxa"/>
            <w:vAlign w:val="center"/>
          </w:tcPr>
          <w:p w14:paraId="2555D94F" w14:textId="0E9563C2" w:rsidR="00061F8A" w:rsidRPr="000777B6" w:rsidRDefault="00061F8A" w:rsidP="00082177">
            <w:pPr>
              <w:jc w:val="center"/>
              <w:rPr>
                <w:b/>
                <w:bCs/>
                <w:color w:val="4472C4" w:themeColor="accent1"/>
                <w:sz w:val="20"/>
                <w:szCs w:val="20"/>
              </w:rPr>
            </w:pPr>
            <w:r w:rsidRPr="00047EE8">
              <w:rPr>
                <w:b/>
                <w:bCs/>
                <w:sz w:val="20"/>
                <w:szCs w:val="20"/>
              </w:rPr>
              <w:t>Prenatal association</w:t>
            </w:r>
            <w:r w:rsidR="000777B6" w:rsidRPr="000777B6">
              <w:rPr>
                <w:b/>
                <w:bCs/>
                <w:color w:val="4472C4" w:themeColor="accent1"/>
                <w:sz w:val="20"/>
                <w:szCs w:val="20"/>
              </w:rPr>
              <w:t>*</w:t>
            </w:r>
          </w:p>
        </w:tc>
        <w:tc>
          <w:tcPr>
            <w:tcW w:w="1494" w:type="dxa"/>
            <w:vAlign w:val="center"/>
          </w:tcPr>
          <w:p w14:paraId="697E6312" w14:textId="1420B0BE" w:rsidR="00061F8A" w:rsidRPr="000777B6" w:rsidRDefault="00061F8A" w:rsidP="00082177">
            <w:pPr>
              <w:jc w:val="center"/>
              <w:rPr>
                <w:b/>
                <w:bCs/>
                <w:color w:val="4472C4" w:themeColor="accent1"/>
                <w:sz w:val="20"/>
                <w:szCs w:val="20"/>
              </w:rPr>
            </w:pPr>
            <w:r w:rsidRPr="00047EE8">
              <w:rPr>
                <w:b/>
                <w:bCs/>
                <w:sz w:val="20"/>
                <w:szCs w:val="20"/>
              </w:rPr>
              <w:t>Postnatal association</w:t>
            </w:r>
            <w:r w:rsidR="000777B6">
              <w:rPr>
                <w:b/>
                <w:bCs/>
                <w:color w:val="4472C4" w:themeColor="accent1"/>
                <w:sz w:val="20"/>
                <w:szCs w:val="20"/>
              </w:rPr>
              <w:t>*</w:t>
            </w:r>
          </w:p>
        </w:tc>
      </w:tr>
      <w:tr w:rsidR="00371967" w14:paraId="7FAA0E5E" w14:textId="77777777" w:rsidTr="005B72EF">
        <w:trPr>
          <w:trHeight w:val="608"/>
          <w:jc w:val="center"/>
        </w:trPr>
        <w:tc>
          <w:tcPr>
            <w:tcW w:w="2070" w:type="dxa"/>
            <w:vAlign w:val="center"/>
          </w:tcPr>
          <w:p w14:paraId="33EB9267" w14:textId="46B34AAB" w:rsidR="005E0751" w:rsidRPr="0013062F" w:rsidRDefault="005E0751" w:rsidP="005B72EF">
            <w:pPr>
              <w:rPr>
                <w:b/>
                <w:bCs/>
                <w:sz w:val="20"/>
                <w:szCs w:val="20"/>
              </w:rPr>
            </w:pPr>
            <w:r w:rsidRPr="0013062F">
              <w:rPr>
                <w:b/>
                <w:bCs/>
                <w:sz w:val="20"/>
                <w:szCs w:val="20"/>
              </w:rPr>
              <w:t>HOME</w:t>
            </w:r>
            <w:r w:rsidR="005B72EF" w:rsidRPr="0013062F">
              <w:rPr>
                <w:b/>
                <w:bCs/>
                <w:sz w:val="20"/>
                <w:szCs w:val="20"/>
              </w:rPr>
              <w:t xml:space="preserve"> (USA)</w:t>
            </w:r>
          </w:p>
          <w:p w14:paraId="59978A06" w14:textId="70427159" w:rsidR="005E0751" w:rsidRPr="00047EE8" w:rsidRDefault="005E0751" w:rsidP="005B72EF">
            <w:pPr>
              <w:rPr>
                <w:sz w:val="20"/>
                <w:szCs w:val="20"/>
              </w:rPr>
            </w:pPr>
            <w:r w:rsidRPr="0013062F">
              <w:rPr>
                <w:sz w:val="20"/>
                <w:szCs w:val="20"/>
              </w:rPr>
              <w:t>Braun et al. 2011</w:t>
            </w:r>
            <w:r w:rsidR="00371967" w:rsidRPr="0013062F">
              <w:rPr>
                <w:sz w:val="20"/>
                <w:szCs w:val="20"/>
              </w:rPr>
              <w:t xml:space="preserve"> </w:t>
            </w:r>
            <w:r w:rsidR="00371967">
              <w:rPr>
                <w:sz w:val="20"/>
                <w:szCs w:val="20"/>
              </w:rPr>
              <w:fldChar w:fldCharType="begin" w:fldLock="1"/>
            </w:r>
            <w:r w:rsidR="00371967" w:rsidRPr="0013062F">
              <w:rPr>
                <w:sz w:val="20"/>
                <w:szCs w:val="20"/>
              </w:rPr>
              <w:instrText>ADDIN CSL_CITATION {"citationItems":[{"id":"ITEM-1","itemData":{"DOI":"10.1542/peds.2011-1335","ISSN":"0031-4005","PMID":"22025598","abstract":"OBJECTIVES To estimate the impact of gestational and childhood bisphenol A</w:instrText>
            </w:r>
            <w:r w:rsidR="00371967" w:rsidRPr="0013062F">
              <w:rPr>
                <w:sz w:val="20"/>
                <w:szCs w:val="20"/>
                <w:lang w:val="es-ES"/>
              </w:rPr>
              <w:instrText xml:space="preserve"> (BPA) exposures on behavior and executive function at 3 years of age and to determine whether child gender modified those associations. METHODS We used a prospective birth cohort of 244 mothers and their 3-year-old children from the greater Cincinnati, Ohio, area. We characterized gestational and childhood BPA exposures by using the mean BPA concentrations in maternal (16 and 26 weeks of gestation and birth) and child (1, 2, and 3 years of age) urine samples, respectively. Behavior and executive function were measured by using the Behavior Assessment System for Children 2 (BASC-2) and the Behavior Rating Inventory of Executive Function-Preschool (BRIEF-P). RESULTS BPA was detected in &gt;97% of the gestational (median: 2.0 </w:instrText>
            </w:r>
            <w:r w:rsidR="00371967">
              <w:rPr>
                <w:sz w:val="20"/>
                <w:szCs w:val="20"/>
              </w:rPr>
              <w:instrText>μ</w:instrText>
            </w:r>
            <w:r w:rsidR="00371967" w:rsidRPr="0013062F">
              <w:rPr>
                <w:sz w:val="20"/>
                <w:szCs w:val="20"/>
                <w:lang w:val="es-ES"/>
              </w:rPr>
              <w:instrText xml:space="preserve">g/L) and childhood (median: 4.1 </w:instrText>
            </w:r>
            <w:r w:rsidR="00371967">
              <w:rPr>
                <w:sz w:val="20"/>
                <w:szCs w:val="20"/>
              </w:rPr>
              <w:instrText>μ</w:instrText>
            </w:r>
            <w:r w:rsidR="00371967" w:rsidRPr="0013062F">
              <w:rPr>
                <w:sz w:val="20"/>
                <w:szCs w:val="20"/>
                <w:lang w:val="es-ES"/>
              </w:rPr>
              <w:instrText>g/L) urine samples. With adjustment for confounders, each 10-fold increase in gestational BPA concentrations was associated with more anxious and depressed behavior on the BASC-2 and poorer emotional control and inhibition on the BRIEF-P. The magnitude of the gestational BPA associations differed according to child gender; BASC-2 and BRIEF-P scores increased 9 to 12 points among girls, but changes were null or negative among boys. Associations between childhood BPA exposure and neurobehavior were largely null and not modified by child gender. CONCLUSIONS In this study, gestational BPA exposure affected behavioral and emotional regulation domains at 3 years of age, especially among girls. Clinicians may advise concerned patients to reduce their exp</w:instrText>
            </w:r>
            <w:r w:rsidR="00371967" w:rsidRPr="00D34DEE">
              <w:rPr>
                <w:sz w:val="20"/>
                <w:szCs w:val="20"/>
              </w:rPr>
              <w:instrText>osure to certain consumer products, but the benefits of such reductions are unclear.","author":[{"dropping-particle":"","family":"Braun","given":"J. M.","non-dropping-particle":"","parse-names":false,"suffix":""},{"dropping-particle":"","family":"Kalkbrenner","given":"A. E.","non-dropping-particle":"","parse-names":false,"suffix":""},{"dropping-particle":"","family":"Calafat","given":"A. M.","non-dropping-particle":"","parse-names":false,"suffix":""},{"dropping-particle":"","family":"Yolton","given":"K.","non-dropping-particle":"","parse-names":false,"suffix":""},{"dropping-particle":"","family":"Ye","given":"X.","non-dropping-particle":"","parse-names":false,"suffix":""},{"dropping-particle":"","family":"Dietrich","given":"K. N.","non-dropping-particle":"","parse-names":false,"suffix":""},{"dropping-particle":"","family":"Lanphear","given":"B. P.","non-dropping-particle":"","parse-names":false,"suffix":""}],"container-title":"PEDIATRICS","id":"ITEM-1","issue":"5","issued":{"date-parts":[["2011","11","1"]]},"page":"873-882","title":"Impact of Early-Life Bisphenol A Exposure on Behavior and Executive Function in Children","type":"article-journal","volume":"128"},"uris":["http://www.mendeley.com/documents/?uuid=36a28392-c9c</w:instrText>
            </w:r>
            <w:r w:rsidR="00371967">
              <w:rPr>
                <w:sz w:val="20"/>
                <w:szCs w:val="20"/>
              </w:rPr>
              <w:instrText>f-3e52-8dcc-7c148cb4042a"]}],"mendeley":{"formattedCitation":"[2]","plainTextFormattedCitation":"[2]","previouslyFormattedCitation":"[2]"},"properties":{"noteIndex":0},"schema":"https://github.com/citation-style-language/schema/raw/master/csl-citation.json"}</w:instrText>
            </w:r>
            <w:r w:rsidR="00371967">
              <w:rPr>
                <w:sz w:val="20"/>
                <w:szCs w:val="20"/>
              </w:rPr>
              <w:fldChar w:fldCharType="separate"/>
            </w:r>
            <w:r w:rsidR="00371967" w:rsidRPr="00371967">
              <w:rPr>
                <w:noProof/>
                <w:sz w:val="20"/>
                <w:szCs w:val="20"/>
              </w:rPr>
              <w:t>[2]</w:t>
            </w:r>
            <w:r w:rsidR="00371967">
              <w:rPr>
                <w:sz w:val="20"/>
                <w:szCs w:val="20"/>
              </w:rPr>
              <w:fldChar w:fldCharType="end"/>
            </w:r>
          </w:p>
        </w:tc>
        <w:tc>
          <w:tcPr>
            <w:tcW w:w="990" w:type="dxa"/>
            <w:vAlign w:val="center"/>
          </w:tcPr>
          <w:p w14:paraId="2596DCA0" w14:textId="431871FB" w:rsidR="005E0751" w:rsidRPr="00047EE8" w:rsidRDefault="005E0751" w:rsidP="00C573FB">
            <w:pPr>
              <w:jc w:val="center"/>
              <w:rPr>
                <w:sz w:val="20"/>
                <w:szCs w:val="20"/>
              </w:rPr>
            </w:pPr>
            <w:r w:rsidRPr="00047EE8">
              <w:rPr>
                <w:sz w:val="20"/>
                <w:szCs w:val="20"/>
              </w:rPr>
              <w:t>244</w:t>
            </w:r>
          </w:p>
        </w:tc>
        <w:tc>
          <w:tcPr>
            <w:tcW w:w="1665" w:type="dxa"/>
            <w:vAlign w:val="center"/>
          </w:tcPr>
          <w:p w14:paraId="279AB4CD" w14:textId="35012D6C" w:rsidR="005E0751" w:rsidRPr="00047EE8" w:rsidRDefault="00A52377" w:rsidP="00C573FB">
            <w:pPr>
              <w:jc w:val="center"/>
              <w:rPr>
                <w:sz w:val="20"/>
                <w:szCs w:val="20"/>
              </w:rPr>
            </w:pPr>
            <w:r w:rsidRPr="00C573FB">
              <w:rPr>
                <w:sz w:val="20"/>
                <w:szCs w:val="20"/>
              </w:rPr>
              <w:t>3 (</w:t>
            </w:r>
            <w:r>
              <w:rPr>
                <w:sz w:val="20"/>
                <w:szCs w:val="20"/>
              </w:rPr>
              <w:t xml:space="preserve">gestation </w:t>
            </w:r>
            <w:r w:rsidRPr="00C573FB">
              <w:rPr>
                <w:sz w:val="20"/>
                <w:szCs w:val="20"/>
              </w:rPr>
              <w:t>weeks</w:t>
            </w:r>
            <w:r>
              <w:rPr>
                <w:sz w:val="20"/>
                <w:szCs w:val="20"/>
              </w:rPr>
              <w:t xml:space="preserve"> </w:t>
            </w:r>
            <w:r w:rsidRPr="00C573FB">
              <w:rPr>
                <w:sz w:val="20"/>
                <w:szCs w:val="20"/>
              </w:rPr>
              <w:t>16</w:t>
            </w:r>
            <w:r w:rsidRPr="00F54223">
              <w:rPr>
                <w:sz w:val="20"/>
                <w:szCs w:val="20"/>
                <w:vertAlign w:val="superscript"/>
              </w:rPr>
              <w:t>th</w:t>
            </w:r>
            <w:r>
              <w:rPr>
                <w:sz w:val="20"/>
                <w:szCs w:val="20"/>
              </w:rPr>
              <w:t xml:space="preserve"> </w:t>
            </w:r>
            <w:r w:rsidRPr="00C573FB">
              <w:rPr>
                <w:sz w:val="20"/>
                <w:szCs w:val="20"/>
              </w:rPr>
              <w:t>and 26</w:t>
            </w:r>
            <w:r w:rsidRPr="00F54223">
              <w:rPr>
                <w:sz w:val="20"/>
                <w:szCs w:val="20"/>
                <w:vertAlign w:val="superscript"/>
              </w:rPr>
              <w:t>th</w:t>
            </w:r>
            <w:r>
              <w:rPr>
                <w:sz w:val="20"/>
                <w:szCs w:val="20"/>
              </w:rPr>
              <w:t xml:space="preserve">, </w:t>
            </w:r>
            <w:r w:rsidRPr="00C573FB">
              <w:rPr>
                <w:sz w:val="20"/>
                <w:szCs w:val="20"/>
              </w:rPr>
              <w:t xml:space="preserve">and </w:t>
            </w:r>
            <w:r>
              <w:rPr>
                <w:sz w:val="20"/>
                <w:szCs w:val="20"/>
              </w:rPr>
              <w:t>delivery</w:t>
            </w:r>
            <w:r w:rsidRPr="00C573FB">
              <w:rPr>
                <w:sz w:val="20"/>
                <w:szCs w:val="20"/>
              </w:rPr>
              <w:t>)</w:t>
            </w:r>
          </w:p>
        </w:tc>
        <w:tc>
          <w:tcPr>
            <w:tcW w:w="1665" w:type="dxa"/>
            <w:vAlign w:val="center"/>
          </w:tcPr>
          <w:p w14:paraId="0B4E6362" w14:textId="4939675D" w:rsidR="005E0751" w:rsidRPr="00047EE8" w:rsidRDefault="005E0751" w:rsidP="00C573FB">
            <w:pPr>
              <w:jc w:val="center"/>
              <w:rPr>
                <w:sz w:val="20"/>
                <w:szCs w:val="20"/>
              </w:rPr>
            </w:pPr>
            <w:r w:rsidRPr="00047EE8">
              <w:rPr>
                <w:sz w:val="20"/>
                <w:szCs w:val="20"/>
              </w:rPr>
              <w:t>Average of 3 urines (at 1, 2 and 3 yrs</w:t>
            </w:r>
            <w:r w:rsidR="004B692A">
              <w:rPr>
                <w:sz w:val="20"/>
                <w:szCs w:val="20"/>
              </w:rPr>
              <w:t>.</w:t>
            </w:r>
            <w:r w:rsidRPr="00047EE8">
              <w:rPr>
                <w:sz w:val="20"/>
                <w:szCs w:val="20"/>
              </w:rPr>
              <w:t>)</w:t>
            </w:r>
          </w:p>
        </w:tc>
        <w:tc>
          <w:tcPr>
            <w:tcW w:w="1429" w:type="dxa"/>
            <w:vAlign w:val="center"/>
          </w:tcPr>
          <w:p w14:paraId="454A2E8B" w14:textId="77777777" w:rsidR="005E0751" w:rsidRDefault="005E0751" w:rsidP="00C573FB">
            <w:pPr>
              <w:jc w:val="center"/>
              <w:rPr>
                <w:sz w:val="20"/>
                <w:szCs w:val="20"/>
              </w:rPr>
            </w:pPr>
            <w:r w:rsidRPr="00047EE8">
              <w:rPr>
                <w:sz w:val="20"/>
                <w:szCs w:val="20"/>
              </w:rPr>
              <w:t>Yes</w:t>
            </w:r>
          </w:p>
          <w:p w14:paraId="7516EBAB" w14:textId="3A3F2471" w:rsidR="00C704CB" w:rsidRPr="00047EE8" w:rsidRDefault="00C704CB" w:rsidP="00C573FB">
            <w:pPr>
              <w:jc w:val="center"/>
              <w:rPr>
                <w:sz w:val="20"/>
                <w:szCs w:val="20"/>
              </w:rPr>
            </w:pPr>
            <w:r>
              <w:rPr>
                <w:sz w:val="20"/>
                <w:szCs w:val="20"/>
              </w:rPr>
              <w:t>(at 3 yrs</w:t>
            </w:r>
            <w:r w:rsidR="004B692A">
              <w:rPr>
                <w:sz w:val="20"/>
                <w:szCs w:val="20"/>
              </w:rPr>
              <w:t>.</w:t>
            </w:r>
            <w:r>
              <w:rPr>
                <w:sz w:val="20"/>
                <w:szCs w:val="20"/>
              </w:rPr>
              <w:t>)</w:t>
            </w:r>
          </w:p>
        </w:tc>
        <w:tc>
          <w:tcPr>
            <w:tcW w:w="1494" w:type="dxa"/>
            <w:vAlign w:val="center"/>
          </w:tcPr>
          <w:p w14:paraId="0B5BFF1A" w14:textId="5E7C779B" w:rsidR="005E0751" w:rsidRPr="00047EE8" w:rsidRDefault="005E0751" w:rsidP="00C573FB">
            <w:pPr>
              <w:jc w:val="center"/>
              <w:rPr>
                <w:sz w:val="20"/>
                <w:szCs w:val="20"/>
              </w:rPr>
            </w:pPr>
            <w:r w:rsidRPr="00047EE8">
              <w:rPr>
                <w:sz w:val="20"/>
                <w:szCs w:val="20"/>
              </w:rPr>
              <w:t>No</w:t>
            </w:r>
          </w:p>
        </w:tc>
      </w:tr>
      <w:tr w:rsidR="00371967" w14:paraId="3226CE7B" w14:textId="77777777" w:rsidTr="005B72EF">
        <w:trPr>
          <w:trHeight w:val="607"/>
          <w:jc w:val="center"/>
        </w:trPr>
        <w:tc>
          <w:tcPr>
            <w:tcW w:w="2070" w:type="dxa"/>
            <w:vAlign w:val="center"/>
          </w:tcPr>
          <w:p w14:paraId="242B4D52" w14:textId="48E3FD77" w:rsidR="005E0751" w:rsidRPr="005E0751" w:rsidRDefault="005E0751" w:rsidP="005B72EF">
            <w:pPr>
              <w:rPr>
                <w:sz w:val="20"/>
                <w:szCs w:val="20"/>
              </w:rPr>
            </w:pPr>
            <w:r w:rsidRPr="005E0751">
              <w:rPr>
                <w:sz w:val="20"/>
                <w:szCs w:val="20"/>
              </w:rPr>
              <w:t>Stacy et al., 2017</w:t>
            </w:r>
            <w:r w:rsidR="00371967">
              <w:rPr>
                <w:sz w:val="20"/>
                <w:szCs w:val="20"/>
              </w:rPr>
              <w:t xml:space="preserve"> </w:t>
            </w:r>
            <w:r w:rsidR="00371967">
              <w:rPr>
                <w:sz w:val="20"/>
                <w:szCs w:val="20"/>
              </w:rPr>
              <w:fldChar w:fldCharType="begin" w:fldLock="1"/>
            </w:r>
            <w:r w:rsidR="004207B1">
              <w:rPr>
                <w:sz w:val="20"/>
                <w:szCs w:val="20"/>
              </w:rPr>
              <w:instrText>ADDIN CSL_CITATION {"citationItems":[{"id":"ITEM-1","itemData":{"DOI":"10.1016/j.envint.2017.07.021","ISSN":"01604120","PMID":"28764921","abstract":"BACKGROUND Early life BPA exposure could affect neurobehavior, but few studies have investigated whether there are developmental periods when the fetus or child is more vulnerable to these potential effects. OBJECTIVES We explored windows of vulnerability to BPA exposure in a multiethnic cohort of 228 mothers and their children from Cincinnati, Ohio. METHODS We measured urinary BPA concentrations at up to two prenatal and six postnatal time points from the 2nd trimester of pregnancy until the child was age 8years. At age 8years, we administered the Behavioral Assessment System for Children-2 (BASC-2), Behavior Rating Inventory of Executive Function, and Wechsler Intelligence Scale for Children-IV. We estimated covariate-adjusted differences in composite scores from each instrument using a multiple informant model designed to identify heightened windows of vulnerability. RESULTS Among all children, there was not strong evidence that the associations between BPA and neurobehavior varied by the timing of exposure (Visit x BPA p-values≥0.16). However, child sex modified the associations of repeated BPA measures with BASC-2 scores (Visit x Sex x BPA p-values=0.02-0.23). For example, each 10-fold increase in prenatal BPA was associated with more externalizing behaviors in girls (β=6.2, 95% CI: 0.8, 11.6), but not boys (β=-0.8, 95% CI: -5.0, 3.4). In contrast, a 10-fold increase in 8-year BPA was associated with more externalizing behaviors in boys (β=3.9, 95% CI: 0.6, 7.2), but not girls (β=0.3, 95% CI: -3.5, 4.1). CONCLUSIONS We found that sex-dependent associations between BPA and child neurobehavior may depend on the timing of BPA exposure.","author":[{"dropping-particle":"","family":"Stacy","given":"Shaina L.","non-dropping-particle":"","parse-names":false,"suffix":""},{"dropping-particle":"","family":"Papandonatos","given":"George D.","non-dropping-particle":"","parse-names":false,"suffix":""},{"dropping-particle":"","family":"Calafat","given":"Antonia M.","non-dropping-particle":"","parse-names":false,"suffix":""},{"dropping-particle":"","family":"Chen","given":"Aimin","non-dropping-particle":"","parse-names":false,"suffix":""},{"dropping-particle":"","family":"Yolton","given":"Kimberly","non-dropping-particle":"","parse-names":false,"suffix":""},{"dropping-particle":"","family":"Lanphear","given":"Bruce P.","non-dropping-particle":"","parse-names":false,"suffix":""},{"dropping-particle":"","family":"Braun","given":"Joseph M.","non-dropping-particle":"","parse-names":false,"suffix":""}],"container-title":"Environment International","id":"ITEM-1","issued":{"date-parts":[["2017","10"]]},"page":"258-265","title":"Early life bisphenol A exposure and neurobehavior at 8 years of age: Identifying windows of heightened vulnerability","type":"article-journal","volume":"107"},"uris":["http://www.mendeley.com/documents/?uuid=909a4023-ab3f-3b76-91f4-d02c6b964d48"]}],"mendeley":{"formattedCitation":"[19]","plainTextFormattedCitation":"[19]","previouslyFormattedCitation":"[18]"},"properties":{"noteIndex":0},"schema":"https://github.com/citation-style-language/schema/raw/master/csl-citation.json"}</w:instrText>
            </w:r>
            <w:r w:rsidR="00371967">
              <w:rPr>
                <w:sz w:val="20"/>
                <w:szCs w:val="20"/>
              </w:rPr>
              <w:fldChar w:fldCharType="separate"/>
            </w:r>
            <w:r w:rsidR="004207B1" w:rsidRPr="004207B1">
              <w:rPr>
                <w:noProof/>
                <w:sz w:val="20"/>
                <w:szCs w:val="20"/>
              </w:rPr>
              <w:t>[19]</w:t>
            </w:r>
            <w:r w:rsidR="00371967">
              <w:rPr>
                <w:sz w:val="20"/>
                <w:szCs w:val="20"/>
              </w:rPr>
              <w:fldChar w:fldCharType="end"/>
            </w:r>
          </w:p>
        </w:tc>
        <w:tc>
          <w:tcPr>
            <w:tcW w:w="990" w:type="dxa"/>
            <w:vAlign w:val="center"/>
          </w:tcPr>
          <w:p w14:paraId="2C41FA76" w14:textId="745D0C10" w:rsidR="005E0751" w:rsidRPr="00047EE8" w:rsidRDefault="00C704CB" w:rsidP="00C573FB">
            <w:pPr>
              <w:jc w:val="center"/>
              <w:rPr>
                <w:sz w:val="20"/>
                <w:szCs w:val="20"/>
              </w:rPr>
            </w:pPr>
            <w:r>
              <w:rPr>
                <w:sz w:val="20"/>
                <w:szCs w:val="20"/>
              </w:rPr>
              <w:t>228</w:t>
            </w:r>
          </w:p>
        </w:tc>
        <w:tc>
          <w:tcPr>
            <w:tcW w:w="1665" w:type="dxa"/>
            <w:vAlign w:val="center"/>
          </w:tcPr>
          <w:p w14:paraId="7A325921" w14:textId="5B2C69DD" w:rsidR="005E0751" w:rsidRPr="00047EE8" w:rsidRDefault="00C704CB" w:rsidP="00C573FB">
            <w:pPr>
              <w:jc w:val="center"/>
              <w:rPr>
                <w:sz w:val="20"/>
                <w:szCs w:val="20"/>
              </w:rPr>
            </w:pPr>
            <w:r>
              <w:rPr>
                <w:sz w:val="20"/>
                <w:szCs w:val="20"/>
              </w:rPr>
              <w:t>2 (</w:t>
            </w:r>
            <w:r w:rsidR="00A52377">
              <w:rPr>
                <w:sz w:val="20"/>
                <w:szCs w:val="20"/>
              </w:rPr>
              <w:t xml:space="preserve">gestation </w:t>
            </w:r>
            <w:r>
              <w:rPr>
                <w:sz w:val="20"/>
                <w:szCs w:val="20"/>
              </w:rPr>
              <w:t>week</w:t>
            </w:r>
            <w:r w:rsidR="00A52377">
              <w:rPr>
                <w:sz w:val="20"/>
                <w:szCs w:val="20"/>
              </w:rPr>
              <w:t xml:space="preserve"> 26</w:t>
            </w:r>
            <w:r w:rsidR="00A52377" w:rsidRPr="00A52377">
              <w:rPr>
                <w:sz w:val="20"/>
                <w:szCs w:val="20"/>
                <w:vertAlign w:val="superscript"/>
              </w:rPr>
              <w:t>th</w:t>
            </w:r>
            <w:r>
              <w:rPr>
                <w:sz w:val="20"/>
                <w:szCs w:val="20"/>
              </w:rPr>
              <w:t xml:space="preserve"> and </w:t>
            </w:r>
            <w:r w:rsidR="00A52377">
              <w:rPr>
                <w:sz w:val="20"/>
                <w:szCs w:val="20"/>
              </w:rPr>
              <w:t>delivery</w:t>
            </w:r>
            <w:r>
              <w:rPr>
                <w:sz w:val="20"/>
                <w:szCs w:val="20"/>
              </w:rPr>
              <w:t>)</w:t>
            </w:r>
          </w:p>
        </w:tc>
        <w:tc>
          <w:tcPr>
            <w:tcW w:w="1665" w:type="dxa"/>
            <w:vAlign w:val="center"/>
          </w:tcPr>
          <w:p w14:paraId="78924623" w14:textId="68B6D84F" w:rsidR="005E0751" w:rsidRPr="00047EE8" w:rsidRDefault="00C704CB" w:rsidP="00C573FB">
            <w:pPr>
              <w:jc w:val="center"/>
              <w:rPr>
                <w:sz w:val="20"/>
                <w:szCs w:val="20"/>
              </w:rPr>
            </w:pPr>
            <w:r>
              <w:rPr>
                <w:sz w:val="20"/>
                <w:szCs w:val="20"/>
              </w:rPr>
              <w:t>6 (1, 2, 3, 4, 5 and 8 yrs</w:t>
            </w:r>
            <w:r w:rsidR="004C5DDE">
              <w:rPr>
                <w:sz w:val="20"/>
                <w:szCs w:val="20"/>
              </w:rPr>
              <w:t>.</w:t>
            </w:r>
            <w:r>
              <w:rPr>
                <w:sz w:val="20"/>
                <w:szCs w:val="20"/>
              </w:rPr>
              <w:t>)</w:t>
            </w:r>
          </w:p>
        </w:tc>
        <w:tc>
          <w:tcPr>
            <w:tcW w:w="1429" w:type="dxa"/>
            <w:vAlign w:val="center"/>
          </w:tcPr>
          <w:p w14:paraId="1380D020" w14:textId="77777777" w:rsidR="00C704CB" w:rsidRDefault="00C704CB" w:rsidP="00C573FB">
            <w:pPr>
              <w:jc w:val="center"/>
              <w:rPr>
                <w:sz w:val="20"/>
                <w:szCs w:val="20"/>
              </w:rPr>
            </w:pPr>
          </w:p>
          <w:p w14:paraId="3172C8D2" w14:textId="703A9C08" w:rsidR="005E0751" w:rsidRDefault="00C704CB" w:rsidP="00C573FB">
            <w:pPr>
              <w:jc w:val="center"/>
              <w:rPr>
                <w:sz w:val="20"/>
                <w:szCs w:val="20"/>
              </w:rPr>
            </w:pPr>
            <w:r>
              <w:rPr>
                <w:sz w:val="20"/>
                <w:szCs w:val="20"/>
              </w:rPr>
              <w:t>Yes</w:t>
            </w:r>
          </w:p>
          <w:p w14:paraId="1E99B65C" w14:textId="5FFABEB3" w:rsidR="00C704CB" w:rsidRPr="00047EE8" w:rsidRDefault="00C704CB" w:rsidP="00C573FB">
            <w:pPr>
              <w:jc w:val="center"/>
              <w:rPr>
                <w:sz w:val="20"/>
                <w:szCs w:val="20"/>
              </w:rPr>
            </w:pPr>
          </w:p>
        </w:tc>
        <w:tc>
          <w:tcPr>
            <w:tcW w:w="1494" w:type="dxa"/>
            <w:vAlign w:val="center"/>
          </w:tcPr>
          <w:p w14:paraId="0C076A96" w14:textId="69795EE6" w:rsidR="00C704CB" w:rsidRDefault="00C704CB" w:rsidP="00C704CB">
            <w:pPr>
              <w:jc w:val="center"/>
              <w:rPr>
                <w:sz w:val="20"/>
                <w:szCs w:val="20"/>
              </w:rPr>
            </w:pPr>
            <w:r>
              <w:rPr>
                <w:sz w:val="20"/>
                <w:szCs w:val="20"/>
              </w:rPr>
              <w:t>Yes</w:t>
            </w:r>
          </w:p>
          <w:p w14:paraId="09F5B4D4" w14:textId="5AE3DB22" w:rsidR="005E0751" w:rsidRPr="00047EE8" w:rsidRDefault="00C704CB" w:rsidP="00C573FB">
            <w:pPr>
              <w:jc w:val="center"/>
              <w:rPr>
                <w:sz w:val="20"/>
                <w:szCs w:val="20"/>
              </w:rPr>
            </w:pPr>
            <w:r>
              <w:rPr>
                <w:sz w:val="20"/>
                <w:szCs w:val="20"/>
              </w:rPr>
              <w:t>(only at 8 yrs</w:t>
            </w:r>
            <w:r w:rsidR="004B692A">
              <w:rPr>
                <w:sz w:val="20"/>
                <w:szCs w:val="20"/>
              </w:rPr>
              <w:t>.</w:t>
            </w:r>
            <w:r>
              <w:rPr>
                <w:sz w:val="20"/>
                <w:szCs w:val="20"/>
              </w:rPr>
              <w:t>)</w:t>
            </w:r>
          </w:p>
        </w:tc>
      </w:tr>
      <w:tr w:rsidR="00061F8A" w14:paraId="284725AF" w14:textId="77777777" w:rsidTr="005B72EF">
        <w:trPr>
          <w:trHeight w:val="405"/>
          <w:jc w:val="center"/>
        </w:trPr>
        <w:tc>
          <w:tcPr>
            <w:tcW w:w="2070" w:type="dxa"/>
            <w:vAlign w:val="center"/>
          </w:tcPr>
          <w:p w14:paraId="7226A042" w14:textId="5CCFA2CC" w:rsidR="00061F8A" w:rsidRPr="00D34DEE" w:rsidRDefault="00061F8A" w:rsidP="005B72EF">
            <w:pPr>
              <w:rPr>
                <w:b/>
                <w:bCs/>
                <w:sz w:val="20"/>
                <w:szCs w:val="20"/>
              </w:rPr>
            </w:pPr>
            <w:r w:rsidRPr="00D34DEE">
              <w:rPr>
                <w:b/>
                <w:bCs/>
                <w:sz w:val="20"/>
                <w:szCs w:val="20"/>
              </w:rPr>
              <w:t>CCCEH</w:t>
            </w:r>
            <w:r w:rsidR="005B72EF" w:rsidRPr="00D34DEE">
              <w:rPr>
                <w:b/>
                <w:bCs/>
                <w:sz w:val="20"/>
                <w:szCs w:val="20"/>
              </w:rPr>
              <w:t xml:space="preserve"> (USA)</w:t>
            </w:r>
          </w:p>
          <w:p w14:paraId="39F61F9D" w14:textId="1084FB90" w:rsidR="00061F8A" w:rsidRPr="00047EE8" w:rsidRDefault="00061F8A" w:rsidP="005B72EF">
            <w:pPr>
              <w:rPr>
                <w:sz w:val="20"/>
                <w:szCs w:val="20"/>
              </w:rPr>
            </w:pPr>
            <w:proofErr w:type="spellStart"/>
            <w:r w:rsidRPr="00D34DEE">
              <w:rPr>
                <w:sz w:val="20"/>
                <w:szCs w:val="20"/>
              </w:rPr>
              <w:t>Perera</w:t>
            </w:r>
            <w:proofErr w:type="spellEnd"/>
            <w:r w:rsidRPr="00D34DEE">
              <w:rPr>
                <w:sz w:val="20"/>
                <w:szCs w:val="20"/>
              </w:rPr>
              <w:t xml:space="preserve"> et al. 2012</w:t>
            </w:r>
            <w:r w:rsidR="00371967" w:rsidRPr="00D34DEE">
              <w:rPr>
                <w:sz w:val="20"/>
                <w:szCs w:val="20"/>
              </w:rPr>
              <w:t xml:space="preserve"> </w:t>
            </w:r>
            <w:r w:rsidR="00371967">
              <w:rPr>
                <w:sz w:val="20"/>
                <w:szCs w:val="20"/>
              </w:rPr>
              <w:fldChar w:fldCharType="begin" w:fldLock="1"/>
            </w:r>
            <w:r w:rsidR="004207B1" w:rsidRPr="00D34DEE">
              <w:rPr>
                <w:sz w:val="20"/>
                <w:szCs w:val="20"/>
              </w:rPr>
              <w:instrText>ADDIN CSL_CITATION {"citationItems":[{"id":"ITEM-1","itemData":{"DOI":"10.1289/ehp.1104492","ISSN":"1552-9924","PMID":"22543054","abstract":"BACKGROUND Experimental laboratory evidence suggests that bisphenol A (BPA), an endocrine disruptor, is a neurodevelopmental toxicant. However, there have been limited and inconclusive results with respect to sex-specific BPA effects on child behavior. OBJECTIVE We examined the association between prenatal BPA exposure and child behavior, adjusting for postnatal BPA exposure and hypothesizing sex-specific effects. METHODS We followed African-American and Dominican women and their children from pregnancy to child's age 5 years, collecting spot urine samples from the mothers during pregnancy (34 weeks on average) and from children between 3 and 4 years of age to estimate BPA exposure. We assessed child behavior between 3 and 5 years of age using the Child Behavior Checklist (CBCL) and used generalized linear models to test the association between BPA exposure and child behavior, adjusting for potential confounders. RESULTS The analysis was conducted on 198 children (87 boys and 111 girls). Among boys, high prenatal BPA exposure (highest quartile vs. the lowest three quartiles) was associated with significantly higher CBCL scores (more problems) on Emotionally Reactive [1.62 times greater; 95% confidence in</w:instrText>
            </w:r>
            <w:r w:rsidR="004207B1" w:rsidRPr="0013062F">
              <w:rPr>
                <w:sz w:val="20"/>
                <w:szCs w:val="20"/>
                <w:lang w:val="es-ES"/>
              </w:rPr>
              <w:instrText>terval (CI): 1.13, 2.32] and Aggressive Behavior syndromes (1.29 times greater; 95% CI: 1.09, 1.53). Among girls, higher exposure was associated with lower scores on all syndromes, reaching statistical significance for Anxious/Depressed (0.75 times as high; 95% CI: 0.57, 0.99) and Aggressive Behavior (0.82 times as high; 95% CI: 0.70, 0.97). CONCLUSION These results suggest that prenatal exposure to BPA may a</w:instrText>
            </w:r>
            <w:r w:rsidR="004207B1" w:rsidRPr="00D34DEE">
              <w:rPr>
                <w:sz w:val="20"/>
                <w:szCs w:val="20"/>
              </w:rPr>
              <w:instrText>ffect child behavior, and differently among boys and girls.","author":[{"dropping-particle":"","family":"Perera","given":"Frederica","non-dropping-particle":"","parse-names":false,"suffix":""},{"dropping-particle":"","family":"Vishnevetsky","given":"Julia","non-dropping-particle":"","parse-names":false,"suffix":""},{"dropping-particle":"","family":"Herbstman","given":"Julie B","non-dropping-particle":"","parse-names":false,"suffix":""},{"dropping-particle":"","family":"Calafat","given":"Antonia M","non-dropping-particle":"","parse-names":false,"suffix":""},{"dropping-particle":"","family":"Xiong","given":"Wei","non-dropping-particle":"","parse-names":false,"suffix":""},{"dropping-particle":"","family":"Rauh","given":"Virginia","non-dropping-particle":"","parse-names":false,"suffix":""},{"dropping-particle":"","family":"Wang","given":"Shuang","non-dropping-particle":"","parse-names":false,"suffix":""}],"container-title":"Environmental health perspectives","id":"ITEM-1","issue":"8","issued":{"date-parts":[["2012","8","27"]]},"page":"1190-4","title":"Prenatal bisphenol a exposure and child behavior in an inner-city cohort.","type":"article-journal","volume":"120"},"uris":["http://www.mend</w:instrText>
            </w:r>
            <w:r w:rsidR="004207B1">
              <w:rPr>
                <w:sz w:val="20"/>
                <w:szCs w:val="20"/>
              </w:rPr>
              <w:instrText>eley.com/documents/?uuid=f3ce8d96-04e9-35e0-8b20-aca1c0085534"]}],"mendeley":{"formattedCitation":"[6]","plainTextFormattedCitation":"[6]","previouslyFormattedCitation":"[5]"},"properties":{"noteIndex":0},"schema":"https://github.com/citation-style-language/schema/raw/master/csl-citation.json"}</w:instrText>
            </w:r>
            <w:r w:rsidR="00371967">
              <w:rPr>
                <w:sz w:val="20"/>
                <w:szCs w:val="20"/>
              </w:rPr>
              <w:fldChar w:fldCharType="separate"/>
            </w:r>
            <w:r w:rsidR="004207B1" w:rsidRPr="004207B1">
              <w:rPr>
                <w:noProof/>
                <w:sz w:val="20"/>
                <w:szCs w:val="20"/>
              </w:rPr>
              <w:t>[6]</w:t>
            </w:r>
            <w:r w:rsidR="00371967">
              <w:rPr>
                <w:sz w:val="20"/>
                <w:szCs w:val="20"/>
              </w:rPr>
              <w:fldChar w:fldCharType="end"/>
            </w:r>
          </w:p>
        </w:tc>
        <w:tc>
          <w:tcPr>
            <w:tcW w:w="990" w:type="dxa"/>
            <w:vAlign w:val="center"/>
          </w:tcPr>
          <w:p w14:paraId="3227A06E" w14:textId="58C217B8" w:rsidR="00061F8A" w:rsidRPr="00047EE8" w:rsidRDefault="00061F8A" w:rsidP="00850FAA">
            <w:pPr>
              <w:jc w:val="center"/>
              <w:rPr>
                <w:sz w:val="20"/>
                <w:szCs w:val="20"/>
              </w:rPr>
            </w:pPr>
            <w:r w:rsidRPr="00047EE8">
              <w:rPr>
                <w:sz w:val="20"/>
                <w:szCs w:val="20"/>
              </w:rPr>
              <w:t>198</w:t>
            </w:r>
          </w:p>
        </w:tc>
        <w:tc>
          <w:tcPr>
            <w:tcW w:w="1665" w:type="dxa"/>
            <w:vMerge w:val="restart"/>
            <w:vAlign w:val="center"/>
          </w:tcPr>
          <w:p w14:paraId="35425FFF" w14:textId="3C1F014A" w:rsidR="00061F8A" w:rsidRPr="00047EE8" w:rsidRDefault="00061F8A" w:rsidP="00850FAA">
            <w:pPr>
              <w:jc w:val="center"/>
              <w:rPr>
                <w:sz w:val="20"/>
                <w:szCs w:val="20"/>
              </w:rPr>
            </w:pPr>
            <w:r w:rsidRPr="00047EE8">
              <w:rPr>
                <w:sz w:val="20"/>
                <w:szCs w:val="20"/>
              </w:rPr>
              <w:t>1 (</w:t>
            </w:r>
            <w:r w:rsidR="00A52377">
              <w:rPr>
                <w:sz w:val="20"/>
                <w:szCs w:val="20"/>
              </w:rPr>
              <w:t xml:space="preserve">gestation </w:t>
            </w:r>
            <w:r w:rsidRPr="00047EE8">
              <w:rPr>
                <w:sz w:val="20"/>
                <w:szCs w:val="20"/>
              </w:rPr>
              <w:t>week</w:t>
            </w:r>
            <w:r w:rsidR="00A52377">
              <w:rPr>
                <w:sz w:val="20"/>
                <w:szCs w:val="20"/>
              </w:rPr>
              <w:t xml:space="preserve"> 34</w:t>
            </w:r>
            <w:r w:rsidR="00A52377" w:rsidRPr="00A52377">
              <w:rPr>
                <w:sz w:val="20"/>
                <w:szCs w:val="20"/>
                <w:vertAlign w:val="superscript"/>
              </w:rPr>
              <w:t>th</w:t>
            </w:r>
            <w:r w:rsidRPr="00047EE8">
              <w:rPr>
                <w:sz w:val="20"/>
                <w:szCs w:val="20"/>
              </w:rPr>
              <w:t>)</w:t>
            </w:r>
          </w:p>
        </w:tc>
        <w:tc>
          <w:tcPr>
            <w:tcW w:w="1665" w:type="dxa"/>
            <w:vAlign w:val="center"/>
          </w:tcPr>
          <w:p w14:paraId="223D7898" w14:textId="2365CBBC" w:rsidR="00061F8A" w:rsidRPr="00047EE8" w:rsidRDefault="00061F8A" w:rsidP="00850FAA">
            <w:pPr>
              <w:jc w:val="center"/>
              <w:rPr>
                <w:sz w:val="20"/>
                <w:szCs w:val="20"/>
              </w:rPr>
            </w:pPr>
            <w:r>
              <w:rPr>
                <w:sz w:val="20"/>
                <w:szCs w:val="20"/>
              </w:rPr>
              <w:t>2</w:t>
            </w:r>
            <w:r w:rsidRPr="00047EE8">
              <w:rPr>
                <w:sz w:val="20"/>
                <w:szCs w:val="20"/>
              </w:rPr>
              <w:t xml:space="preserve"> (at 3</w:t>
            </w:r>
            <w:r>
              <w:rPr>
                <w:sz w:val="20"/>
                <w:szCs w:val="20"/>
              </w:rPr>
              <w:t xml:space="preserve"> and 5</w:t>
            </w:r>
            <w:r w:rsidRPr="00047EE8">
              <w:rPr>
                <w:sz w:val="20"/>
                <w:szCs w:val="20"/>
              </w:rPr>
              <w:t xml:space="preserve"> yrs</w:t>
            </w:r>
            <w:r w:rsidR="004B692A">
              <w:rPr>
                <w:sz w:val="20"/>
                <w:szCs w:val="20"/>
              </w:rPr>
              <w:t>.</w:t>
            </w:r>
            <w:r w:rsidRPr="00047EE8">
              <w:rPr>
                <w:sz w:val="20"/>
                <w:szCs w:val="20"/>
              </w:rPr>
              <w:t>)</w:t>
            </w:r>
          </w:p>
        </w:tc>
        <w:tc>
          <w:tcPr>
            <w:tcW w:w="1429" w:type="dxa"/>
            <w:vAlign w:val="center"/>
          </w:tcPr>
          <w:p w14:paraId="0D778069" w14:textId="77777777" w:rsidR="00061F8A" w:rsidRDefault="00061F8A" w:rsidP="00850FAA">
            <w:pPr>
              <w:jc w:val="center"/>
              <w:rPr>
                <w:sz w:val="20"/>
                <w:szCs w:val="20"/>
              </w:rPr>
            </w:pPr>
          </w:p>
          <w:p w14:paraId="56AABA52" w14:textId="6EBAC07D" w:rsidR="00061F8A" w:rsidRDefault="00061F8A" w:rsidP="00850FAA">
            <w:pPr>
              <w:jc w:val="center"/>
              <w:rPr>
                <w:sz w:val="20"/>
                <w:szCs w:val="20"/>
              </w:rPr>
            </w:pPr>
            <w:r w:rsidRPr="00047EE8">
              <w:rPr>
                <w:sz w:val="20"/>
                <w:szCs w:val="20"/>
              </w:rPr>
              <w:t>Yes</w:t>
            </w:r>
            <w:r>
              <w:rPr>
                <w:sz w:val="20"/>
                <w:szCs w:val="20"/>
              </w:rPr>
              <w:t xml:space="preserve"> </w:t>
            </w:r>
          </w:p>
          <w:p w14:paraId="0ECB1DC0" w14:textId="691161DA" w:rsidR="00061F8A" w:rsidRDefault="00061F8A" w:rsidP="00850FAA">
            <w:pPr>
              <w:jc w:val="center"/>
              <w:rPr>
                <w:sz w:val="20"/>
                <w:szCs w:val="20"/>
              </w:rPr>
            </w:pPr>
            <w:r>
              <w:rPr>
                <w:sz w:val="20"/>
                <w:szCs w:val="20"/>
              </w:rPr>
              <w:t>(at 3-5 yrs</w:t>
            </w:r>
            <w:r w:rsidR="004B692A">
              <w:rPr>
                <w:sz w:val="20"/>
                <w:szCs w:val="20"/>
              </w:rPr>
              <w:t>.</w:t>
            </w:r>
            <w:r>
              <w:rPr>
                <w:sz w:val="20"/>
                <w:szCs w:val="20"/>
              </w:rPr>
              <w:t>)</w:t>
            </w:r>
          </w:p>
          <w:p w14:paraId="4E6990C7" w14:textId="445AB1E3" w:rsidR="00061F8A" w:rsidRPr="00047EE8" w:rsidRDefault="00061F8A" w:rsidP="00850FAA">
            <w:pPr>
              <w:jc w:val="center"/>
              <w:rPr>
                <w:sz w:val="20"/>
                <w:szCs w:val="20"/>
              </w:rPr>
            </w:pPr>
          </w:p>
        </w:tc>
        <w:tc>
          <w:tcPr>
            <w:tcW w:w="1494" w:type="dxa"/>
            <w:vAlign w:val="center"/>
          </w:tcPr>
          <w:p w14:paraId="5CE9D404" w14:textId="77777777" w:rsidR="00C77095" w:rsidRDefault="00C77095" w:rsidP="00850FAA">
            <w:pPr>
              <w:jc w:val="center"/>
              <w:rPr>
                <w:sz w:val="20"/>
                <w:szCs w:val="20"/>
              </w:rPr>
            </w:pPr>
          </w:p>
          <w:p w14:paraId="613C066A" w14:textId="75FA7516" w:rsidR="00C77095" w:rsidRDefault="00061F8A" w:rsidP="00C77095">
            <w:pPr>
              <w:jc w:val="center"/>
              <w:rPr>
                <w:sz w:val="20"/>
                <w:szCs w:val="20"/>
              </w:rPr>
            </w:pPr>
            <w:r w:rsidRPr="00047EE8">
              <w:rPr>
                <w:sz w:val="20"/>
                <w:szCs w:val="20"/>
              </w:rPr>
              <w:t>No</w:t>
            </w:r>
          </w:p>
          <w:p w14:paraId="17E3A9ED" w14:textId="725A999D" w:rsidR="00061F8A" w:rsidRDefault="00C77095" w:rsidP="00850FAA">
            <w:pPr>
              <w:jc w:val="center"/>
              <w:rPr>
                <w:sz w:val="20"/>
                <w:szCs w:val="20"/>
              </w:rPr>
            </w:pPr>
            <w:r>
              <w:rPr>
                <w:sz w:val="20"/>
                <w:szCs w:val="20"/>
              </w:rPr>
              <w:t>(</w:t>
            </w:r>
            <w:r w:rsidR="00061F8A">
              <w:rPr>
                <w:sz w:val="20"/>
                <w:szCs w:val="20"/>
              </w:rPr>
              <w:t>at 3-5</w:t>
            </w:r>
            <w:r w:rsidR="005B72EF">
              <w:rPr>
                <w:sz w:val="20"/>
                <w:szCs w:val="20"/>
              </w:rPr>
              <w:t xml:space="preserve"> yrs</w:t>
            </w:r>
            <w:r w:rsidR="004B692A">
              <w:rPr>
                <w:sz w:val="20"/>
                <w:szCs w:val="20"/>
              </w:rPr>
              <w:t>.</w:t>
            </w:r>
            <w:r>
              <w:rPr>
                <w:sz w:val="20"/>
                <w:szCs w:val="20"/>
              </w:rPr>
              <w:t>)</w:t>
            </w:r>
          </w:p>
          <w:p w14:paraId="42E405A6" w14:textId="0759C012" w:rsidR="00061F8A" w:rsidRPr="00047EE8" w:rsidRDefault="00061F8A" w:rsidP="00850FAA">
            <w:pPr>
              <w:jc w:val="center"/>
              <w:rPr>
                <w:sz w:val="20"/>
                <w:szCs w:val="20"/>
              </w:rPr>
            </w:pPr>
          </w:p>
        </w:tc>
      </w:tr>
      <w:tr w:rsidR="00061F8A" w14:paraId="30BF2217" w14:textId="77777777" w:rsidTr="005B72EF">
        <w:trPr>
          <w:trHeight w:val="405"/>
          <w:jc w:val="center"/>
        </w:trPr>
        <w:tc>
          <w:tcPr>
            <w:tcW w:w="2070" w:type="dxa"/>
            <w:vAlign w:val="center"/>
          </w:tcPr>
          <w:p w14:paraId="5172BB28" w14:textId="77675CFA" w:rsidR="00061F8A" w:rsidRPr="00047EE8" w:rsidRDefault="00061F8A" w:rsidP="005B72EF">
            <w:pPr>
              <w:rPr>
                <w:sz w:val="20"/>
                <w:szCs w:val="20"/>
              </w:rPr>
            </w:pPr>
            <w:proofErr w:type="spellStart"/>
            <w:r>
              <w:rPr>
                <w:sz w:val="20"/>
                <w:szCs w:val="20"/>
              </w:rPr>
              <w:t>Roen</w:t>
            </w:r>
            <w:proofErr w:type="spellEnd"/>
            <w:r>
              <w:rPr>
                <w:sz w:val="20"/>
                <w:szCs w:val="20"/>
              </w:rPr>
              <w:t xml:space="preserve"> et al., 2015</w:t>
            </w:r>
            <w:r w:rsidR="00371967">
              <w:rPr>
                <w:sz w:val="20"/>
                <w:szCs w:val="20"/>
              </w:rPr>
              <w:t xml:space="preserve"> </w:t>
            </w:r>
            <w:r w:rsidR="00371967">
              <w:rPr>
                <w:sz w:val="20"/>
                <w:szCs w:val="20"/>
              </w:rPr>
              <w:fldChar w:fldCharType="begin" w:fldLock="1"/>
            </w:r>
            <w:r w:rsidR="004207B1">
              <w:rPr>
                <w:sz w:val="20"/>
                <w:szCs w:val="20"/>
              </w:rPr>
              <w:instrText>ADDIN CSL_CITATION {"citationItems":[{"id":"ITEM-1","itemData":{"DOI":"10.1016/j.envres.2015.01.014","ISSN":"1096-0953","PMID":"25724466","abstract":"BACKGROUND Bisphenol A (BPA) is a ubiquitous endocrine disrupting compound. Several experimental and epidemiological studies suggest that gestational BPA exposure can lead to neurodevelopmental and behavioral problems in early-life, but results have been inconsistent. We previously reported that prenatal BPA exposure may affect child behavior and differently among boys and girls at ages 3-5 years. OBJECTIVES We investigated the association of prenatal and early childhood BPA exposure with behavioral outcomes in 7-9 year old minority children and hypothesized that we would observe the same sex-specific pattern observed at earlier ages. METHODS African-American and Dominican women enrolled in an inner-city prospective cohort study and their children were followed from mother's pregnancy through children's age 7-9 years. Women during the third trimester of pregnancy and children at ages 3 and 5 years provided spot urine samples. BPA exposure was categorized by tertiles of BPA urinary concentrations. The Child Behavioral Checklist (CBCL) was administered at ages 7 and 9 to assess multiple child behavior domains. Associations between behavior and prenatal (maternal) BPA concentrations and behavior and postnatal (child) BPA concentration were assessed via Poisson regression in models stratified by sex. These models accounted for potential confounders including prenatal or postnatal urinary BPA concentrations, child age at CBCL assessment, ethnicity, gestational age, maternal intelligence, maternal education and demoralization, quality of child's home environment, prenatal environmental tobacco smoke exposure, and prenatal mono-n-butyl phthalate concentration. RESULTS The direction of the associations differed between boys and girls. Among boys (n=115), high prenatal BPA concentration (upper tertile vs. lower two tertiles) was associated with increased internalizing (β=0.41, p&lt;0.0001) and externalizing composite scores (β=0.40, p&lt;0.0001) and with their corresponding individual syndrome scales. There was a general decrease in scores among girls that was significant for the internalizing composite score (β=-0.17, p=0.04) (n=135). After accounting for possible selection bias, the results remained consistent for boys. Conversely, high postnatal BPA concentration was associated with increased behaviors on both the internalizing composite (β=0.30, p=0.0002) and externalizing composite scores (β=0.33, p&lt;0.0001) and individual subscores in girls but fewer symptoms in …","author":[{"dropping-particle":"","family":"Roen","given":"Emily L","non-dropping-particle":"","parse-names":false,"suffix":""},{"dropping-particle":"","family":"Wang","given":"Ya","non-dropping-particle":"","parse-names":false,"suffix":""},{"dropping-particle":"","family":"Calafat","given":"Antonia M","non-dropping-particle":"","parse-names":false,"suffix":""},{"dropping-particle":"","family":"Wang","given":"Shuang","non-dropping-particle":"","parse-names":false,"suffix":""},{"dropping-particle":"","family":"Margolis","given":"Amy","non-dropping-particle":"","parse-names":false,"suffix":""},{"dropping-particle":"","family":"Herbstman","given":"Julie","non-dropping-particle":"","parse-names":false,"suffix":""},{"dropping-particle":"","family":"Hoepner","given":"Lori A","non-dropping-particle":"","parse-names":false,"suffix":""},{"dropping-particle":"","family":"Rauh","given":"Virginia","non-dropping-particle":"","parse-names":false,"suffix":""},{"dropping-particle":"","family":"Perera","given":"Frederica P","non-dropping-particle":"","parse-names":false,"suffix":""}],"container-title":"Environmental research","id":"ITEM-1","issued":{"date-parts":[["2015","10"]]},"page":"739-45","title":"Bisphenol A exposure and behavioral problems among inner city children at 7-9 years of age.","type":"article-journal","volume":"142"},"uris":["http://www.mendeley.com/documents/?uuid=d4902364-b4de-3976-be15-9196f590ab97"]}],"mendeley":{"formattedCitation":"[7]","plainTextFormattedCitation":"[7]","previouslyFormattedCitation":"[6]"},"properties":{"noteIndex":0},"schema":"https://github.com/citation-style-language/schema/raw/master/csl-citation.json"}</w:instrText>
            </w:r>
            <w:r w:rsidR="00371967">
              <w:rPr>
                <w:sz w:val="20"/>
                <w:szCs w:val="20"/>
              </w:rPr>
              <w:fldChar w:fldCharType="separate"/>
            </w:r>
            <w:r w:rsidR="004207B1" w:rsidRPr="004207B1">
              <w:rPr>
                <w:noProof/>
                <w:sz w:val="20"/>
                <w:szCs w:val="20"/>
              </w:rPr>
              <w:t>[7]</w:t>
            </w:r>
            <w:r w:rsidR="00371967">
              <w:rPr>
                <w:sz w:val="20"/>
                <w:szCs w:val="20"/>
              </w:rPr>
              <w:fldChar w:fldCharType="end"/>
            </w:r>
          </w:p>
        </w:tc>
        <w:tc>
          <w:tcPr>
            <w:tcW w:w="990" w:type="dxa"/>
            <w:vAlign w:val="center"/>
          </w:tcPr>
          <w:p w14:paraId="3982D78E" w14:textId="56A2E654" w:rsidR="00061F8A" w:rsidRPr="00047EE8" w:rsidRDefault="00061F8A" w:rsidP="00850FAA">
            <w:pPr>
              <w:jc w:val="center"/>
              <w:rPr>
                <w:sz w:val="20"/>
                <w:szCs w:val="20"/>
              </w:rPr>
            </w:pPr>
            <w:r>
              <w:rPr>
                <w:sz w:val="20"/>
                <w:szCs w:val="20"/>
              </w:rPr>
              <w:t>250</w:t>
            </w:r>
          </w:p>
        </w:tc>
        <w:tc>
          <w:tcPr>
            <w:tcW w:w="1665" w:type="dxa"/>
            <w:vMerge/>
            <w:vAlign w:val="center"/>
          </w:tcPr>
          <w:p w14:paraId="6B943D3F" w14:textId="77777777" w:rsidR="00061F8A" w:rsidRPr="00047EE8" w:rsidRDefault="00061F8A" w:rsidP="00850FAA">
            <w:pPr>
              <w:jc w:val="center"/>
              <w:rPr>
                <w:sz w:val="20"/>
                <w:szCs w:val="20"/>
              </w:rPr>
            </w:pPr>
          </w:p>
        </w:tc>
        <w:tc>
          <w:tcPr>
            <w:tcW w:w="1665" w:type="dxa"/>
            <w:vAlign w:val="center"/>
          </w:tcPr>
          <w:p w14:paraId="30FE91D9" w14:textId="1345A61E" w:rsidR="00061F8A" w:rsidRPr="00047EE8" w:rsidRDefault="00061F8A" w:rsidP="00850FAA">
            <w:pPr>
              <w:jc w:val="center"/>
              <w:rPr>
                <w:sz w:val="20"/>
                <w:szCs w:val="20"/>
              </w:rPr>
            </w:pPr>
            <w:r>
              <w:rPr>
                <w:sz w:val="20"/>
                <w:szCs w:val="20"/>
              </w:rPr>
              <w:t>2 (at 3 and 5 yrs</w:t>
            </w:r>
            <w:r w:rsidR="004B692A">
              <w:rPr>
                <w:sz w:val="20"/>
                <w:szCs w:val="20"/>
              </w:rPr>
              <w:t>.</w:t>
            </w:r>
            <w:r>
              <w:rPr>
                <w:sz w:val="20"/>
                <w:szCs w:val="20"/>
              </w:rPr>
              <w:t>)</w:t>
            </w:r>
          </w:p>
        </w:tc>
        <w:tc>
          <w:tcPr>
            <w:tcW w:w="1429" w:type="dxa"/>
            <w:vAlign w:val="center"/>
          </w:tcPr>
          <w:p w14:paraId="2165D4E7" w14:textId="77777777" w:rsidR="00061F8A" w:rsidRDefault="00061F8A" w:rsidP="00061F8A">
            <w:pPr>
              <w:jc w:val="center"/>
              <w:rPr>
                <w:sz w:val="20"/>
                <w:szCs w:val="20"/>
              </w:rPr>
            </w:pPr>
            <w:r>
              <w:rPr>
                <w:sz w:val="20"/>
                <w:szCs w:val="20"/>
              </w:rPr>
              <w:t xml:space="preserve">Yes </w:t>
            </w:r>
          </w:p>
          <w:p w14:paraId="4D68E3D4" w14:textId="1421A05A" w:rsidR="00061F8A" w:rsidRPr="00047EE8" w:rsidRDefault="00061F8A" w:rsidP="00061F8A">
            <w:pPr>
              <w:jc w:val="center"/>
              <w:rPr>
                <w:sz w:val="20"/>
                <w:szCs w:val="20"/>
              </w:rPr>
            </w:pPr>
            <w:r>
              <w:rPr>
                <w:sz w:val="20"/>
                <w:szCs w:val="20"/>
              </w:rPr>
              <w:t>(at 7-9 yrs</w:t>
            </w:r>
            <w:r w:rsidR="004B692A">
              <w:rPr>
                <w:sz w:val="20"/>
                <w:szCs w:val="20"/>
              </w:rPr>
              <w:t>.</w:t>
            </w:r>
            <w:r>
              <w:rPr>
                <w:sz w:val="20"/>
                <w:szCs w:val="20"/>
              </w:rPr>
              <w:t>)</w:t>
            </w:r>
          </w:p>
        </w:tc>
        <w:tc>
          <w:tcPr>
            <w:tcW w:w="1494" w:type="dxa"/>
            <w:vAlign w:val="center"/>
          </w:tcPr>
          <w:p w14:paraId="5D0C7AEF" w14:textId="77777777" w:rsidR="00C77095" w:rsidRDefault="00061F8A" w:rsidP="00850FAA">
            <w:pPr>
              <w:jc w:val="center"/>
              <w:rPr>
                <w:sz w:val="20"/>
                <w:szCs w:val="20"/>
              </w:rPr>
            </w:pPr>
            <w:r>
              <w:rPr>
                <w:sz w:val="20"/>
                <w:szCs w:val="20"/>
              </w:rPr>
              <w:t xml:space="preserve">Yes </w:t>
            </w:r>
          </w:p>
          <w:p w14:paraId="4BF929A3" w14:textId="18C41C51" w:rsidR="00061F8A" w:rsidRPr="00047EE8" w:rsidRDefault="00C77095" w:rsidP="00850FAA">
            <w:pPr>
              <w:jc w:val="center"/>
              <w:rPr>
                <w:sz w:val="20"/>
                <w:szCs w:val="20"/>
              </w:rPr>
            </w:pPr>
            <w:r>
              <w:rPr>
                <w:sz w:val="20"/>
                <w:szCs w:val="20"/>
              </w:rPr>
              <w:t>(</w:t>
            </w:r>
            <w:r w:rsidR="00061F8A">
              <w:rPr>
                <w:sz w:val="20"/>
                <w:szCs w:val="20"/>
              </w:rPr>
              <w:t>at 7-9</w:t>
            </w:r>
            <w:r w:rsidR="005B72EF">
              <w:rPr>
                <w:sz w:val="20"/>
                <w:szCs w:val="20"/>
              </w:rPr>
              <w:t xml:space="preserve"> yrs</w:t>
            </w:r>
            <w:r w:rsidR="004B692A">
              <w:rPr>
                <w:sz w:val="20"/>
                <w:szCs w:val="20"/>
              </w:rPr>
              <w:t>.</w:t>
            </w:r>
            <w:r>
              <w:rPr>
                <w:sz w:val="20"/>
                <w:szCs w:val="20"/>
              </w:rPr>
              <w:t>)</w:t>
            </w:r>
          </w:p>
        </w:tc>
      </w:tr>
      <w:tr w:rsidR="00061F8A" w14:paraId="3E0BE61E" w14:textId="77777777" w:rsidTr="005B72EF">
        <w:trPr>
          <w:trHeight w:val="405"/>
          <w:jc w:val="center"/>
        </w:trPr>
        <w:tc>
          <w:tcPr>
            <w:tcW w:w="2070" w:type="dxa"/>
            <w:vAlign w:val="center"/>
          </w:tcPr>
          <w:p w14:paraId="2F8B97F6" w14:textId="3051D136" w:rsidR="00061F8A" w:rsidRPr="00047EE8" w:rsidRDefault="00061F8A" w:rsidP="005B72EF">
            <w:pPr>
              <w:rPr>
                <w:sz w:val="20"/>
                <w:szCs w:val="20"/>
              </w:rPr>
            </w:pPr>
            <w:proofErr w:type="spellStart"/>
            <w:r>
              <w:rPr>
                <w:sz w:val="20"/>
                <w:szCs w:val="20"/>
              </w:rPr>
              <w:t>Perera</w:t>
            </w:r>
            <w:proofErr w:type="spellEnd"/>
            <w:r>
              <w:rPr>
                <w:sz w:val="20"/>
                <w:szCs w:val="20"/>
              </w:rPr>
              <w:t xml:space="preserve"> et al., 2016</w:t>
            </w:r>
            <w:r w:rsidR="00371967">
              <w:rPr>
                <w:sz w:val="20"/>
                <w:szCs w:val="20"/>
              </w:rPr>
              <w:t xml:space="preserve"> </w:t>
            </w:r>
            <w:r w:rsidR="00371967">
              <w:rPr>
                <w:sz w:val="20"/>
                <w:szCs w:val="20"/>
              </w:rPr>
              <w:fldChar w:fldCharType="begin" w:fldLock="1"/>
            </w:r>
            <w:r w:rsidR="004207B1">
              <w:rPr>
                <w:sz w:val="20"/>
                <w:szCs w:val="20"/>
              </w:rPr>
              <w:instrText>ADDIN CSL_CITATION {"citationItems":[{"id":"ITEM-1","itemData":{"DOI":"10.1016/j.envres.2016.07.028","ISSN":"00139351","PMID":"27497082","abstract":"BACKGROUND Experimental and epidemiological studies suggest that gestational exposure to Bisphenol A (BPA), an ubiquitous endocrine disrupting chemical, may lead to neurobehavioral problems in childhood; however, not all results have been consistent. We previously reported a positive association between prenatal BPA exposure and symptoms of anxiety/depression reported by the mother at child age 7-9 years in boys, but not girls. OBJECTIVES Here, in the same birth cohort, we investigated the association of prenatal BPA exposure with symptoms of depression and anxiety self-reported by the 10-12 year olds, hypothesizing that we would observe sex-specific differences in anxiety and depressive symptoms. METHODS African-American and Dominican women living in Northern Manhattan and their children were followed from mother's pregnancy through children's age 10-12 years. BPA was quantified in maternal urine collected during the third trimester of pregnancy and in child urine collected at ages 3 and 5 years. Children were evaluated using the Revised Children's Manifest Anxiety Scale (RCMAS) and Children's Depression Rating Scale (CDRS). We compared the children in the highest tertile of BPA concentration to those in the lower two tertiles. Associations between behavior and prenatal (maternal) BPA concentration or postnatal (child) BPA concentration were assessed in regression models stratified by sex. RESULTS Significant positive associations between prenatal BPA and symptoms of depression and anxiety were observed among boys. Postnatal BPA exposure was not significantly associated with outcomes. There was substantial co-occurrence of anxiety and depressive symptoms in this sample. CONCLUSION These results provide evidence that prenatal BPA exposure is associated with more symptoms of anxiety and depression in boys but not in girls at age 10-12 years.","author":[{"dropping-particle":"","family":"Perera","given":"Frederica","non-dropping-particle":"","parse-names":false,"suffix":""},{"dropping-particle":"","family":"Nolte","given":"Emily L. Roen","non-dropping-particle":"","parse-names":false,"suffix":""},{"dropping-particle":"","family":"Wang","given":"Ya","non-dropping-particle":"","parse-names":false,"suffix":""},{"dropping-particle":"","family":"Margolis","given":"Amy E.","non-dropping-particle":"","parse-names":false,"suffix":""},{"dropping-particle":"","family":"Calafat","given":"Antonia M.","non-dropping-particle":"","parse-names":false,"suffix":""},{"dropping-particle":"","family":"Wang","given":"Shuang","non-dropping-particle":"","parse-names":false,"suffix":""},{"dropping-particle":"","family":"Garcia","given":"Wanda","non-dropping-particle":"","parse-names":false,"suffix":""},{"dropping-particle":"","family":"Hoepner","given":"Lori A.","non-dropping-particle":"","parse-names":false,"suffix":""},{"dropping-particle":"","family":"Peterson","given":"Bradley S.","non-dropping-particle":"","parse-names":false,"suffix":""},{"dropping-particle":"","family":"Rauh","given":"Virginia","non-dropping-particle":"","parse-names":false,"suffix":""},{"dropping-particle":"","family":"Herbstman","given":"Julie","non-dropping-particle":"","parse-names":false,"suffix":""}],"container-title":"Environmental Research","id":"ITEM-1","issued":{"date-parts":[["2016","11"]]},"page":"195-202","title":"Bisphenol A exposure and symptoms of anxiety and depression among inner city children at 10–12 years of age","type":"article-journal","volume":"151"},"uris":["http://www.mendeley.com/documents/?uuid=bee6058d-daa9-31dc-a92f-88ff375545a5"]}],"mendeley":{"formattedCitation":"[8]","plainTextFormattedCitation":"[8]","previouslyFormattedCitation":"[7]"},"properties":{"noteIndex":0},"schema":"https://github.com/citation-style-language/schema/raw/master/csl-citation.json"}</w:instrText>
            </w:r>
            <w:r w:rsidR="00371967">
              <w:rPr>
                <w:sz w:val="20"/>
                <w:szCs w:val="20"/>
              </w:rPr>
              <w:fldChar w:fldCharType="separate"/>
            </w:r>
            <w:r w:rsidR="004207B1" w:rsidRPr="004207B1">
              <w:rPr>
                <w:noProof/>
                <w:sz w:val="20"/>
                <w:szCs w:val="20"/>
              </w:rPr>
              <w:t>[8]</w:t>
            </w:r>
            <w:r w:rsidR="00371967">
              <w:rPr>
                <w:sz w:val="20"/>
                <w:szCs w:val="20"/>
              </w:rPr>
              <w:fldChar w:fldCharType="end"/>
            </w:r>
          </w:p>
        </w:tc>
        <w:tc>
          <w:tcPr>
            <w:tcW w:w="990" w:type="dxa"/>
            <w:vAlign w:val="center"/>
          </w:tcPr>
          <w:p w14:paraId="19517669" w14:textId="11CEAC9A" w:rsidR="00061F8A" w:rsidRPr="00047EE8" w:rsidRDefault="00061F8A" w:rsidP="00850FAA">
            <w:pPr>
              <w:jc w:val="center"/>
              <w:rPr>
                <w:sz w:val="20"/>
                <w:szCs w:val="20"/>
              </w:rPr>
            </w:pPr>
            <w:r>
              <w:rPr>
                <w:sz w:val="20"/>
                <w:szCs w:val="20"/>
              </w:rPr>
              <w:t>241</w:t>
            </w:r>
          </w:p>
        </w:tc>
        <w:tc>
          <w:tcPr>
            <w:tcW w:w="1665" w:type="dxa"/>
            <w:vMerge/>
            <w:vAlign w:val="center"/>
          </w:tcPr>
          <w:p w14:paraId="65385CE7" w14:textId="77777777" w:rsidR="00061F8A" w:rsidRPr="00047EE8" w:rsidRDefault="00061F8A" w:rsidP="00850FAA">
            <w:pPr>
              <w:jc w:val="center"/>
              <w:rPr>
                <w:sz w:val="20"/>
                <w:szCs w:val="20"/>
              </w:rPr>
            </w:pPr>
          </w:p>
        </w:tc>
        <w:tc>
          <w:tcPr>
            <w:tcW w:w="1665" w:type="dxa"/>
            <w:vAlign w:val="center"/>
          </w:tcPr>
          <w:p w14:paraId="3E51040D" w14:textId="720296ED" w:rsidR="00061F8A" w:rsidRPr="00047EE8" w:rsidRDefault="00061F8A" w:rsidP="00850FAA">
            <w:pPr>
              <w:jc w:val="center"/>
              <w:rPr>
                <w:sz w:val="20"/>
                <w:szCs w:val="20"/>
              </w:rPr>
            </w:pPr>
            <w:r>
              <w:rPr>
                <w:sz w:val="20"/>
                <w:szCs w:val="20"/>
              </w:rPr>
              <w:t>2 (at 3 and 5 yrs</w:t>
            </w:r>
            <w:r w:rsidR="004B692A">
              <w:rPr>
                <w:sz w:val="20"/>
                <w:szCs w:val="20"/>
              </w:rPr>
              <w:t>.</w:t>
            </w:r>
            <w:r>
              <w:rPr>
                <w:sz w:val="20"/>
                <w:szCs w:val="20"/>
              </w:rPr>
              <w:t>)</w:t>
            </w:r>
          </w:p>
        </w:tc>
        <w:tc>
          <w:tcPr>
            <w:tcW w:w="1429" w:type="dxa"/>
            <w:vAlign w:val="center"/>
          </w:tcPr>
          <w:p w14:paraId="18B4DCB9" w14:textId="77777777" w:rsidR="00061F8A" w:rsidRDefault="00061F8A" w:rsidP="00850FAA">
            <w:pPr>
              <w:jc w:val="center"/>
              <w:rPr>
                <w:sz w:val="20"/>
                <w:szCs w:val="20"/>
              </w:rPr>
            </w:pPr>
            <w:r>
              <w:rPr>
                <w:sz w:val="20"/>
                <w:szCs w:val="20"/>
              </w:rPr>
              <w:t xml:space="preserve">Yes </w:t>
            </w:r>
          </w:p>
          <w:p w14:paraId="5BC7E112" w14:textId="5207E679" w:rsidR="00061F8A" w:rsidRPr="00047EE8" w:rsidRDefault="00061F8A" w:rsidP="00850FAA">
            <w:pPr>
              <w:jc w:val="center"/>
              <w:rPr>
                <w:sz w:val="20"/>
                <w:szCs w:val="20"/>
              </w:rPr>
            </w:pPr>
            <w:r>
              <w:rPr>
                <w:sz w:val="20"/>
                <w:szCs w:val="20"/>
              </w:rPr>
              <w:t>(at 10-12</w:t>
            </w:r>
            <w:r w:rsidR="005B72EF">
              <w:rPr>
                <w:sz w:val="20"/>
                <w:szCs w:val="20"/>
              </w:rPr>
              <w:t xml:space="preserve"> yrs</w:t>
            </w:r>
            <w:r w:rsidR="004B692A">
              <w:rPr>
                <w:sz w:val="20"/>
                <w:szCs w:val="20"/>
              </w:rPr>
              <w:t>.</w:t>
            </w:r>
            <w:r>
              <w:rPr>
                <w:sz w:val="20"/>
                <w:szCs w:val="20"/>
              </w:rPr>
              <w:t>)</w:t>
            </w:r>
          </w:p>
        </w:tc>
        <w:tc>
          <w:tcPr>
            <w:tcW w:w="1494" w:type="dxa"/>
            <w:vAlign w:val="center"/>
          </w:tcPr>
          <w:p w14:paraId="08DFF9FD" w14:textId="77777777" w:rsidR="00C77095" w:rsidRDefault="00061F8A" w:rsidP="00850FAA">
            <w:pPr>
              <w:jc w:val="center"/>
              <w:rPr>
                <w:sz w:val="20"/>
                <w:szCs w:val="20"/>
              </w:rPr>
            </w:pPr>
            <w:r>
              <w:rPr>
                <w:sz w:val="20"/>
                <w:szCs w:val="20"/>
              </w:rPr>
              <w:t xml:space="preserve">No </w:t>
            </w:r>
          </w:p>
          <w:p w14:paraId="1E1245C9" w14:textId="367F01B4" w:rsidR="00061F8A" w:rsidRPr="00047EE8" w:rsidRDefault="00C77095" w:rsidP="00850FAA">
            <w:pPr>
              <w:jc w:val="center"/>
              <w:rPr>
                <w:sz w:val="20"/>
                <w:szCs w:val="20"/>
              </w:rPr>
            </w:pPr>
            <w:r>
              <w:rPr>
                <w:sz w:val="20"/>
                <w:szCs w:val="20"/>
              </w:rPr>
              <w:t>(</w:t>
            </w:r>
            <w:r w:rsidR="00061F8A">
              <w:rPr>
                <w:sz w:val="20"/>
                <w:szCs w:val="20"/>
              </w:rPr>
              <w:t>at 10-12</w:t>
            </w:r>
            <w:r w:rsidR="005B72EF">
              <w:rPr>
                <w:sz w:val="20"/>
                <w:szCs w:val="20"/>
              </w:rPr>
              <w:t xml:space="preserve"> yrs</w:t>
            </w:r>
            <w:r w:rsidR="004B692A">
              <w:rPr>
                <w:sz w:val="20"/>
                <w:szCs w:val="20"/>
              </w:rPr>
              <w:t>.</w:t>
            </w:r>
            <w:r>
              <w:rPr>
                <w:sz w:val="20"/>
                <w:szCs w:val="20"/>
              </w:rPr>
              <w:t>)</w:t>
            </w:r>
          </w:p>
        </w:tc>
      </w:tr>
      <w:tr w:rsidR="00061F8A" w14:paraId="002511CF" w14:textId="77777777" w:rsidTr="005B72EF">
        <w:trPr>
          <w:trHeight w:val="496"/>
          <w:jc w:val="center"/>
        </w:trPr>
        <w:tc>
          <w:tcPr>
            <w:tcW w:w="2070" w:type="dxa"/>
            <w:vAlign w:val="center"/>
          </w:tcPr>
          <w:p w14:paraId="2045B053" w14:textId="0605C2AB" w:rsidR="00061F8A" w:rsidRPr="00D34DEE" w:rsidRDefault="00061F8A" w:rsidP="005B72EF">
            <w:pPr>
              <w:rPr>
                <w:b/>
                <w:bCs/>
                <w:sz w:val="20"/>
                <w:szCs w:val="20"/>
              </w:rPr>
            </w:pPr>
            <w:r w:rsidRPr="00D34DEE">
              <w:rPr>
                <w:b/>
                <w:bCs/>
                <w:sz w:val="20"/>
                <w:szCs w:val="20"/>
              </w:rPr>
              <w:t>CHAMACOS</w:t>
            </w:r>
            <w:r w:rsidR="005B72EF" w:rsidRPr="00D34DEE">
              <w:rPr>
                <w:b/>
                <w:bCs/>
                <w:sz w:val="20"/>
                <w:szCs w:val="20"/>
              </w:rPr>
              <w:t xml:space="preserve"> (USA)</w:t>
            </w:r>
          </w:p>
          <w:p w14:paraId="4C7D8204" w14:textId="70102B9D" w:rsidR="00061F8A" w:rsidRPr="007B190B" w:rsidRDefault="00061F8A" w:rsidP="005B72EF">
            <w:pPr>
              <w:rPr>
                <w:sz w:val="20"/>
                <w:szCs w:val="20"/>
              </w:rPr>
            </w:pPr>
            <w:r w:rsidRPr="00D34DEE">
              <w:rPr>
                <w:sz w:val="20"/>
                <w:szCs w:val="20"/>
              </w:rPr>
              <w:t>Harley et al. 2013</w:t>
            </w:r>
            <w:r w:rsidR="00371967" w:rsidRPr="00D34DEE">
              <w:rPr>
                <w:sz w:val="20"/>
                <w:szCs w:val="20"/>
              </w:rPr>
              <w:t xml:space="preserve"> </w:t>
            </w:r>
            <w:r w:rsidR="00371967">
              <w:rPr>
                <w:sz w:val="20"/>
                <w:szCs w:val="20"/>
              </w:rPr>
              <w:fldChar w:fldCharType="begin" w:fldLock="1"/>
            </w:r>
            <w:r w:rsidR="004207B1" w:rsidRPr="00D34DEE">
              <w:rPr>
                <w:sz w:val="20"/>
                <w:szCs w:val="20"/>
              </w:rPr>
              <w:instrText>ADDIN CSL_CITATION {"citationItems":[{"id":"ITEM-1","itemData":{"DOI":"10.1289/ehp.1205548","ISSN":"0091-6765","PMID":"23416456","abstract":"BACKGROUND Bisphenol A (BPA), a widely used endocrine-disrupting chemical, has been associated with increased body weight and fat deposition in rodents. OBJECTIVES We examined whether prenatal and postnatal urinary BPA concentrations were associated with body mass index (BMI), waist circumference, percent body fat, and obesity in 9-year-old children (n = 311) in the CHAMACOS longitudinal cohort study. METHODS BPA was measured in spot urine samples collected from mothers twice during pregnancy and from children at 5 and 9 years of age. RESULTS Prenatal urinary BPA concentrations were associated with decreased BMI at 9 years of age in girls but not boys. Among girls, being in the highest tertile of prenatal BPA concentrations was associated with decreased BMI z-score (</w:instrText>
            </w:r>
            <w:r w:rsidR="004207B1">
              <w:rPr>
                <w:sz w:val="20"/>
                <w:szCs w:val="20"/>
              </w:rPr>
              <w:instrText>β</w:instrText>
            </w:r>
            <w:r w:rsidR="004207B1" w:rsidRPr="00D34DEE">
              <w:rPr>
                <w:sz w:val="20"/>
                <w:szCs w:val="20"/>
              </w:rPr>
              <w:instrText xml:space="preserve"> = -0.47, 95% CI: -0.87, -0.07) and percent body fat (</w:instrText>
            </w:r>
            <w:r w:rsidR="004207B1">
              <w:rPr>
                <w:sz w:val="20"/>
                <w:szCs w:val="20"/>
              </w:rPr>
              <w:instrText>β</w:instrText>
            </w:r>
            <w:r w:rsidR="004207B1" w:rsidRPr="00D34DEE">
              <w:rPr>
                <w:sz w:val="20"/>
                <w:szCs w:val="20"/>
              </w:rPr>
              <w:instrText xml:space="preserve"> = -4.36, 95% CI: -8.37, -0.34) and decreased odds of overweight/obesity [odds ratio (OR) = 0.37, 95% CI: 0.16, 0.91] compared with girls in the lowest tertile. These findings were strongest in prepubertal girls. Urinary BPA concentrations at 5 years of age were not associated with any anthropometric parameters at 5 or 9 years, but BPA concentrations at 9 years were positively associated with BMI, waist circumferenc</w:instrText>
            </w:r>
            <w:r w:rsidR="004207B1" w:rsidRPr="0013062F">
              <w:rPr>
                <w:sz w:val="20"/>
                <w:szCs w:val="20"/>
                <w:lang w:val="es-ES"/>
              </w:rPr>
              <w:instrText>e, fat mass, and overweight/obesity at 9 years in boys and girls. CONCLUSIONS Consistent with other cross-sectional studies, higher urinary BPA concentrations at 9 years of age were associated with increased adiposity at 9 years. However, increasing BPA concentrations in mothers during pregnancy were associated with decreased BMI, body fat, and overweight/obesity among their daughters at 9 years of age.","author":[{"dropping-particle":"","family":"Harley","given":"Kim G.","non-dropping-particle":"","parse-names":false,"suffix":""},{"dropping-particle":"","family":"Aguilar Schall","given":"Raul","non-dropping-particle":"","parse-names":false,"suffix":""},{"dropping-particle":"","family":"Chevrier","given":"Jonathan","non-dropping-p</w:instrText>
            </w:r>
            <w:r w:rsidR="004207B1" w:rsidRPr="0013062F">
              <w:rPr>
                <w:sz w:val="20"/>
                <w:szCs w:val="20"/>
              </w:rPr>
              <w:instrText>article":"","parse-names":false,"suffix":""},{"dropping-particle":"","family":"Tyler","given":"Kristin","non-dropping-particle":"","parse-names":false,"suffix":""},{"dropping-particle":"","family":"Aguirre","given":"Helen","non-dropping-particle":"","parse-names":false,"suffix":""},{"dropping-particle":"","family":"Bradman","given":"Asa","non-dropping-particle":"","parse-names":false,"suffix":""},{"dropping-particle":"","family":"Holland","given":"Nina T.","non-dropping-particle":"","parse-names":false,"suffix":""},{"dropping-particle":"","family":"Lustig","given":"Robert H.","non-dropping-particle":"","parse-names":false,"suffix":""},{"dropping-particle":"","family":"Calafat","given":"Antonia M.","non-dropping-particle":"","parse-names":false,"suffix":""},{"dropping-particle":"","family":"Eskenazi","given":"Brenda","non-dropping-parti</w:instrText>
            </w:r>
            <w:r w:rsidR="004207B1">
              <w:rPr>
                <w:sz w:val="20"/>
                <w:szCs w:val="20"/>
              </w:rPr>
              <w:instrText>cle":"","parse-names":false,"suffix":""}],"container-title":"Environmental Health Perspectives","id":"ITEM-1","issue":"4","issued":{"date-parts":[["2013","2","15"]]},"page":"514-20","title":"Prenatal and Postnatal Bisphenol A Exposure and Body Mass Index in Childhood in the CHAMACOS Cohort","type":"article-journal","volume":"121"},"uris":["http://www.mendeley.com/documents/?uuid=d935a56a-384f-3c6d-8d77-77602037927d"]}],"mendeley":{"formattedCitation":"[9]","plainTextFormattedCitation":"[9]","previouslyFormattedCitation":"[8]"},"properties":{"noteIndex":0},"schema":"https://github.com/citation-style-language/schema/raw/master/csl-citation.json"}</w:instrText>
            </w:r>
            <w:r w:rsidR="00371967">
              <w:rPr>
                <w:sz w:val="20"/>
                <w:szCs w:val="20"/>
              </w:rPr>
              <w:fldChar w:fldCharType="separate"/>
            </w:r>
            <w:r w:rsidR="004207B1" w:rsidRPr="004207B1">
              <w:rPr>
                <w:noProof/>
                <w:sz w:val="20"/>
                <w:szCs w:val="20"/>
              </w:rPr>
              <w:t>[9]</w:t>
            </w:r>
            <w:r w:rsidR="00371967">
              <w:rPr>
                <w:sz w:val="20"/>
                <w:szCs w:val="20"/>
              </w:rPr>
              <w:fldChar w:fldCharType="end"/>
            </w:r>
          </w:p>
        </w:tc>
        <w:tc>
          <w:tcPr>
            <w:tcW w:w="990" w:type="dxa"/>
            <w:vAlign w:val="center"/>
          </w:tcPr>
          <w:p w14:paraId="05F1AC52" w14:textId="4D0AE084" w:rsidR="00061F8A" w:rsidRPr="007B190B" w:rsidRDefault="00061F8A" w:rsidP="0016138D">
            <w:pPr>
              <w:jc w:val="center"/>
              <w:rPr>
                <w:sz w:val="20"/>
                <w:szCs w:val="20"/>
              </w:rPr>
            </w:pPr>
            <w:r w:rsidRPr="007B190B">
              <w:rPr>
                <w:sz w:val="20"/>
                <w:szCs w:val="20"/>
              </w:rPr>
              <w:t>292</w:t>
            </w:r>
          </w:p>
        </w:tc>
        <w:tc>
          <w:tcPr>
            <w:tcW w:w="1665" w:type="dxa"/>
            <w:vAlign w:val="center"/>
          </w:tcPr>
          <w:p w14:paraId="236C899A" w14:textId="0BE23235" w:rsidR="00061F8A" w:rsidRPr="007B190B" w:rsidRDefault="00061F8A" w:rsidP="0016138D">
            <w:pPr>
              <w:jc w:val="center"/>
              <w:rPr>
                <w:sz w:val="20"/>
                <w:szCs w:val="20"/>
              </w:rPr>
            </w:pPr>
            <w:r w:rsidRPr="007B190B">
              <w:rPr>
                <w:sz w:val="20"/>
                <w:szCs w:val="20"/>
              </w:rPr>
              <w:t>2 (gestation week</w:t>
            </w:r>
            <w:r w:rsidR="00A52377">
              <w:rPr>
                <w:sz w:val="20"/>
                <w:szCs w:val="20"/>
              </w:rPr>
              <w:t xml:space="preserve"> 14</w:t>
            </w:r>
            <w:r w:rsidR="00A52377" w:rsidRPr="00A52377">
              <w:rPr>
                <w:sz w:val="20"/>
                <w:szCs w:val="20"/>
                <w:vertAlign w:val="superscript"/>
              </w:rPr>
              <w:t>th</w:t>
            </w:r>
            <w:r w:rsidR="00A52377">
              <w:rPr>
                <w:sz w:val="20"/>
                <w:szCs w:val="20"/>
              </w:rPr>
              <w:t xml:space="preserve"> and 26</w:t>
            </w:r>
            <w:r w:rsidR="00A52377" w:rsidRPr="00A52377">
              <w:rPr>
                <w:sz w:val="20"/>
                <w:szCs w:val="20"/>
                <w:vertAlign w:val="superscript"/>
              </w:rPr>
              <w:t>th</w:t>
            </w:r>
            <w:r w:rsidRPr="007B190B">
              <w:rPr>
                <w:sz w:val="20"/>
                <w:szCs w:val="20"/>
              </w:rPr>
              <w:t>)</w:t>
            </w:r>
          </w:p>
        </w:tc>
        <w:tc>
          <w:tcPr>
            <w:tcW w:w="1665" w:type="dxa"/>
            <w:vAlign w:val="center"/>
          </w:tcPr>
          <w:p w14:paraId="0946AE37" w14:textId="6864ED9E" w:rsidR="00061F8A" w:rsidRPr="007B190B" w:rsidRDefault="00061F8A" w:rsidP="0016138D">
            <w:pPr>
              <w:jc w:val="center"/>
              <w:rPr>
                <w:sz w:val="20"/>
                <w:szCs w:val="20"/>
              </w:rPr>
            </w:pPr>
            <w:r w:rsidRPr="007B190B">
              <w:rPr>
                <w:sz w:val="20"/>
                <w:szCs w:val="20"/>
              </w:rPr>
              <w:t>1 (at 5 yrs</w:t>
            </w:r>
            <w:r w:rsidR="004B692A">
              <w:rPr>
                <w:sz w:val="20"/>
                <w:szCs w:val="20"/>
              </w:rPr>
              <w:t>.</w:t>
            </w:r>
            <w:r w:rsidRPr="007B190B">
              <w:rPr>
                <w:sz w:val="20"/>
                <w:szCs w:val="20"/>
              </w:rPr>
              <w:t>)</w:t>
            </w:r>
          </w:p>
        </w:tc>
        <w:tc>
          <w:tcPr>
            <w:tcW w:w="1429" w:type="dxa"/>
            <w:vAlign w:val="center"/>
          </w:tcPr>
          <w:p w14:paraId="73507303" w14:textId="77777777" w:rsidR="00061F8A" w:rsidRDefault="00061F8A" w:rsidP="0016138D">
            <w:pPr>
              <w:jc w:val="center"/>
              <w:rPr>
                <w:sz w:val="20"/>
                <w:szCs w:val="20"/>
              </w:rPr>
            </w:pPr>
            <w:r w:rsidRPr="007B190B">
              <w:rPr>
                <w:sz w:val="20"/>
                <w:szCs w:val="20"/>
              </w:rPr>
              <w:t>Yes</w:t>
            </w:r>
            <w:r>
              <w:rPr>
                <w:sz w:val="20"/>
                <w:szCs w:val="20"/>
              </w:rPr>
              <w:t xml:space="preserve"> </w:t>
            </w:r>
          </w:p>
          <w:p w14:paraId="15E79B2F" w14:textId="49B8CFC7" w:rsidR="00061F8A" w:rsidRPr="007B190B" w:rsidRDefault="00061F8A" w:rsidP="0016138D">
            <w:pPr>
              <w:jc w:val="center"/>
              <w:rPr>
                <w:sz w:val="20"/>
                <w:szCs w:val="20"/>
              </w:rPr>
            </w:pPr>
            <w:r>
              <w:rPr>
                <w:sz w:val="20"/>
                <w:szCs w:val="20"/>
              </w:rPr>
              <w:t>(at 7</w:t>
            </w:r>
            <w:r w:rsidR="005B72EF">
              <w:rPr>
                <w:sz w:val="20"/>
                <w:szCs w:val="20"/>
              </w:rPr>
              <w:t xml:space="preserve"> yrs</w:t>
            </w:r>
            <w:r w:rsidR="004B692A">
              <w:rPr>
                <w:sz w:val="20"/>
                <w:szCs w:val="20"/>
              </w:rPr>
              <w:t>.</w:t>
            </w:r>
            <w:r>
              <w:rPr>
                <w:sz w:val="20"/>
                <w:szCs w:val="20"/>
              </w:rPr>
              <w:t>)</w:t>
            </w:r>
          </w:p>
        </w:tc>
        <w:tc>
          <w:tcPr>
            <w:tcW w:w="1494" w:type="dxa"/>
            <w:vAlign w:val="center"/>
          </w:tcPr>
          <w:p w14:paraId="1B51E974" w14:textId="77777777" w:rsidR="00C77095" w:rsidRDefault="00061F8A" w:rsidP="0016138D">
            <w:pPr>
              <w:jc w:val="center"/>
              <w:rPr>
                <w:sz w:val="20"/>
                <w:szCs w:val="20"/>
              </w:rPr>
            </w:pPr>
            <w:r w:rsidRPr="007B190B">
              <w:rPr>
                <w:sz w:val="20"/>
                <w:szCs w:val="20"/>
              </w:rPr>
              <w:t>Yes</w:t>
            </w:r>
            <w:r>
              <w:rPr>
                <w:sz w:val="20"/>
                <w:szCs w:val="20"/>
              </w:rPr>
              <w:t xml:space="preserve"> </w:t>
            </w:r>
          </w:p>
          <w:p w14:paraId="7139236D" w14:textId="41712BA9" w:rsidR="00061F8A" w:rsidRPr="007B190B" w:rsidRDefault="00C77095" w:rsidP="0016138D">
            <w:pPr>
              <w:jc w:val="center"/>
              <w:rPr>
                <w:sz w:val="20"/>
                <w:szCs w:val="20"/>
              </w:rPr>
            </w:pPr>
            <w:r>
              <w:rPr>
                <w:sz w:val="20"/>
                <w:szCs w:val="20"/>
              </w:rPr>
              <w:t>(</w:t>
            </w:r>
            <w:r w:rsidR="00061F8A">
              <w:rPr>
                <w:sz w:val="20"/>
                <w:szCs w:val="20"/>
              </w:rPr>
              <w:t>at 7</w:t>
            </w:r>
            <w:r w:rsidR="005B72EF">
              <w:rPr>
                <w:sz w:val="20"/>
                <w:szCs w:val="20"/>
              </w:rPr>
              <w:t xml:space="preserve"> yrs</w:t>
            </w:r>
            <w:r w:rsidR="004B692A">
              <w:rPr>
                <w:sz w:val="20"/>
                <w:szCs w:val="20"/>
              </w:rPr>
              <w:t>.</w:t>
            </w:r>
            <w:r>
              <w:rPr>
                <w:sz w:val="20"/>
                <w:szCs w:val="20"/>
              </w:rPr>
              <w:t>)</w:t>
            </w:r>
          </w:p>
        </w:tc>
      </w:tr>
      <w:tr w:rsidR="00061F8A" w14:paraId="35512134" w14:textId="77777777" w:rsidTr="005B72EF">
        <w:trPr>
          <w:trHeight w:val="643"/>
          <w:jc w:val="center"/>
        </w:trPr>
        <w:tc>
          <w:tcPr>
            <w:tcW w:w="2070" w:type="dxa"/>
            <w:vAlign w:val="center"/>
          </w:tcPr>
          <w:p w14:paraId="0C077FCA" w14:textId="6E037A0B" w:rsidR="00061F8A" w:rsidRPr="0013062F" w:rsidRDefault="00061F8A" w:rsidP="005B72EF">
            <w:pPr>
              <w:rPr>
                <w:b/>
                <w:bCs/>
              </w:rPr>
            </w:pPr>
            <w:r w:rsidRPr="0013062F">
              <w:rPr>
                <w:b/>
                <w:bCs/>
              </w:rPr>
              <w:t>EDC</w:t>
            </w:r>
            <w:r w:rsidR="005B72EF" w:rsidRPr="0013062F">
              <w:rPr>
                <w:b/>
                <w:bCs/>
              </w:rPr>
              <w:t xml:space="preserve"> (Korea)</w:t>
            </w:r>
          </w:p>
          <w:p w14:paraId="5C2BE3BF" w14:textId="1A203BC7" w:rsidR="00061F8A" w:rsidRPr="00371967" w:rsidRDefault="00061F8A" w:rsidP="005B72EF">
            <w:pPr>
              <w:rPr>
                <w:sz w:val="20"/>
                <w:szCs w:val="20"/>
              </w:rPr>
            </w:pPr>
            <w:r w:rsidRPr="0013062F">
              <w:rPr>
                <w:sz w:val="20"/>
                <w:szCs w:val="20"/>
              </w:rPr>
              <w:t>Lim et al., 2017</w:t>
            </w:r>
            <w:r w:rsidR="00371967" w:rsidRPr="0013062F">
              <w:rPr>
                <w:sz w:val="20"/>
                <w:szCs w:val="20"/>
              </w:rPr>
              <w:t xml:space="preserve"> </w:t>
            </w:r>
            <w:r w:rsidR="00371967">
              <w:rPr>
                <w:sz w:val="20"/>
                <w:szCs w:val="20"/>
              </w:rPr>
              <w:fldChar w:fldCharType="begin" w:fldLock="1"/>
            </w:r>
            <w:r w:rsidR="004207B1" w:rsidRPr="0013062F">
              <w:rPr>
                <w:sz w:val="20"/>
                <w:szCs w:val="20"/>
              </w:rPr>
              <w:instrText>ADDIN CSL_CITATION {"citationItems":[{"id":"ITEM-1","itemData":{"DOI":"10.1186/s12940-017-0289-2","ISSN":"1476-069X","PMID":"28747197","abstract":"BACKGROUND Prenatal and postnatal exposure to bisphenol A (BPA) may affect early brain development. Rodent studies suggest that prenatal and postnatal neurodevelopmental toxicity from BPA exposure may manifest as social deficits in offspring. We investigated the association between prenatal and postnatal exposure to BPA and social impairments in a sample of 4-year-old children. METHODS We recruited second-trimester pregnant women between 2008 and 2011, and measured their creatinine-adjusted prenatal urine BPA levels. In 2014-2015, a subset of 4-year-old children born to these women underwent neurobehavioral assessment and physical examination. We collected urine and blood from the children and assessed social impairments, including deficits in social interaction, social communication, and other behavior patterns using the Korean version of the Social Communication Questionnaire (K-SCQ) (n = 304). We examined social impairments associated with prenatal exposure at mid-term pregnancy and postnatal exposure to BPA at 4 years of age, using linear and piecewise linear regression models. RESULTS The relationship between prenatal BPA exposure and social communication was non-linear and statistically significant at or ab</w:instrText>
            </w:r>
            <w:r w:rsidR="004207B1" w:rsidRPr="0013062F">
              <w:rPr>
                <w:sz w:val="20"/>
                <w:szCs w:val="20"/>
                <w:lang w:val="es-ES"/>
              </w:rPr>
              <w:instrText>ove the flexion point for BPA levels of 3.0 </w:instrText>
            </w:r>
            <w:r w:rsidR="004207B1">
              <w:rPr>
                <w:sz w:val="20"/>
                <w:szCs w:val="20"/>
              </w:rPr>
              <w:instrText>μ</w:instrText>
            </w:r>
            <w:r w:rsidR="004207B1" w:rsidRPr="0013062F">
              <w:rPr>
                <w:sz w:val="20"/>
                <w:szCs w:val="20"/>
                <w:lang w:val="es-ES"/>
              </w:rPr>
              <w:instrText xml:space="preserve">g/g creatinine in girls (58.4%, 95% confidence interval [CI], 6.5% to 135.8%). Each 2-fold increase in postnatal BPA exposure was significantly associated with an 11.8% (95% CI, 0.6% to 24.3%) increase in impairment in social communication in 4-year old girls, as indicated by the linear regression model. CONCLUSION Prenatal and postnatal BPA exposure is associated </w:instrText>
            </w:r>
            <w:r w:rsidR="004207B1" w:rsidRPr="0013062F">
              <w:rPr>
                <w:sz w:val="20"/>
                <w:szCs w:val="20"/>
              </w:rPr>
              <w:instrText>with social impairment at 4 years of age, particularly in girls.","author":[{"dropping-particle":"","family":"Lim","given":"Youn-Hee","non-dropping-particle":"","parse-names":false,"suffix":""},{"dropping-particle":"","family":"Bae","given":"Sanghyuk","non-dropping-particle":"","parse-names":false,"suffix":""},{"dropping-particle":"","family":"Kim","given":"Bung-Nyun","non-dropping-particle":"","parse-names":false,"suffix":""},{"dropping-particle":"","family":"Shin","given":"Choong Ho","non-dropping-particle":"","parse-names":false,"suffix":""},{"dropping-particle":"","family":"Lee","given":"Young Ah","non-dropping-particle":"","parse-names":false,"suffix":""},{"dropping-particle":"","family":"Kim","given":"Johanna Inhyang","non-dropping-particle":"","parse-names":false,"suffix":""},{"dropping-particle":"","family":"Hong","given":"Yun-Chul","non-dropping-particle":"","parse-names":false,"suffix":""}],"container-title":"Environmental Health","id":"ITEM-1","issue":"1","issued":{"date-parts":[["2017","12","26"]]},"page":"79","title":"Prenatal and postnatal bisphenol A exposure and social impairment in 4-year-old children","type":"article-journal","volume":"16"},"uris":["http:</w:instrText>
            </w:r>
            <w:r w:rsidR="004207B1">
              <w:rPr>
                <w:sz w:val="20"/>
                <w:szCs w:val="20"/>
              </w:rPr>
              <w:instrText>//www.mendeley.com/documents/?uuid=d558ae56-31d0-3c12-babf-43d114ca90a9"]}],"mendeley":{"formattedCitation":"[14]","plainTextFormattedCitation":"[14]","previouslyFormattedCitation":"[13]"},"properties":{"noteIndex":0},"schema":"https://github.com/citation-style-language/schema/raw/master/csl-citation.json"}</w:instrText>
            </w:r>
            <w:r w:rsidR="00371967">
              <w:rPr>
                <w:sz w:val="20"/>
                <w:szCs w:val="20"/>
              </w:rPr>
              <w:fldChar w:fldCharType="separate"/>
            </w:r>
            <w:r w:rsidR="004207B1" w:rsidRPr="004207B1">
              <w:rPr>
                <w:noProof/>
                <w:sz w:val="20"/>
                <w:szCs w:val="20"/>
              </w:rPr>
              <w:t>[14]</w:t>
            </w:r>
            <w:r w:rsidR="00371967">
              <w:rPr>
                <w:sz w:val="20"/>
                <w:szCs w:val="20"/>
              </w:rPr>
              <w:fldChar w:fldCharType="end"/>
            </w:r>
          </w:p>
        </w:tc>
        <w:tc>
          <w:tcPr>
            <w:tcW w:w="990" w:type="dxa"/>
            <w:vAlign w:val="center"/>
          </w:tcPr>
          <w:p w14:paraId="1ACCF16D" w14:textId="3E6B0740" w:rsidR="00061F8A" w:rsidRPr="00047EE8" w:rsidRDefault="00061F8A" w:rsidP="007A64D9">
            <w:pPr>
              <w:jc w:val="center"/>
              <w:rPr>
                <w:sz w:val="20"/>
                <w:szCs w:val="20"/>
              </w:rPr>
            </w:pPr>
            <w:r>
              <w:rPr>
                <w:sz w:val="20"/>
                <w:szCs w:val="20"/>
              </w:rPr>
              <w:t>304</w:t>
            </w:r>
          </w:p>
        </w:tc>
        <w:tc>
          <w:tcPr>
            <w:tcW w:w="1665" w:type="dxa"/>
            <w:vAlign w:val="center"/>
          </w:tcPr>
          <w:p w14:paraId="4356B0AC" w14:textId="138AA422" w:rsidR="00061F8A" w:rsidRPr="00047EE8" w:rsidRDefault="00061F8A" w:rsidP="007A64D9">
            <w:pPr>
              <w:jc w:val="center"/>
              <w:rPr>
                <w:sz w:val="20"/>
                <w:szCs w:val="20"/>
              </w:rPr>
            </w:pPr>
            <w:r>
              <w:rPr>
                <w:sz w:val="20"/>
                <w:szCs w:val="20"/>
              </w:rPr>
              <w:t>1 (gestation week</w:t>
            </w:r>
            <w:r w:rsidR="00A52377">
              <w:rPr>
                <w:sz w:val="20"/>
                <w:szCs w:val="20"/>
              </w:rPr>
              <w:t xml:space="preserve"> 20</w:t>
            </w:r>
            <w:r w:rsidR="00A52377" w:rsidRPr="00A52377">
              <w:rPr>
                <w:sz w:val="20"/>
                <w:szCs w:val="20"/>
                <w:vertAlign w:val="superscript"/>
              </w:rPr>
              <w:t>th</w:t>
            </w:r>
            <w:r>
              <w:rPr>
                <w:sz w:val="20"/>
                <w:szCs w:val="20"/>
              </w:rPr>
              <w:t>)</w:t>
            </w:r>
          </w:p>
        </w:tc>
        <w:tc>
          <w:tcPr>
            <w:tcW w:w="1665" w:type="dxa"/>
            <w:vAlign w:val="center"/>
          </w:tcPr>
          <w:p w14:paraId="648286A2" w14:textId="02FCB96B" w:rsidR="00061F8A" w:rsidRPr="00047EE8" w:rsidRDefault="00061F8A" w:rsidP="007A64D9">
            <w:pPr>
              <w:jc w:val="center"/>
              <w:rPr>
                <w:sz w:val="20"/>
                <w:szCs w:val="20"/>
              </w:rPr>
            </w:pPr>
            <w:r>
              <w:rPr>
                <w:sz w:val="20"/>
                <w:szCs w:val="20"/>
              </w:rPr>
              <w:t>1 (at 4 yrs</w:t>
            </w:r>
            <w:r w:rsidR="004B692A">
              <w:rPr>
                <w:sz w:val="20"/>
                <w:szCs w:val="20"/>
              </w:rPr>
              <w:t>.</w:t>
            </w:r>
            <w:r>
              <w:rPr>
                <w:sz w:val="20"/>
                <w:szCs w:val="20"/>
              </w:rPr>
              <w:t>)</w:t>
            </w:r>
          </w:p>
        </w:tc>
        <w:tc>
          <w:tcPr>
            <w:tcW w:w="1429" w:type="dxa"/>
            <w:vAlign w:val="center"/>
          </w:tcPr>
          <w:p w14:paraId="66DA559D" w14:textId="77777777" w:rsidR="00061F8A" w:rsidRDefault="00061F8A" w:rsidP="007A64D9">
            <w:pPr>
              <w:jc w:val="center"/>
              <w:rPr>
                <w:sz w:val="20"/>
                <w:szCs w:val="20"/>
              </w:rPr>
            </w:pPr>
            <w:r>
              <w:rPr>
                <w:sz w:val="20"/>
                <w:szCs w:val="20"/>
              </w:rPr>
              <w:t xml:space="preserve">Yes </w:t>
            </w:r>
          </w:p>
          <w:p w14:paraId="6FC49AA9" w14:textId="04BC5FEE" w:rsidR="00061F8A" w:rsidRPr="00047EE8" w:rsidRDefault="00061F8A" w:rsidP="007A64D9">
            <w:pPr>
              <w:jc w:val="center"/>
              <w:rPr>
                <w:sz w:val="20"/>
                <w:szCs w:val="20"/>
              </w:rPr>
            </w:pPr>
            <w:r>
              <w:rPr>
                <w:sz w:val="20"/>
                <w:szCs w:val="20"/>
              </w:rPr>
              <w:t>(at 4</w:t>
            </w:r>
            <w:r w:rsidR="005B72EF">
              <w:rPr>
                <w:sz w:val="20"/>
                <w:szCs w:val="20"/>
              </w:rPr>
              <w:t xml:space="preserve"> yrs</w:t>
            </w:r>
            <w:r w:rsidR="004B692A">
              <w:rPr>
                <w:sz w:val="20"/>
                <w:szCs w:val="20"/>
              </w:rPr>
              <w:t>.</w:t>
            </w:r>
            <w:r>
              <w:rPr>
                <w:sz w:val="20"/>
                <w:szCs w:val="20"/>
              </w:rPr>
              <w:t>)</w:t>
            </w:r>
          </w:p>
        </w:tc>
        <w:tc>
          <w:tcPr>
            <w:tcW w:w="1494" w:type="dxa"/>
            <w:vAlign w:val="center"/>
          </w:tcPr>
          <w:p w14:paraId="0988D808" w14:textId="77777777" w:rsidR="00061F8A" w:rsidRDefault="00061F8A" w:rsidP="007A64D9">
            <w:pPr>
              <w:jc w:val="center"/>
              <w:rPr>
                <w:sz w:val="20"/>
                <w:szCs w:val="20"/>
              </w:rPr>
            </w:pPr>
            <w:r>
              <w:rPr>
                <w:sz w:val="20"/>
                <w:szCs w:val="20"/>
              </w:rPr>
              <w:t>Yes</w:t>
            </w:r>
          </w:p>
          <w:p w14:paraId="646E3FFA" w14:textId="2DA4C0FF" w:rsidR="00C77095" w:rsidRPr="00047EE8" w:rsidRDefault="00C77095" w:rsidP="007A64D9">
            <w:pPr>
              <w:jc w:val="center"/>
              <w:rPr>
                <w:sz w:val="20"/>
                <w:szCs w:val="20"/>
              </w:rPr>
            </w:pPr>
            <w:r>
              <w:rPr>
                <w:sz w:val="20"/>
                <w:szCs w:val="20"/>
              </w:rPr>
              <w:t>(at 4</w:t>
            </w:r>
            <w:r w:rsidR="005B72EF">
              <w:rPr>
                <w:sz w:val="20"/>
                <w:szCs w:val="20"/>
              </w:rPr>
              <w:t xml:space="preserve"> yrs</w:t>
            </w:r>
            <w:r w:rsidR="004B692A">
              <w:rPr>
                <w:sz w:val="20"/>
                <w:szCs w:val="20"/>
              </w:rPr>
              <w:t>.</w:t>
            </w:r>
            <w:r>
              <w:rPr>
                <w:sz w:val="20"/>
                <w:szCs w:val="20"/>
              </w:rPr>
              <w:t>)</w:t>
            </w:r>
          </w:p>
        </w:tc>
      </w:tr>
      <w:tr w:rsidR="00061F8A" w14:paraId="0A304CB4" w14:textId="77777777" w:rsidTr="005B72EF">
        <w:trPr>
          <w:trHeight w:val="706"/>
          <w:jc w:val="center"/>
        </w:trPr>
        <w:tc>
          <w:tcPr>
            <w:tcW w:w="2070" w:type="dxa"/>
            <w:vAlign w:val="center"/>
          </w:tcPr>
          <w:p w14:paraId="70572BA0" w14:textId="061EE1DD" w:rsidR="00061F8A" w:rsidRPr="0013062F" w:rsidRDefault="00061F8A" w:rsidP="005B72EF">
            <w:pPr>
              <w:rPr>
                <w:b/>
                <w:bCs/>
                <w:sz w:val="20"/>
                <w:szCs w:val="20"/>
              </w:rPr>
            </w:pPr>
            <w:proofErr w:type="spellStart"/>
            <w:r w:rsidRPr="0013062F">
              <w:rPr>
                <w:b/>
                <w:bCs/>
                <w:sz w:val="20"/>
                <w:szCs w:val="20"/>
              </w:rPr>
              <w:t>A</w:t>
            </w:r>
            <w:r w:rsidR="005B72EF" w:rsidRPr="0013062F">
              <w:rPr>
                <w:b/>
                <w:bCs/>
                <w:sz w:val="20"/>
                <w:szCs w:val="20"/>
              </w:rPr>
              <w:t>P</w:t>
            </w:r>
            <w:r w:rsidRPr="0013062F">
              <w:rPr>
                <w:b/>
                <w:bCs/>
                <w:sz w:val="20"/>
                <w:szCs w:val="20"/>
              </w:rPr>
              <w:t>rON</w:t>
            </w:r>
            <w:proofErr w:type="spellEnd"/>
            <w:r w:rsidR="005B72EF" w:rsidRPr="0013062F">
              <w:rPr>
                <w:b/>
                <w:bCs/>
                <w:sz w:val="20"/>
                <w:szCs w:val="20"/>
              </w:rPr>
              <w:t xml:space="preserve"> (Canada)</w:t>
            </w:r>
          </w:p>
          <w:p w14:paraId="3AD7FE67" w14:textId="61532122" w:rsidR="00061F8A" w:rsidRPr="007B190B" w:rsidRDefault="00061F8A" w:rsidP="005B72EF">
            <w:pPr>
              <w:rPr>
                <w:sz w:val="20"/>
                <w:szCs w:val="20"/>
              </w:rPr>
            </w:pPr>
            <w:proofErr w:type="spellStart"/>
            <w:r w:rsidRPr="0013062F">
              <w:rPr>
                <w:sz w:val="20"/>
                <w:szCs w:val="20"/>
              </w:rPr>
              <w:t>Grohs</w:t>
            </w:r>
            <w:proofErr w:type="spellEnd"/>
            <w:r w:rsidRPr="0013062F">
              <w:rPr>
                <w:sz w:val="20"/>
                <w:szCs w:val="20"/>
              </w:rPr>
              <w:t xml:space="preserve"> et al., 2019</w:t>
            </w:r>
            <w:r w:rsidR="00371967" w:rsidRPr="0013062F">
              <w:rPr>
                <w:sz w:val="20"/>
                <w:szCs w:val="20"/>
              </w:rPr>
              <w:t xml:space="preserve"> </w:t>
            </w:r>
            <w:r w:rsidR="00371967">
              <w:rPr>
                <w:sz w:val="20"/>
                <w:szCs w:val="20"/>
              </w:rPr>
              <w:fldChar w:fldCharType="begin" w:fldLock="1"/>
            </w:r>
            <w:r w:rsidR="004207B1" w:rsidRPr="0013062F">
              <w:rPr>
                <w:sz w:val="20"/>
                <w:szCs w:val="20"/>
              </w:rPr>
              <w:instrText>ADDIN CSL_CITATION {"citationItems":[{"id":"ITEM-1","itemData":{"DOI":"10.1186/s12940-019-0528-9","ISSN":"1476-069X","PMID":"31615514","abstract":"BACKGROUND Bisphenol A (BPA) is commonly used in the manufacture of plastics and epoxy resins. In North America, over 90% of the population has detectable levels of urinary BPA. Human epidemiological studies have reported adverse behavioral outcomes with BPA exposure in children, however, corresponding effects on children's brain structure have not yet been investigated. The current study examined the association between prenatal maternal and childhood BPA exposure and white matter microstructure in children aged 2 to 5 years, and investigated whether brain structure mediated the association between BPA exposure and child behavior. METHODS Participants were 98 mother-child pairs who were recruited between January 2009 and December 2012. Total BPA concentrations in spot urine samples obtained from mothers in the second trimester of pregnancy and from children at 3-4 years of age were analyzed. Children participated in a diffusion magnetic resonance imaging (MRI) scan at age 2-5 years (3.7 ± 0.8 years). Associations between prenatal maternal and childhood BPA and children's fractional anisotropy and mean diffusivity of 10 isolated white matter tracts were investigated, controlling for urinary creatinine, child sex, and</w:instrText>
            </w:r>
            <w:r w:rsidR="004207B1" w:rsidRPr="0013062F">
              <w:rPr>
                <w:sz w:val="20"/>
                <w:szCs w:val="20"/>
                <w:lang w:val="es-ES"/>
              </w:rPr>
              <w:instrText xml:space="preserve"> age at the time of MRI. Post-hoc analyses examined if alterations in white matter mediated the relationship of BPA and children's scores on the Child Behavior Checklist (CBCL). RESULTS Prenatal maternal urinary BPA was significantly associated with child mean diffusivity in the splenium and right inferior longitudinal fasciculus. Splenium diffusivity mediated the relationship between maternal prenatal BPA levels and children's internalizing behavior (indirect effect: </w:instrText>
            </w:r>
            <w:r w:rsidR="004207B1">
              <w:rPr>
                <w:sz w:val="20"/>
                <w:szCs w:val="20"/>
              </w:rPr>
              <w:instrText>β</w:instrText>
            </w:r>
            <w:r w:rsidR="004207B1" w:rsidRPr="0013062F">
              <w:rPr>
                <w:sz w:val="20"/>
                <w:szCs w:val="20"/>
                <w:lang w:val="es-ES"/>
              </w:rPr>
              <w:instrText> = 0.213, CI [0.0167, 0.564]). No significant associations were found between childhood BPA and white matter microstructure. CONCLUSIONS This study provides preliminary evidence for the neural correlates of BPA exposure in humans. Our findings suggest that prenatal maternal exposure to BPA may lead to alterations in white matter microstructure in preschool aged children, and that such alterations mediate the relationship between early life exposure to BPA and internalizing problems.","author":[{"dropping-particle":"","family":"Grohs","given":"Melody N","non-dropping-particle":"","parse-names":false,"suffix":""},{"dropping-pa</w:instrText>
            </w:r>
            <w:r w:rsidR="004207B1" w:rsidRPr="00D34DEE">
              <w:rPr>
                <w:sz w:val="20"/>
                <w:szCs w:val="20"/>
              </w:rPr>
              <w:instrText>rticle":"","family":"Reynolds","given":"Jess E","non-dropping-particle":"","parse-names":false,"suffix":""},{"dropping-particle":"","family":"Liu","given":"Jiaying","non-dropping-particle":"","parse-names":false,"suffix":""},{"dropping-particle":"","family":"Martin","given":"Jonathan W","non-dropping-particle":"","parse-names":false,"suffix":""},{"dropping-particle":"","family":"Pollock","given":"Tyler","non-dropping-particle":"","parse-names":false,"suffix":""},{"dropping-particle":"",</w:instrText>
            </w:r>
            <w:r w:rsidR="004207B1">
              <w:rPr>
                <w:sz w:val="20"/>
                <w:szCs w:val="20"/>
              </w:rPr>
              <w:instrText>"family":"Lebel","given":"Catherine","non-dropping-particle":"","parse-names":false,"suffix":""},{"dropping-particle":"","family":"Dewey","given":"Deborah","non-dropping-particle":"","parse-names":false,"suffix":""},{"dropping-particle":"","family":"APrON Study Team","given":"","non-dropping-particle":"","parse-names":false,"suffix":""}],"container-title":"Environmental health : a global access science source","id":"ITEM-1","issue":"1","issued":{"date-parts":[["2019","10","15"]]},"page":"85","publisher":"BioMed Central Ltd.","title":"Prenatal maternal and childhood bisphenol a exposure and brain structure and behavior of young children.","type":"article-journal","volume":"18"},"uris":["http://www.mendeley.com/documents/?uuid=fe77833e-1b5e-3857-849c-3bb5663bf14b"]}],"mendeley":{"formattedCitation":"[17]","plainTextFormattedCitation":"[17]","previouslyFormattedCitation":"[16]"},"properties":{"noteIndex":0},"schema":"https://github.com/citation-style-language/schema/raw/master/csl-citation.json"}</w:instrText>
            </w:r>
            <w:r w:rsidR="00371967">
              <w:rPr>
                <w:sz w:val="20"/>
                <w:szCs w:val="20"/>
              </w:rPr>
              <w:fldChar w:fldCharType="separate"/>
            </w:r>
            <w:r w:rsidR="004207B1" w:rsidRPr="004207B1">
              <w:rPr>
                <w:noProof/>
                <w:sz w:val="20"/>
                <w:szCs w:val="20"/>
              </w:rPr>
              <w:t>[17]</w:t>
            </w:r>
            <w:r w:rsidR="00371967">
              <w:rPr>
                <w:sz w:val="20"/>
                <w:szCs w:val="20"/>
              </w:rPr>
              <w:fldChar w:fldCharType="end"/>
            </w:r>
          </w:p>
        </w:tc>
        <w:tc>
          <w:tcPr>
            <w:tcW w:w="990" w:type="dxa"/>
            <w:vAlign w:val="center"/>
          </w:tcPr>
          <w:p w14:paraId="0B479ACD" w14:textId="69895E51" w:rsidR="00061F8A" w:rsidRPr="007B190B" w:rsidRDefault="004C0C5A" w:rsidP="007A64D9">
            <w:pPr>
              <w:jc w:val="center"/>
              <w:rPr>
                <w:sz w:val="20"/>
                <w:szCs w:val="20"/>
              </w:rPr>
            </w:pPr>
            <w:r>
              <w:rPr>
                <w:sz w:val="20"/>
                <w:szCs w:val="20"/>
              </w:rPr>
              <w:t>98</w:t>
            </w:r>
          </w:p>
        </w:tc>
        <w:tc>
          <w:tcPr>
            <w:tcW w:w="1665" w:type="dxa"/>
            <w:vAlign w:val="center"/>
          </w:tcPr>
          <w:p w14:paraId="550A54BB" w14:textId="37D793D7" w:rsidR="00061F8A" w:rsidRPr="007B190B" w:rsidRDefault="00061F8A" w:rsidP="007A64D9">
            <w:pPr>
              <w:jc w:val="center"/>
              <w:rPr>
                <w:sz w:val="20"/>
                <w:szCs w:val="20"/>
              </w:rPr>
            </w:pPr>
            <w:r w:rsidRPr="007B190B">
              <w:rPr>
                <w:sz w:val="20"/>
                <w:szCs w:val="20"/>
              </w:rPr>
              <w:t>1 (gestation week</w:t>
            </w:r>
            <w:r w:rsidR="00A52377">
              <w:rPr>
                <w:sz w:val="20"/>
                <w:szCs w:val="20"/>
              </w:rPr>
              <w:t xml:space="preserve"> 17</w:t>
            </w:r>
            <w:r w:rsidR="00A52377" w:rsidRPr="00A52377">
              <w:rPr>
                <w:sz w:val="20"/>
                <w:szCs w:val="20"/>
                <w:vertAlign w:val="superscript"/>
              </w:rPr>
              <w:t>th</w:t>
            </w:r>
            <w:r w:rsidRPr="007B190B">
              <w:rPr>
                <w:sz w:val="20"/>
                <w:szCs w:val="20"/>
              </w:rPr>
              <w:t>)</w:t>
            </w:r>
          </w:p>
        </w:tc>
        <w:tc>
          <w:tcPr>
            <w:tcW w:w="1665" w:type="dxa"/>
            <w:vAlign w:val="center"/>
          </w:tcPr>
          <w:p w14:paraId="61D5A116" w14:textId="3461EA61" w:rsidR="00061F8A" w:rsidRPr="007B190B" w:rsidRDefault="00061F8A" w:rsidP="007A64D9">
            <w:pPr>
              <w:jc w:val="center"/>
              <w:rPr>
                <w:sz w:val="20"/>
                <w:szCs w:val="20"/>
              </w:rPr>
            </w:pPr>
            <w:r w:rsidRPr="007B190B">
              <w:rPr>
                <w:sz w:val="20"/>
                <w:szCs w:val="20"/>
              </w:rPr>
              <w:t xml:space="preserve">1 (at </w:t>
            </w:r>
            <w:r>
              <w:rPr>
                <w:sz w:val="20"/>
                <w:szCs w:val="20"/>
              </w:rPr>
              <w:t>3-4 yrs</w:t>
            </w:r>
            <w:r w:rsidR="004B692A">
              <w:rPr>
                <w:sz w:val="20"/>
                <w:szCs w:val="20"/>
              </w:rPr>
              <w:t>.</w:t>
            </w:r>
            <w:r>
              <w:rPr>
                <w:sz w:val="20"/>
                <w:szCs w:val="20"/>
              </w:rPr>
              <w:t>)</w:t>
            </w:r>
          </w:p>
        </w:tc>
        <w:tc>
          <w:tcPr>
            <w:tcW w:w="1429" w:type="dxa"/>
            <w:vAlign w:val="center"/>
          </w:tcPr>
          <w:p w14:paraId="3D8AA0C0" w14:textId="77777777" w:rsidR="00061F8A" w:rsidRDefault="00061F8A" w:rsidP="007A64D9">
            <w:pPr>
              <w:jc w:val="center"/>
              <w:rPr>
                <w:sz w:val="20"/>
                <w:szCs w:val="20"/>
              </w:rPr>
            </w:pPr>
            <w:r w:rsidRPr="007B190B">
              <w:rPr>
                <w:sz w:val="20"/>
                <w:szCs w:val="20"/>
              </w:rPr>
              <w:t>Yes</w:t>
            </w:r>
          </w:p>
          <w:p w14:paraId="086174DC" w14:textId="2B696109" w:rsidR="00061F8A" w:rsidRPr="007B190B" w:rsidRDefault="00061F8A" w:rsidP="007A64D9">
            <w:pPr>
              <w:jc w:val="center"/>
              <w:rPr>
                <w:sz w:val="20"/>
                <w:szCs w:val="20"/>
              </w:rPr>
            </w:pPr>
            <w:r>
              <w:rPr>
                <w:sz w:val="20"/>
                <w:szCs w:val="20"/>
              </w:rPr>
              <w:t>(at 2-5</w:t>
            </w:r>
            <w:r w:rsidR="005B72EF">
              <w:rPr>
                <w:sz w:val="20"/>
                <w:szCs w:val="20"/>
              </w:rPr>
              <w:t xml:space="preserve"> yrs</w:t>
            </w:r>
            <w:r w:rsidR="004B692A">
              <w:rPr>
                <w:sz w:val="20"/>
                <w:szCs w:val="20"/>
              </w:rPr>
              <w:t>.</w:t>
            </w:r>
            <w:r>
              <w:rPr>
                <w:sz w:val="20"/>
                <w:szCs w:val="20"/>
              </w:rPr>
              <w:t>)</w:t>
            </w:r>
          </w:p>
        </w:tc>
        <w:tc>
          <w:tcPr>
            <w:tcW w:w="1494" w:type="dxa"/>
            <w:vAlign w:val="center"/>
          </w:tcPr>
          <w:p w14:paraId="01E7C0AC" w14:textId="77777777" w:rsidR="00061F8A" w:rsidRDefault="00061F8A" w:rsidP="007A64D9">
            <w:pPr>
              <w:jc w:val="center"/>
              <w:rPr>
                <w:sz w:val="20"/>
                <w:szCs w:val="20"/>
              </w:rPr>
            </w:pPr>
            <w:r w:rsidRPr="007B190B">
              <w:rPr>
                <w:sz w:val="20"/>
                <w:szCs w:val="20"/>
              </w:rPr>
              <w:t>No</w:t>
            </w:r>
          </w:p>
          <w:p w14:paraId="1DCCD71E" w14:textId="248CBEDF" w:rsidR="00C77095" w:rsidRPr="007B190B" w:rsidRDefault="00C77095" w:rsidP="007A64D9">
            <w:pPr>
              <w:jc w:val="center"/>
              <w:rPr>
                <w:sz w:val="20"/>
                <w:szCs w:val="20"/>
              </w:rPr>
            </w:pPr>
            <w:r>
              <w:rPr>
                <w:sz w:val="20"/>
                <w:szCs w:val="20"/>
              </w:rPr>
              <w:t>(at 3-5</w:t>
            </w:r>
            <w:r w:rsidR="005B72EF">
              <w:rPr>
                <w:sz w:val="20"/>
                <w:szCs w:val="20"/>
              </w:rPr>
              <w:t xml:space="preserve"> yrs</w:t>
            </w:r>
            <w:r w:rsidR="004B692A">
              <w:rPr>
                <w:sz w:val="20"/>
                <w:szCs w:val="20"/>
              </w:rPr>
              <w:t>.</w:t>
            </w:r>
            <w:r>
              <w:rPr>
                <w:sz w:val="20"/>
                <w:szCs w:val="20"/>
              </w:rPr>
              <w:t>)</w:t>
            </w:r>
          </w:p>
        </w:tc>
      </w:tr>
    </w:tbl>
    <w:p w14:paraId="48A7AF34" w14:textId="2318775B" w:rsidR="009537EE" w:rsidRPr="002B28D8" w:rsidRDefault="000777B6" w:rsidP="004B692A">
      <w:pPr>
        <w:ind w:left="-340" w:right="-340"/>
        <w:rPr>
          <w:i/>
          <w:iCs/>
        </w:rPr>
      </w:pPr>
      <w:r w:rsidRPr="00FD1D3C">
        <w:rPr>
          <w:i/>
          <w:iCs/>
        </w:rPr>
        <w:t xml:space="preserve">*A p-value </w:t>
      </w:r>
      <w:r w:rsidRPr="00FD1D3C">
        <w:rPr>
          <w:rFonts w:cstheme="minorHAnsi"/>
          <w:i/>
          <w:iCs/>
        </w:rPr>
        <w:t xml:space="preserve">≤ </w:t>
      </w:r>
      <w:r w:rsidRPr="00FD1D3C">
        <w:rPr>
          <w:i/>
          <w:iCs/>
        </w:rPr>
        <w:t>0.05 defined the existence of an association. However, other parameters such as the internal validity of associations w</w:t>
      </w:r>
      <w:r w:rsidR="00803C29">
        <w:rPr>
          <w:i/>
          <w:iCs/>
        </w:rPr>
        <w:t>ere</w:t>
      </w:r>
      <w:r w:rsidRPr="00FD1D3C">
        <w:rPr>
          <w:i/>
          <w:iCs/>
        </w:rPr>
        <w:t xml:space="preserve"> also considered. </w:t>
      </w:r>
      <w:proofErr w:type="spellStart"/>
      <w:r w:rsidR="009537EE" w:rsidRPr="00FD1D3C">
        <w:rPr>
          <w:i/>
          <w:iCs/>
        </w:rPr>
        <w:t>APrON</w:t>
      </w:r>
      <w:proofErr w:type="spellEnd"/>
      <w:r w:rsidR="009537EE" w:rsidRPr="00FD1D3C">
        <w:rPr>
          <w:i/>
          <w:iCs/>
        </w:rPr>
        <w:t xml:space="preserve"> </w:t>
      </w:r>
      <w:r w:rsidR="009537EE">
        <w:rPr>
          <w:i/>
          <w:iCs/>
        </w:rPr>
        <w:t>(</w:t>
      </w:r>
      <w:r w:rsidR="009537EE" w:rsidRPr="002B28D8">
        <w:rPr>
          <w:i/>
          <w:iCs/>
        </w:rPr>
        <w:t>Alberta Pregnancy Outcomes and</w:t>
      </w:r>
      <w:r w:rsidR="009537EE">
        <w:rPr>
          <w:i/>
          <w:iCs/>
        </w:rPr>
        <w:t xml:space="preserve"> </w:t>
      </w:r>
      <w:r w:rsidR="009537EE" w:rsidRPr="002B28D8">
        <w:rPr>
          <w:i/>
          <w:iCs/>
        </w:rPr>
        <w:t>Nutrition</w:t>
      </w:r>
      <w:r w:rsidR="009537EE">
        <w:rPr>
          <w:i/>
          <w:iCs/>
        </w:rPr>
        <w:t xml:space="preserve">); </w:t>
      </w:r>
      <w:r w:rsidR="009537EE" w:rsidRPr="002B28D8">
        <w:rPr>
          <w:i/>
          <w:iCs/>
        </w:rPr>
        <w:t>CHAMACOS (Center for the Health Assessment of Mothers and Children of Salinas); CCCEH (Columbia Center for Children’s Environmental Health); EDC (Environment and Development of Children); HOME (Health Outcomes and Measures of the Environment Study)</w:t>
      </w:r>
      <w:r w:rsidR="009537EE">
        <w:rPr>
          <w:i/>
          <w:iCs/>
        </w:rPr>
        <w:t>.</w:t>
      </w:r>
    </w:p>
    <w:p w14:paraId="1C828997" w14:textId="56E52D56" w:rsidR="004C0C5A" w:rsidRDefault="004C0C5A"/>
    <w:p w14:paraId="536C6B01" w14:textId="482ECE20" w:rsidR="004C0C5A" w:rsidRDefault="004C0C5A"/>
    <w:p w14:paraId="46A67745" w14:textId="4160E9BF" w:rsidR="00BF70F9" w:rsidRDefault="00BF70F9"/>
    <w:p w14:paraId="3DF40E57" w14:textId="56D70428" w:rsidR="00704D35" w:rsidRDefault="00704D35"/>
    <w:p w14:paraId="11C76998" w14:textId="4F4B2089" w:rsidR="00704D35" w:rsidRDefault="00704D35"/>
    <w:p w14:paraId="102BFB2B" w14:textId="103C3237" w:rsidR="00704D35" w:rsidRDefault="00704D35"/>
    <w:p w14:paraId="349D11AC" w14:textId="74EBB9A2" w:rsidR="000E3E39" w:rsidRPr="00704D35" w:rsidRDefault="00BF70F9">
      <w:bookmarkStart w:id="1" w:name="_Hlk35599925"/>
      <w:r>
        <w:rPr>
          <w:b/>
          <w:bCs/>
        </w:rPr>
        <w:t xml:space="preserve">Supplemental </w:t>
      </w:r>
      <w:r w:rsidR="005E0751" w:rsidRPr="005E0751">
        <w:rPr>
          <w:b/>
          <w:bCs/>
        </w:rPr>
        <w:t xml:space="preserve">Table </w:t>
      </w:r>
      <w:r w:rsidR="00CD06C2">
        <w:rPr>
          <w:b/>
          <w:bCs/>
        </w:rPr>
        <w:t>3</w:t>
      </w:r>
      <w:r w:rsidR="005E0751" w:rsidRPr="005E0751">
        <w:rPr>
          <w:b/>
          <w:bCs/>
        </w:rPr>
        <w:t xml:space="preserve">. </w:t>
      </w:r>
      <w:r w:rsidR="005E0751" w:rsidRPr="00704D35">
        <w:t xml:space="preserve">Comparison of associations among the cohorts that assessed both </w:t>
      </w:r>
      <w:r w:rsidR="00FD1D3C">
        <w:t xml:space="preserve">cognitive and other </w:t>
      </w:r>
      <w:r w:rsidR="005E0751" w:rsidRPr="00704D35">
        <w:t>behavioral domain</w:t>
      </w:r>
      <w:r w:rsidR="000777B6">
        <w:t>s</w:t>
      </w:r>
      <w:r w:rsidR="005E0751" w:rsidRPr="00704D35">
        <w:t xml:space="preserve"> in relation to prenatal </w:t>
      </w:r>
      <w:r w:rsidR="00CD06C2" w:rsidRPr="00704D35">
        <w:t>and/</w:t>
      </w:r>
      <w:r w:rsidR="005E0751" w:rsidRPr="00704D35">
        <w:t>or postnatal BPA exposure.</w:t>
      </w:r>
    </w:p>
    <w:tbl>
      <w:tblPr>
        <w:tblStyle w:val="TableGrid"/>
        <w:tblW w:w="9180" w:type="dxa"/>
        <w:jc w:val="center"/>
        <w:tblLook w:val="04A0" w:firstRow="1" w:lastRow="0" w:firstColumn="1" w:lastColumn="0" w:noHBand="0" w:noVBand="1"/>
      </w:tblPr>
      <w:tblGrid>
        <w:gridCol w:w="2042"/>
        <w:gridCol w:w="936"/>
        <w:gridCol w:w="1916"/>
        <w:gridCol w:w="2404"/>
        <w:gridCol w:w="1882"/>
      </w:tblGrid>
      <w:tr w:rsidR="0013062F" w14:paraId="22895A05" w14:textId="77777777" w:rsidTr="000777B6">
        <w:trPr>
          <w:trHeight w:val="525"/>
          <w:jc w:val="center"/>
        </w:trPr>
        <w:tc>
          <w:tcPr>
            <w:tcW w:w="2515" w:type="dxa"/>
            <w:vAlign w:val="center"/>
          </w:tcPr>
          <w:bookmarkEnd w:id="1"/>
          <w:p w14:paraId="491A17FC" w14:textId="77777777" w:rsidR="00CF7295" w:rsidRPr="00D959F7" w:rsidRDefault="00CF7295" w:rsidP="00082177">
            <w:pPr>
              <w:jc w:val="center"/>
              <w:rPr>
                <w:b/>
                <w:bCs/>
                <w:sz w:val="20"/>
                <w:szCs w:val="20"/>
              </w:rPr>
            </w:pPr>
            <w:r w:rsidRPr="00D959F7">
              <w:rPr>
                <w:b/>
                <w:bCs/>
                <w:sz w:val="20"/>
                <w:szCs w:val="20"/>
              </w:rPr>
              <w:t>Cohort</w:t>
            </w:r>
          </w:p>
        </w:tc>
        <w:tc>
          <w:tcPr>
            <w:tcW w:w="990" w:type="dxa"/>
            <w:vAlign w:val="center"/>
          </w:tcPr>
          <w:p w14:paraId="0916E8E1" w14:textId="77777777" w:rsidR="00CF7295" w:rsidRPr="00D959F7" w:rsidRDefault="00CF7295" w:rsidP="00082177">
            <w:pPr>
              <w:jc w:val="center"/>
              <w:rPr>
                <w:b/>
                <w:bCs/>
                <w:sz w:val="20"/>
                <w:szCs w:val="20"/>
              </w:rPr>
            </w:pPr>
            <w:r w:rsidRPr="00D959F7">
              <w:rPr>
                <w:b/>
                <w:bCs/>
                <w:sz w:val="20"/>
                <w:szCs w:val="20"/>
              </w:rPr>
              <w:t>Sample size</w:t>
            </w:r>
          </w:p>
        </w:tc>
        <w:tc>
          <w:tcPr>
            <w:tcW w:w="1980" w:type="dxa"/>
            <w:vAlign w:val="center"/>
          </w:tcPr>
          <w:p w14:paraId="4EF0BA68" w14:textId="0839B208" w:rsidR="00CF7295" w:rsidRPr="00D959F7" w:rsidRDefault="00CF7295" w:rsidP="00082177">
            <w:pPr>
              <w:jc w:val="center"/>
              <w:rPr>
                <w:b/>
                <w:bCs/>
                <w:sz w:val="20"/>
                <w:szCs w:val="20"/>
              </w:rPr>
            </w:pPr>
            <w:r>
              <w:rPr>
                <w:b/>
                <w:bCs/>
                <w:sz w:val="20"/>
                <w:szCs w:val="20"/>
              </w:rPr>
              <w:t>Prenatal/postnatal u</w:t>
            </w:r>
            <w:r w:rsidRPr="00D959F7">
              <w:rPr>
                <w:b/>
                <w:bCs/>
                <w:sz w:val="20"/>
                <w:szCs w:val="20"/>
              </w:rPr>
              <w:t>rine sampl</w:t>
            </w:r>
            <w:r>
              <w:rPr>
                <w:b/>
                <w:bCs/>
                <w:sz w:val="20"/>
                <w:szCs w:val="20"/>
              </w:rPr>
              <w:t>e(s)</w:t>
            </w:r>
          </w:p>
        </w:tc>
        <w:tc>
          <w:tcPr>
            <w:tcW w:w="1513" w:type="dxa"/>
            <w:vAlign w:val="center"/>
          </w:tcPr>
          <w:p w14:paraId="28919390" w14:textId="509FC908" w:rsidR="00CF7295" w:rsidRPr="00FD1D3C" w:rsidRDefault="00A65D43" w:rsidP="00082177">
            <w:pPr>
              <w:jc w:val="center"/>
              <w:rPr>
                <w:b/>
                <w:bCs/>
                <w:sz w:val="20"/>
                <w:szCs w:val="20"/>
              </w:rPr>
            </w:pPr>
            <w:r w:rsidRPr="00FD1D3C">
              <w:rPr>
                <w:b/>
                <w:bCs/>
                <w:sz w:val="20"/>
                <w:szCs w:val="20"/>
              </w:rPr>
              <w:t xml:space="preserve">Associations with </w:t>
            </w:r>
            <w:r w:rsidR="0013062F" w:rsidRPr="00FD1D3C">
              <w:rPr>
                <w:b/>
                <w:bCs/>
                <w:sz w:val="20"/>
                <w:szCs w:val="20"/>
              </w:rPr>
              <w:t>externalizing/internalizing b</w:t>
            </w:r>
            <w:r w:rsidR="00CF7295" w:rsidRPr="00FD1D3C">
              <w:rPr>
                <w:b/>
                <w:bCs/>
                <w:sz w:val="20"/>
                <w:szCs w:val="20"/>
              </w:rPr>
              <w:t>ehavior</w:t>
            </w:r>
            <w:r w:rsidR="0013062F" w:rsidRPr="00FD1D3C">
              <w:rPr>
                <w:b/>
                <w:bCs/>
                <w:sz w:val="20"/>
                <w:szCs w:val="20"/>
              </w:rPr>
              <w:t>s</w:t>
            </w:r>
            <w:r w:rsidR="000777B6" w:rsidRPr="00FD1D3C">
              <w:rPr>
                <w:b/>
                <w:bCs/>
                <w:sz w:val="20"/>
                <w:szCs w:val="20"/>
              </w:rPr>
              <w:t>*</w:t>
            </w:r>
          </w:p>
        </w:tc>
        <w:tc>
          <w:tcPr>
            <w:tcW w:w="2182" w:type="dxa"/>
            <w:vAlign w:val="center"/>
          </w:tcPr>
          <w:p w14:paraId="73D6C723" w14:textId="210E9B1E" w:rsidR="00CF7295" w:rsidRPr="00FD1D3C" w:rsidRDefault="00A65D43" w:rsidP="00082177">
            <w:pPr>
              <w:jc w:val="center"/>
              <w:rPr>
                <w:b/>
                <w:bCs/>
                <w:sz w:val="20"/>
                <w:szCs w:val="20"/>
              </w:rPr>
            </w:pPr>
            <w:r w:rsidRPr="00FD1D3C">
              <w:rPr>
                <w:b/>
                <w:bCs/>
                <w:sz w:val="20"/>
                <w:szCs w:val="20"/>
              </w:rPr>
              <w:t xml:space="preserve">Associations with </w:t>
            </w:r>
            <w:r w:rsidR="008D2E47">
              <w:rPr>
                <w:b/>
                <w:bCs/>
                <w:sz w:val="20"/>
                <w:szCs w:val="20"/>
              </w:rPr>
              <w:t>c</w:t>
            </w:r>
            <w:r w:rsidR="00CF7295" w:rsidRPr="00FD1D3C">
              <w:rPr>
                <w:b/>
                <w:bCs/>
                <w:sz w:val="20"/>
                <w:szCs w:val="20"/>
              </w:rPr>
              <w:t>ogniti</w:t>
            </w:r>
            <w:r w:rsidRPr="00FD1D3C">
              <w:rPr>
                <w:b/>
                <w:bCs/>
                <w:sz w:val="20"/>
                <w:szCs w:val="20"/>
              </w:rPr>
              <w:t>on</w:t>
            </w:r>
            <w:r w:rsidR="000777B6" w:rsidRPr="00FD1D3C">
              <w:rPr>
                <w:b/>
                <w:bCs/>
                <w:sz w:val="20"/>
                <w:szCs w:val="20"/>
              </w:rPr>
              <w:t>*</w:t>
            </w:r>
          </w:p>
        </w:tc>
      </w:tr>
      <w:tr w:rsidR="0013062F" w14:paraId="0A641F5F" w14:textId="77777777" w:rsidTr="000777B6">
        <w:trPr>
          <w:trHeight w:val="605"/>
          <w:jc w:val="center"/>
        </w:trPr>
        <w:tc>
          <w:tcPr>
            <w:tcW w:w="2515" w:type="dxa"/>
            <w:vAlign w:val="center"/>
          </w:tcPr>
          <w:p w14:paraId="5D722D77" w14:textId="77777777" w:rsidR="002B21B8" w:rsidRDefault="002B21B8" w:rsidP="00131C3A">
            <w:pPr>
              <w:rPr>
                <w:b/>
                <w:bCs/>
                <w:sz w:val="20"/>
                <w:szCs w:val="20"/>
              </w:rPr>
            </w:pPr>
            <w:r w:rsidRPr="004D2B00">
              <w:rPr>
                <w:b/>
                <w:bCs/>
                <w:sz w:val="20"/>
                <w:szCs w:val="20"/>
              </w:rPr>
              <w:t>HOME</w:t>
            </w:r>
          </w:p>
          <w:p w14:paraId="501B0C18" w14:textId="1C30D88E" w:rsidR="002B21B8" w:rsidRPr="004D2B00" w:rsidRDefault="005E0751" w:rsidP="00131C3A">
            <w:pPr>
              <w:rPr>
                <w:sz w:val="20"/>
                <w:szCs w:val="20"/>
              </w:rPr>
            </w:pPr>
            <w:r>
              <w:rPr>
                <w:sz w:val="20"/>
                <w:szCs w:val="20"/>
              </w:rPr>
              <w:t>Braun et al., 2011</w:t>
            </w:r>
            <w:r w:rsidR="00371967">
              <w:rPr>
                <w:sz w:val="20"/>
                <w:szCs w:val="20"/>
              </w:rPr>
              <w:t xml:space="preserve"> </w:t>
            </w:r>
            <w:r w:rsidR="00371967">
              <w:rPr>
                <w:sz w:val="20"/>
                <w:szCs w:val="20"/>
              </w:rPr>
              <w:fldChar w:fldCharType="begin" w:fldLock="1"/>
            </w:r>
            <w:r w:rsidR="00371967">
              <w:rPr>
                <w:sz w:val="20"/>
                <w:szCs w:val="20"/>
              </w:rPr>
              <w:instrText>ADDIN CSL_CITATION {"citationItems":[{"id":"ITEM-1","itemData":{"DOI":"10.1542/peds.2011-1335","ISSN":"0031-4005","PMID":"22025598","abstract":"OBJECTIVES To estimate the impact of gestational and childhood bisphenol A (BPA) exposures on behavior and executive function at 3 years of age and to determine whether child gender modified those associations. METHODS We used a prospective birth cohort of 244 mothers and their 3-year-old children from the greater Cincinnati, Ohio, area. We characterized gestational and childhood BPA exposures by using the mean BPA concentrations in maternal (16 and 26 weeks of gestation and birth) and child (1, 2, and 3 years of age) urine samples, respectively. Behavior and executive function were measured by using the Behavior Assessment System for Children 2 (BASC-2) and the Behavior Rating Inventory of Executive Function-Preschool (BRIEF-P). RESULTS BPA was detected in &gt;97% of the gestational (median: 2.0 μg/L) and childhood (median: 4.1 μg/L) urine samples. With adjustment for confounders, each 10-fold increase in gestational BPA concentrations was associated with more anxious and depressed behavior on the BASC-2 and poorer emotional control and inhibition on the BRIEF-P. The magnitude of the gestational BPA associations differed according to child gender; BASC-2 and BRIEF-P scores increased 9 to 12 points among girls, but changes were null or negative among boys. Associations between childhood BPA exposure and neurobehavior were largely null and not modified by child gender. CONCLUSIONS In this study, gestational BPA exposure affected behavioral and emotional regulation domains at 3 years of age, especially among girls. Clinicians may advise concerned patients to reduce their exposure to certain consumer products, but the benefits of such reductions are unclear.","author":[{"dropping-particle":"","family":"Braun","given":"J. M.","non-dropping-particle":"","parse-names":false,"suffix":""},{"dropping-particle":"","family":"Kalkbrenner","given":"A. E.","non-dropping-particle":"","parse-names":false,"suffix":""},{"dropping-particle":"","family":"Calafat","given":"A. M.","non-dropping-particle":"","parse-names":false,"suffix":""},{"dropping-particle":"","family":"Yolton","given":"K.","non-dropping-particle":"","parse-names":false,"suffix":""},{"dropping-particle":"","family":"Ye","given":"X.","non-dropping-particle":"","parse-names":false,"suffix":""},{"dropping-particle":"","family":"Dietrich","given":"K. N.","non-dropping-particle":"","parse-names":false,"suffix":""},{"dropping-particle":"","family":"Lanphear","given":"B. P.","non-dropping-particle":"","parse-names":false,"suffix":""}],"container-title":"PEDIATRICS","id":"ITEM-1","issue":"5","issued":{"date-parts":[["2011","11","1"]]},"page":"873-882","title":"Impact of Early-Life Bisphenol A Exposure on Behavior and Executive Function in Children","type":"article-journal","volume":"128"},"uris":["http://www.mendeley.com/documents/?uuid=36a28392-c9cf-3e52-8dcc-7c148cb4042a"]}],"mendeley":{"formattedCitation":"[2]","plainTextFormattedCitation":"[2]","previouslyFormattedCitation":"[2]"},"properties":{"noteIndex":0},"schema":"https://github.com/citation-style-language/schema/raw/master/csl-citation.json"}</w:instrText>
            </w:r>
            <w:r w:rsidR="00371967">
              <w:rPr>
                <w:sz w:val="20"/>
                <w:szCs w:val="20"/>
              </w:rPr>
              <w:fldChar w:fldCharType="separate"/>
            </w:r>
            <w:r w:rsidR="00371967" w:rsidRPr="00371967">
              <w:rPr>
                <w:noProof/>
                <w:sz w:val="20"/>
                <w:szCs w:val="20"/>
              </w:rPr>
              <w:t>[2]</w:t>
            </w:r>
            <w:r w:rsidR="00371967">
              <w:rPr>
                <w:sz w:val="20"/>
                <w:szCs w:val="20"/>
              </w:rPr>
              <w:fldChar w:fldCharType="end"/>
            </w:r>
          </w:p>
        </w:tc>
        <w:tc>
          <w:tcPr>
            <w:tcW w:w="990" w:type="dxa"/>
            <w:vAlign w:val="center"/>
          </w:tcPr>
          <w:p w14:paraId="38ABC232" w14:textId="53D386AC" w:rsidR="002B21B8" w:rsidRPr="00D959F7" w:rsidRDefault="002B21B8" w:rsidP="00082177">
            <w:pPr>
              <w:jc w:val="center"/>
              <w:rPr>
                <w:sz w:val="20"/>
                <w:szCs w:val="20"/>
              </w:rPr>
            </w:pPr>
            <w:r w:rsidRPr="00D959F7">
              <w:rPr>
                <w:sz w:val="20"/>
                <w:szCs w:val="20"/>
              </w:rPr>
              <w:t>24</w:t>
            </w:r>
            <w:r w:rsidR="005E0751">
              <w:rPr>
                <w:sz w:val="20"/>
                <w:szCs w:val="20"/>
              </w:rPr>
              <w:t>4</w:t>
            </w:r>
          </w:p>
        </w:tc>
        <w:tc>
          <w:tcPr>
            <w:tcW w:w="1980" w:type="dxa"/>
            <w:vAlign w:val="center"/>
          </w:tcPr>
          <w:p w14:paraId="3045CAF6" w14:textId="6393E291" w:rsidR="002B21B8" w:rsidRPr="00D959F7" w:rsidRDefault="002B21B8" w:rsidP="00082177">
            <w:pPr>
              <w:jc w:val="center"/>
              <w:rPr>
                <w:sz w:val="20"/>
                <w:szCs w:val="20"/>
              </w:rPr>
            </w:pPr>
            <w:r w:rsidRPr="00D959F7">
              <w:rPr>
                <w:sz w:val="20"/>
                <w:szCs w:val="20"/>
              </w:rPr>
              <w:t>3 (gestation</w:t>
            </w:r>
            <w:r w:rsidR="002A6A4C">
              <w:rPr>
                <w:sz w:val="20"/>
                <w:szCs w:val="20"/>
              </w:rPr>
              <w:t xml:space="preserve"> week 16</w:t>
            </w:r>
            <w:r w:rsidR="002A6A4C" w:rsidRPr="002A6A4C">
              <w:rPr>
                <w:sz w:val="20"/>
                <w:szCs w:val="20"/>
                <w:vertAlign w:val="superscript"/>
              </w:rPr>
              <w:t>th</w:t>
            </w:r>
            <w:r w:rsidR="002A6A4C">
              <w:rPr>
                <w:sz w:val="20"/>
                <w:szCs w:val="20"/>
              </w:rPr>
              <w:t xml:space="preserve"> and 26</w:t>
            </w:r>
            <w:r w:rsidR="002A6A4C" w:rsidRPr="002A6A4C">
              <w:rPr>
                <w:sz w:val="20"/>
                <w:szCs w:val="20"/>
                <w:vertAlign w:val="superscript"/>
              </w:rPr>
              <w:t>th</w:t>
            </w:r>
            <w:r w:rsidR="002A6A4C">
              <w:rPr>
                <w:sz w:val="20"/>
                <w:szCs w:val="20"/>
              </w:rPr>
              <w:t xml:space="preserve">, and </w:t>
            </w:r>
            <w:r w:rsidRPr="00D959F7">
              <w:rPr>
                <w:sz w:val="20"/>
                <w:szCs w:val="20"/>
              </w:rPr>
              <w:t>birth)</w:t>
            </w:r>
          </w:p>
        </w:tc>
        <w:tc>
          <w:tcPr>
            <w:tcW w:w="1513" w:type="dxa"/>
            <w:vAlign w:val="center"/>
          </w:tcPr>
          <w:p w14:paraId="00880E32" w14:textId="2213594A" w:rsidR="002B21B8" w:rsidRPr="00D959F7" w:rsidRDefault="002B21B8" w:rsidP="00082177">
            <w:pPr>
              <w:jc w:val="center"/>
              <w:rPr>
                <w:sz w:val="20"/>
                <w:szCs w:val="20"/>
              </w:rPr>
            </w:pPr>
            <w:r w:rsidRPr="00D959F7">
              <w:rPr>
                <w:sz w:val="20"/>
                <w:szCs w:val="20"/>
              </w:rPr>
              <w:t xml:space="preserve">Several </w:t>
            </w:r>
          </w:p>
        </w:tc>
        <w:tc>
          <w:tcPr>
            <w:tcW w:w="2182" w:type="dxa"/>
            <w:vAlign w:val="center"/>
          </w:tcPr>
          <w:p w14:paraId="7E954AEF" w14:textId="466D2155" w:rsidR="002B21B8" w:rsidRPr="00D959F7" w:rsidRDefault="005E0751" w:rsidP="00082177">
            <w:pPr>
              <w:jc w:val="center"/>
              <w:rPr>
                <w:sz w:val="20"/>
                <w:szCs w:val="20"/>
              </w:rPr>
            </w:pPr>
            <w:r>
              <w:rPr>
                <w:sz w:val="20"/>
                <w:szCs w:val="20"/>
              </w:rPr>
              <w:t>Any</w:t>
            </w:r>
          </w:p>
        </w:tc>
      </w:tr>
      <w:tr w:rsidR="0013062F" w14:paraId="6674B585" w14:textId="77777777" w:rsidTr="000777B6">
        <w:trPr>
          <w:trHeight w:val="605"/>
          <w:jc w:val="center"/>
        </w:trPr>
        <w:tc>
          <w:tcPr>
            <w:tcW w:w="2515" w:type="dxa"/>
            <w:vAlign w:val="center"/>
          </w:tcPr>
          <w:p w14:paraId="0FB376EA" w14:textId="6DABF1EB" w:rsidR="002B21B8" w:rsidRPr="002B21B8" w:rsidRDefault="005E0751" w:rsidP="00131C3A">
            <w:pPr>
              <w:rPr>
                <w:sz w:val="20"/>
                <w:szCs w:val="20"/>
              </w:rPr>
            </w:pPr>
            <w:r>
              <w:rPr>
                <w:sz w:val="20"/>
                <w:szCs w:val="20"/>
              </w:rPr>
              <w:t>Stacy et al., 2017</w:t>
            </w:r>
            <w:r w:rsidR="00371967">
              <w:rPr>
                <w:sz w:val="20"/>
                <w:szCs w:val="20"/>
              </w:rPr>
              <w:t xml:space="preserve"> </w:t>
            </w:r>
            <w:r w:rsidR="00371967">
              <w:rPr>
                <w:sz w:val="20"/>
                <w:szCs w:val="20"/>
              </w:rPr>
              <w:fldChar w:fldCharType="begin" w:fldLock="1"/>
            </w:r>
            <w:r w:rsidR="004207B1">
              <w:rPr>
                <w:sz w:val="20"/>
                <w:szCs w:val="20"/>
              </w:rPr>
              <w:instrText>ADDIN CSL_CITATION {"citationItems":[{"id":"ITEM-1","itemData":{"DOI":"10.1016/j.envint.2017.07.021","ISSN":"01604120","PMID":"28764921","abstract":"BACKGROUND Early life BPA exposure could affect neurobehavior, but few studies have investigated whether there are developmental periods when the fetus or child is more vulnerable to these potential effects. OBJECTIVES We explored windows of vulnerability to BPA exposure in a multiethnic cohort of 228 mothers and their children from Cincinnati, Ohio. METHODS We measured urinary BPA concentrations at up to two prenatal and six postnatal time points from the 2nd trimester of pregnancy until the child was age 8years. At age 8years, we administered the Behavioral Assessment System for Children-2 (BASC-2), Behavior Rating Inventory of Executive Function, and Wechsler Intelligence Scale for Children-IV. We estimated covariate-adjusted differences in composite scores from each instrument using a multiple informant model designed to identify heightened windows of vulnerability. RESULTS Among all children, there was not strong evidence that the associations between BPA and neurobehavior varied by the timing of exposure (Visit x BPA p-values≥0.16). However, child sex modified the associations of repeated BPA measures with BASC-2 scores (Visit x Sex x BPA p-values=0.02-0.23). For example, each 10-fold increase in prenatal BPA was associated with more externalizing behaviors in girls (β=6.2, 95% CI: 0.8, 11.6), but not boys (β=-0.8, 95% CI: -5.0, 3.4). In contrast, a 10-fold increase in 8-year BPA was associated with more externalizing behaviors in boys (β=3.9, 95% CI: 0.6, 7.2), but not girls (β=0.3, 95% CI: -3.5, 4.1). CONCLUSIONS We found that sex-dependent associations between BPA and child neurobehavior may depend on the timing of BPA exposure.","author":[{"dropping-particle":"","family":"Stacy","given":"Shaina L.","non-dropping-particle":"","parse-names":false,"suffix":""},{"dropping-particle":"","family":"Papandonatos","given":"George D.","non-dropping-particle":"","parse-names":false,"suffix":""},{"dropping-particle":"","family":"Calafat","given":"Antonia M.","non-dropping-particle":"","parse-names":false,"suffix":""},{"dropping-particle":"","family":"Chen","given":"Aimin","non-dropping-particle":"","parse-names":false,"suffix":""},{"dropping-particle":"","family":"Yolton","given":"Kimberly","non-dropping-particle":"","parse-names":false,"suffix":""},{"dropping-particle":"","family":"Lanphear","given":"Bruce P.","non-dropping-particle":"","parse-names":false,"suffix":""},{"dropping-particle":"","family":"Braun","given":"Joseph M.","non-dropping-particle":"","parse-names":false,"suffix":""}],"container-title":"Environment International","id":"ITEM-1","issued":{"date-parts":[["2017","10"]]},"page":"258-265","title":"Early life bisphenol A exposure and neurobehavior at 8 years of age: Identifying windows of heightened vulnerability","type":"article-journal","volume":"107"},"uris":["http://www.mendeley.com/documents/?uuid=909a4023-ab3f-3b76-91f4-d02c6b964d48"]}],"mendeley":{"formattedCitation":"[19]","plainTextFormattedCitation":"[19]","previouslyFormattedCitation":"[18]"},"properties":{"noteIndex":0},"schema":"https://github.com/citation-style-language/schema/raw/master/csl-citation.json"}</w:instrText>
            </w:r>
            <w:r w:rsidR="00371967">
              <w:rPr>
                <w:sz w:val="20"/>
                <w:szCs w:val="20"/>
              </w:rPr>
              <w:fldChar w:fldCharType="separate"/>
            </w:r>
            <w:r w:rsidR="004207B1" w:rsidRPr="004207B1">
              <w:rPr>
                <w:noProof/>
                <w:sz w:val="20"/>
                <w:szCs w:val="20"/>
              </w:rPr>
              <w:t>[19]</w:t>
            </w:r>
            <w:r w:rsidR="00371967">
              <w:rPr>
                <w:sz w:val="20"/>
                <w:szCs w:val="20"/>
              </w:rPr>
              <w:fldChar w:fldCharType="end"/>
            </w:r>
          </w:p>
        </w:tc>
        <w:tc>
          <w:tcPr>
            <w:tcW w:w="990" w:type="dxa"/>
            <w:vAlign w:val="center"/>
          </w:tcPr>
          <w:p w14:paraId="72E599B7" w14:textId="355706BA" w:rsidR="002B21B8" w:rsidRPr="00D959F7" w:rsidRDefault="00C704CB" w:rsidP="00082177">
            <w:pPr>
              <w:jc w:val="center"/>
              <w:rPr>
                <w:sz w:val="20"/>
                <w:szCs w:val="20"/>
              </w:rPr>
            </w:pPr>
            <w:r>
              <w:rPr>
                <w:sz w:val="20"/>
                <w:szCs w:val="20"/>
              </w:rPr>
              <w:t>228</w:t>
            </w:r>
          </w:p>
        </w:tc>
        <w:tc>
          <w:tcPr>
            <w:tcW w:w="1980" w:type="dxa"/>
            <w:vAlign w:val="center"/>
          </w:tcPr>
          <w:p w14:paraId="6D46EFD9" w14:textId="063026AB" w:rsidR="002B21B8" w:rsidRPr="00D959F7" w:rsidRDefault="005E0751" w:rsidP="00082177">
            <w:pPr>
              <w:jc w:val="center"/>
              <w:rPr>
                <w:sz w:val="20"/>
                <w:szCs w:val="20"/>
              </w:rPr>
            </w:pPr>
            <w:r>
              <w:rPr>
                <w:sz w:val="20"/>
                <w:szCs w:val="20"/>
              </w:rPr>
              <w:t>6 (1, 2, 3, 4, 5 and 8 yrs</w:t>
            </w:r>
            <w:r w:rsidR="004B692A">
              <w:rPr>
                <w:sz w:val="20"/>
                <w:szCs w:val="20"/>
              </w:rPr>
              <w:t>.</w:t>
            </w:r>
            <w:r>
              <w:rPr>
                <w:sz w:val="20"/>
                <w:szCs w:val="20"/>
              </w:rPr>
              <w:t>)</w:t>
            </w:r>
          </w:p>
        </w:tc>
        <w:tc>
          <w:tcPr>
            <w:tcW w:w="1513" w:type="dxa"/>
            <w:vAlign w:val="center"/>
          </w:tcPr>
          <w:p w14:paraId="556C4719" w14:textId="233C5564" w:rsidR="002B21B8" w:rsidRPr="00D959F7" w:rsidRDefault="00C704CB" w:rsidP="00082177">
            <w:pPr>
              <w:jc w:val="center"/>
              <w:rPr>
                <w:sz w:val="20"/>
                <w:szCs w:val="20"/>
              </w:rPr>
            </w:pPr>
            <w:r>
              <w:rPr>
                <w:sz w:val="20"/>
                <w:szCs w:val="20"/>
              </w:rPr>
              <w:t>Several</w:t>
            </w:r>
          </w:p>
        </w:tc>
        <w:tc>
          <w:tcPr>
            <w:tcW w:w="2182" w:type="dxa"/>
            <w:vAlign w:val="center"/>
          </w:tcPr>
          <w:p w14:paraId="11EABD7B" w14:textId="77777777" w:rsidR="00024CCB" w:rsidRDefault="00C704CB" w:rsidP="00082177">
            <w:pPr>
              <w:jc w:val="center"/>
              <w:rPr>
                <w:sz w:val="20"/>
                <w:szCs w:val="20"/>
              </w:rPr>
            </w:pPr>
            <w:r>
              <w:rPr>
                <w:sz w:val="20"/>
                <w:szCs w:val="20"/>
              </w:rPr>
              <w:t>Some</w:t>
            </w:r>
            <w:r w:rsidR="00C058BF">
              <w:rPr>
                <w:sz w:val="20"/>
                <w:szCs w:val="20"/>
              </w:rPr>
              <w:t xml:space="preserve"> </w:t>
            </w:r>
          </w:p>
          <w:p w14:paraId="35F0803F" w14:textId="7DE73DC5" w:rsidR="002B21B8" w:rsidRPr="00D959F7" w:rsidRDefault="00024CCB" w:rsidP="00082177">
            <w:pPr>
              <w:jc w:val="center"/>
              <w:rPr>
                <w:sz w:val="20"/>
                <w:szCs w:val="20"/>
              </w:rPr>
            </w:pPr>
            <w:r>
              <w:rPr>
                <w:sz w:val="20"/>
                <w:szCs w:val="20"/>
              </w:rPr>
              <w:t>(</w:t>
            </w:r>
            <w:r w:rsidR="004B692A">
              <w:rPr>
                <w:sz w:val="20"/>
                <w:szCs w:val="20"/>
              </w:rPr>
              <w:t>Only</w:t>
            </w:r>
            <w:r w:rsidR="00FD6ACD">
              <w:rPr>
                <w:sz w:val="20"/>
                <w:szCs w:val="20"/>
              </w:rPr>
              <w:t xml:space="preserve"> cross-sectional</w:t>
            </w:r>
            <w:r>
              <w:rPr>
                <w:sz w:val="20"/>
                <w:szCs w:val="20"/>
              </w:rPr>
              <w:t xml:space="preserve"> </w:t>
            </w:r>
            <w:r w:rsidR="00C058BF">
              <w:rPr>
                <w:sz w:val="20"/>
                <w:szCs w:val="20"/>
              </w:rPr>
              <w:t>at 8 yrs</w:t>
            </w:r>
            <w:r w:rsidR="004B692A">
              <w:rPr>
                <w:sz w:val="20"/>
                <w:szCs w:val="20"/>
              </w:rPr>
              <w:t>.</w:t>
            </w:r>
            <w:r>
              <w:rPr>
                <w:sz w:val="20"/>
                <w:szCs w:val="20"/>
              </w:rPr>
              <w:t>)</w:t>
            </w:r>
          </w:p>
        </w:tc>
      </w:tr>
      <w:tr w:rsidR="0013062F" w14:paraId="6A77E774" w14:textId="77777777" w:rsidTr="000777B6">
        <w:trPr>
          <w:trHeight w:val="496"/>
          <w:jc w:val="center"/>
        </w:trPr>
        <w:tc>
          <w:tcPr>
            <w:tcW w:w="2515" w:type="dxa"/>
            <w:vAlign w:val="center"/>
          </w:tcPr>
          <w:p w14:paraId="02A3942B" w14:textId="77777777" w:rsidR="00CF7295" w:rsidRPr="00D34DEE" w:rsidRDefault="00CF7295" w:rsidP="00131C3A">
            <w:pPr>
              <w:rPr>
                <w:b/>
                <w:bCs/>
                <w:sz w:val="20"/>
                <w:szCs w:val="20"/>
              </w:rPr>
            </w:pPr>
            <w:r w:rsidRPr="00D34DEE">
              <w:rPr>
                <w:b/>
                <w:bCs/>
                <w:sz w:val="20"/>
                <w:szCs w:val="20"/>
              </w:rPr>
              <w:t>INMA-Sabadell</w:t>
            </w:r>
          </w:p>
          <w:p w14:paraId="0C07DEF7" w14:textId="000670A5" w:rsidR="004D2B00" w:rsidRPr="00C62CBF" w:rsidRDefault="004D2B00" w:rsidP="00131C3A">
            <w:pPr>
              <w:rPr>
                <w:sz w:val="20"/>
                <w:szCs w:val="20"/>
              </w:rPr>
            </w:pPr>
            <w:r w:rsidRPr="00D34DEE">
              <w:rPr>
                <w:sz w:val="20"/>
                <w:szCs w:val="20"/>
              </w:rPr>
              <w:t>Casas et al., 2015</w:t>
            </w:r>
            <w:r w:rsidR="00371967" w:rsidRPr="00D34DEE">
              <w:rPr>
                <w:sz w:val="20"/>
                <w:szCs w:val="20"/>
              </w:rPr>
              <w:t xml:space="preserve"> </w:t>
            </w:r>
            <w:r w:rsidR="00371967">
              <w:rPr>
                <w:sz w:val="20"/>
                <w:szCs w:val="20"/>
                <w:lang w:val="es-ES"/>
              </w:rPr>
              <w:fldChar w:fldCharType="begin" w:fldLock="1"/>
            </w:r>
            <w:r w:rsidR="004207B1" w:rsidRPr="00D34DEE">
              <w:rPr>
                <w:sz w:val="20"/>
                <w:szCs w:val="20"/>
              </w:rPr>
              <w:instrText xml:space="preserve">ADDIN CSL_CITATION {"citationItems":[{"id":"ITEM-1","itemData":{"DOI":"10.1016/j.envres.2015.07.024","ISSN":"00139351","PMID":"26343751","abstract":"BACKGROUND Bisphenol A (BPA) may be a neurodevelopmental toxicant, but evidence is not consistent in terms of the sex-specific patterns of the associations and the specific behavioral or cognitive domains most affected. OBJECTIVE To examine the effects of prenatal BPA exposure on cognitive, psychomotor, and behavioral development in 438 children at 1, 4 and 7 years of age. METHODS BPA was measured in spot urine samples collected in trimester 1 and 3 of pregnancy from women participating in the INMA-Sabadell birth cohort study. Cognitive and psychomotor development was assessed at 1 and 4 years using psychologist-based scales. Attention deficit hyperactivity disorder (ADHD) symptoms and other behavioral problems were assessed at 4 years by teachers and at 7 years by parents using questionnaire-based rating scales. RESULTS Geometric mean creatinine-adjusted BPA concentration of the averaged samples was 2.6 </w:instrText>
            </w:r>
            <w:r w:rsidR="004207B1">
              <w:rPr>
                <w:sz w:val="20"/>
                <w:szCs w:val="20"/>
              </w:rPr>
              <w:instrText>μ</w:instrText>
            </w:r>
            <w:r w:rsidR="004207B1" w:rsidRPr="00D34DEE">
              <w:rPr>
                <w:sz w:val="20"/>
                <w:szCs w:val="20"/>
              </w:rPr>
              <w:instrText xml:space="preserve">g/g creatinine. BPA exposure was not associated with the cognitive scores or their subscales at 1 and 4 years of age. At 1 year of age, exposure in the highest tertile of BPA concentrations was associated with a reduction of psychomotor scores (T3 vs T1 </w:instrText>
            </w:r>
            <w:r w:rsidR="004207B1">
              <w:rPr>
                <w:sz w:val="20"/>
                <w:szCs w:val="20"/>
              </w:rPr>
              <w:instrText>β</w:instrText>
            </w:r>
            <w:r w:rsidR="004207B1" w:rsidRPr="00D34DEE">
              <w:rPr>
                <w:sz w:val="20"/>
                <w:szCs w:val="20"/>
              </w:rPr>
              <w:instrText>=-4.28 points, 95% CI: -8.15, -0.41), but there was no a</w:instrText>
            </w:r>
            <w:r w:rsidR="004207B1" w:rsidRPr="0013062F">
              <w:rPr>
                <w:sz w:val="20"/>
                <w:szCs w:val="20"/>
                <w:lang w:val="es-ES"/>
              </w:rPr>
              <w:instrText xml:space="preserve">ssociation with psychomotor outcomes at 4 years. At 4 years, BPA exposure was associated with an increased risk of ADHD-hyperactivity symptoms (Incidence Rate Ratio (IRR) per log10 </w:instrText>
            </w:r>
            <w:r w:rsidR="004207B1">
              <w:rPr>
                <w:sz w:val="20"/>
                <w:szCs w:val="20"/>
              </w:rPr>
              <w:instrText>μ</w:instrText>
            </w:r>
            <w:r w:rsidR="004207B1" w:rsidRPr="0013062F">
              <w:rPr>
                <w:sz w:val="20"/>
                <w:szCs w:val="20"/>
                <w:lang w:val="es-ES"/>
              </w:rPr>
              <w:instrText>g BPA/g creatinine increase=1.72; 1.08, 2.73) and this association was stronger in boys than in girls. Further, boys had an increased risk of ADHD-inattention symptoms whereas girls showed a reduced risk (p for interaction &lt;0.1). At 7 years, these associations were not statistically significant nor were any other behavioral problems. CONCLUSIONS These results suggest that prenatal BPA exposure does not affect cognitive development up to age 4 years. Associations are observed with psychomotor development and ADHD-related symptoms at early ages, but these do not appear to persist until later ages.","author":[{"dropping-particle":"","family":"Casas","given":"Maribel","non-dropping-particle":"","parse-names":false,"suffix":""},{"dropping-particle":"","family":"Forns","given":"Joan","non-dropping-particle":"","parse-names":false,"suffix":""},{"dropping-particle":"","family":"Martínez","given":"David","non-dropping-particle":"","parse-names":false,"suffix":""},{"dropping-particle":"","family":"Avella-García","given":"Claudia","n</w:instrText>
            </w:r>
            <w:r w:rsidR="004207B1" w:rsidRPr="00D34DEE">
              <w:rPr>
                <w:sz w:val="20"/>
                <w:szCs w:val="20"/>
              </w:rPr>
              <w:instrText>on-dropping-particle":"","parse-names":false,"suffix":""},{"dropping-particle":"","family":"Valvi","given":"Damaskini","non-dropping-particle":"","parse-names":false,"suffix":""},{"dropping-particle":"","family":"Ballesteros-Gómez","given":"Ana","non-dropping-particle":"","parse-names":false,"suffix":""},{"dropping-particle":"","family":"Luque","given":"Noelia","non-dropping-par</w:instrText>
            </w:r>
            <w:r w:rsidR="004207B1">
              <w:rPr>
                <w:sz w:val="20"/>
                <w:szCs w:val="20"/>
              </w:rPr>
              <w:instrText>ticle":"","parse-names":false,"suffix":""},{"dropping-particle":"","family":"Rubio","given":"Soledad","non-dropping-particle":"","parse-names":false,"suffix":""},{"dropping-particle":"","family":"Julvez","given":"Jordi","non-dropping-particle":"","parse-names":false,"suffix":""},{"dropping-particle":"","family":"Sunyer","given":"Jordi","non-dropping-particle":"","parse-names":false,"suffix":""},{"dropping-particle":"","family":"Vrijheid","given":"Martine","non-dropping-particle":"","parse-names":false,"suffix":""}],"container-title":"Environmental Research","id":"ITEM-1","issued":{"date-parts":[["2015","10"]]},"page":"671-679","title":"Exposure to bisphenol A during pregnancy and child neuropsychological development in the INMA-Sabadell cohort","type":"article-journal","volume":"142"},"uris":["http://www.mendeley.com/documents/?uuid=7077042f-3f76-3aa9-8785-3fefa029252d"]}],"mendeley":{"formattedCitation":"[11]","plainTextFormattedCitation":"[11]","previouslyFormattedCitation":"[10]"},"properties":{"noteIndex":0},"schema":"https://github.com/citation-style-language/schema/raw/master/csl-citation.json"}</w:instrText>
            </w:r>
            <w:r w:rsidR="00371967">
              <w:rPr>
                <w:sz w:val="20"/>
                <w:szCs w:val="20"/>
                <w:lang w:val="es-ES"/>
              </w:rPr>
              <w:fldChar w:fldCharType="separate"/>
            </w:r>
            <w:r w:rsidR="004207B1" w:rsidRPr="004207B1">
              <w:rPr>
                <w:noProof/>
                <w:sz w:val="20"/>
                <w:szCs w:val="20"/>
              </w:rPr>
              <w:t>[11]</w:t>
            </w:r>
            <w:r w:rsidR="00371967">
              <w:rPr>
                <w:sz w:val="20"/>
                <w:szCs w:val="20"/>
                <w:lang w:val="es-ES"/>
              </w:rPr>
              <w:fldChar w:fldCharType="end"/>
            </w:r>
          </w:p>
        </w:tc>
        <w:tc>
          <w:tcPr>
            <w:tcW w:w="990" w:type="dxa"/>
            <w:vAlign w:val="center"/>
          </w:tcPr>
          <w:p w14:paraId="250157E3" w14:textId="0D659CDF" w:rsidR="00CF7295" w:rsidRPr="00D959F7" w:rsidRDefault="00CF7295" w:rsidP="00082177">
            <w:pPr>
              <w:jc w:val="center"/>
              <w:rPr>
                <w:sz w:val="20"/>
                <w:szCs w:val="20"/>
              </w:rPr>
            </w:pPr>
            <w:r w:rsidRPr="00D959F7">
              <w:rPr>
                <w:sz w:val="20"/>
                <w:szCs w:val="20"/>
              </w:rPr>
              <w:t>438</w:t>
            </w:r>
          </w:p>
        </w:tc>
        <w:tc>
          <w:tcPr>
            <w:tcW w:w="1980" w:type="dxa"/>
            <w:vAlign w:val="center"/>
          </w:tcPr>
          <w:p w14:paraId="3F95751C" w14:textId="6113FFD7" w:rsidR="00CF7295" w:rsidRPr="00D959F7" w:rsidRDefault="00CF7295" w:rsidP="00082177">
            <w:pPr>
              <w:jc w:val="center"/>
              <w:rPr>
                <w:sz w:val="20"/>
                <w:szCs w:val="20"/>
              </w:rPr>
            </w:pPr>
            <w:r w:rsidRPr="00D959F7">
              <w:rPr>
                <w:sz w:val="20"/>
                <w:szCs w:val="20"/>
              </w:rPr>
              <w:t>2 (1</w:t>
            </w:r>
            <w:r w:rsidRPr="00D959F7">
              <w:rPr>
                <w:sz w:val="20"/>
                <w:szCs w:val="20"/>
                <w:vertAlign w:val="superscript"/>
              </w:rPr>
              <w:t>st</w:t>
            </w:r>
            <w:r w:rsidRPr="00D959F7">
              <w:rPr>
                <w:sz w:val="20"/>
                <w:szCs w:val="20"/>
              </w:rPr>
              <w:t xml:space="preserve"> and 3</w:t>
            </w:r>
            <w:r w:rsidRPr="00D959F7">
              <w:rPr>
                <w:sz w:val="20"/>
                <w:szCs w:val="20"/>
                <w:vertAlign w:val="superscript"/>
              </w:rPr>
              <w:t>rd</w:t>
            </w:r>
            <w:r w:rsidRPr="00D959F7">
              <w:rPr>
                <w:sz w:val="20"/>
                <w:szCs w:val="20"/>
              </w:rPr>
              <w:t xml:space="preserve"> trimester)</w:t>
            </w:r>
          </w:p>
        </w:tc>
        <w:tc>
          <w:tcPr>
            <w:tcW w:w="1513" w:type="dxa"/>
            <w:vAlign w:val="center"/>
          </w:tcPr>
          <w:p w14:paraId="048A373E" w14:textId="4B49E1CB" w:rsidR="00CF7295" w:rsidRPr="00D959F7" w:rsidRDefault="00CF7295" w:rsidP="00082177">
            <w:pPr>
              <w:jc w:val="center"/>
              <w:rPr>
                <w:sz w:val="20"/>
                <w:szCs w:val="20"/>
              </w:rPr>
            </w:pPr>
            <w:r w:rsidRPr="00D959F7">
              <w:rPr>
                <w:sz w:val="20"/>
                <w:szCs w:val="20"/>
              </w:rPr>
              <w:t>Some</w:t>
            </w:r>
          </w:p>
        </w:tc>
        <w:tc>
          <w:tcPr>
            <w:tcW w:w="2182" w:type="dxa"/>
            <w:vAlign w:val="center"/>
          </w:tcPr>
          <w:p w14:paraId="4575FEC5" w14:textId="6343DA24" w:rsidR="00CF7295" w:rsidRPr="00D959F7" w:rsidRDefault="00CF7295" w:rsidP="00082177">
            <w:pPr>
              <w:jc w:val="center"/>
              <w:rPr>
                <w:sz w:val="20"/>
                <w:szCs w:val="20"/>
              </w:rPr>
            </w:pPr>
            <w:r w:rsidRPr="00D959F7">
              <w:rPr>
                <w:sz w:val="20"/>
                <w:szCs w:val="20"/>
              </w:rPr>
              <w:t xml:space="preserve">Any </w:t>
            </w:r>
          </w:p>
        </w:tc>
      </w:tr>
      <w:tr w:rsidR="0013062F" w14:paraId="7E7408AD" w14:textId="77777777" w:rsidTr="000777B6">
        <w:trPr>
          <w:trHeight w:val="868"/>
          <w:jc w:val="center"/>
        </w:trPr>
        <w:tc>
          <w:tcPr>
            <w:tcW w:w="2515" w:type="dxa"/>
            <w:vAlign w:val="center"/>
          </w:tcPr>
          <w:p w14:paraId="27A90CBA" w14:textId="77777777" w:rsidR="00CF7295" w:rsidRPr="004D2B00" w:rsidRDefault="00CF7295" w:rsidP="00131C3A">
            <w:pPr>
              <w:rPr>
                <w:b/>
                <w:bCs/>
                <w:sz w:val="20"/>
                <w:szCs w:val="20"/>
              </w:rPr>
            </w:pPr>
            <w:r w:rsidRPr="004D2B00">
              <w:rPr>
                <w:b/>
                <w:bCs/>
                <w:sz w:val="20"/>
                <w:szCs w:val="20"/>
              </w:rPr>
              <w:t>EDEN</w:t>
            </w:r>
          </w:p>
          <w:p w14:paraId="250B2B6E" w14:textId="35AA6F54" w:rsidR="00CF7295" w:rsidRDefault="00CF7295" w:rsidP="00131C3A">
            <w:pPr>
              <w:rPr>
                <w:sz w:val="20"/>
                <w:szCs w:val="20"/>
              </w:rPr>
            </w:pPr>
            <w:proofErr w:type="spellStart"/>
            <w:r>
              <w:rPr>
                <w:sz w:val="20"/>
                <w:szCs w:val="20"/>
              </w:rPr>
              <w:t>Philippat</w:t>
            </w:r>
            <w:proofErr w:type="spellEnd"/>
            <w:r>
              <w:rPr>
                <w:sz w:val="20"/>
                <w:szCs w:val="20"/>
              </w:rPr>
              <w:t xml:space="preserve"> et al., 2017</w:t>
            </w:r>
            <w:r w:rsidR="00C62CBF">
              <w:rPr>
                <w:sz w:val="20"/>
                <w:szCs w:val="20"/>
              </w:rPr>
              <w:t xml:space="preserve"> </w:t>
            </w:r>
            <w:r w:rsidR="00C62CBF">
              <w:rPr>
                <w:sz w:val="20"/>
                <w:szCs w:val="20"/>
              </w:rPr>
              <w:fldChar w:fldCharType="begin" w:fldLock="1"/>
            </w:r>
            <w:r w:rsidR="004207B1">
              <w:rPr>
                <w:sz w:val="20"/>
                <w:szCs w:val="20"/>
              </w:rPr>
              <w:instrText>ADDIN CSL_CITATION {"citationItems":[{"id":"ITEM-1","itemData":{"DOI":"10.1289/EHP1314","ISSN":"0091-6765","PMID":"28937960","abstract":"BACKGROUND Sex-specific associations have been reported between phthalates, bisphenol A (BPA), and child behavior. No data on large study populations are available for other phenols with possible endocrine-disrupting properties. OBJECTIVES We aimed to study associations between prenatal exposure to phthalates and several phenols on behavior among male infants. METHODS We quantified 11 phthalate metabolites and nine phenols (four parabens, benzophenone-3, BPA, two dichlorophenols, triclosan) in spot urine samples collected during pregnancy among EDEN cohort mothers who delivered a boy. Mothers completed the Strength and Difficulties Questionnaire (SDQ) when their children were 3.1 (n=529) and 5.6 (n=464) y old. RESULTS BPA was positively associated with the relationship problems subscale at 3 y [incidence rate ratio (IRR): 1.11; 95% confidence interval (CI): 1.03, 1.20] and the hyperactivity-inattention subscale scores at 5 y (IRR: 1.08; 95% CI: 1.01, 1.14). Mono-n-butyl phthalate (MnBP) was positively associated with internalizing behavior, relationship problem, and emotional symptom scores at 3 y. Monobenzyl phthalate (MBzP) was positively associated with internalizing behavior and relationship problems scores at 3 y. After dichotomizing SDQ scores, triclosan tended to be positively associated with emotional symptom subscales at both 3 and 5 y. CONCLUSIONS The observed associations between BPA, MnBP, and behavior in boys are consistent with previous findings. Further health impact assessment studies based on dose-response functions corrected for exposure misclassification are required to quantify the public health burden possibly entailed by such associations. https://doi.org/10.1289/EHP1314.","author":[{"dropping-particle":"","family":"Philippat","given":"Claire","non-dropping-particle":"","parse-names":false,"suffix":""},{"dropping-particle":"","family":"Nakiwala","given":"Dorothy","non-dropping-particle":"","parse-names":false,"suffix":""},{"dropping-particle":"","family":"Calafat","given":"Antonia M.","non-dropping-particle":"","parse-names":false,"suffix":""},{"dropping-particle":"","family":"Botton","given":"Jérémie","non-dropping-particle":"","parse-names":false,"suffix":""},{"dropping-particle":"","family":"Agostini","given":"Maria","non-dropping-particle":"De","parse-names":false,"suffix":""},{"dropping-particle":"","family":"Heude","given":"Barbara","non-dropping-particle":"","parse-names":false,"suffix":""},{"dropping-particle":"","family":"Slama","given":"Rémy","non-dropping-particle":"","parse-names":false,"suffix":""},{"dropping-particle":"","family":"EDEN Mother–Child Study Group","given":"","non-dropping-particle":"","parse-names":false,"suffix":""}],"container-title":"Environmental Health Perspectives","id":"ITEM-1","issue":"9","issued":{"date-parts":[["2017","9","15"]]},"page":"097014","title":"Prenatal Exposure to Nonpersistent Endocrine Disruptors and Behavior in Boys at 3 and 5 Years","type":"article-journal","volume":"125"},"uris":["http://www.mendeley.com/documents/?uuid=4b8d01d3-46e9-3ef1-98dc-0c1d217cf172"]}],"mendeley":{"formattedCitation":"[12]","plainTextFormattedCitation":"[12]","previouslyFormattedCitation":"[11]"},"properties":{"noteIndex":0},"schema":"https://github.com/citation-style-language/schema/raw/master/csl-citation.json"}</w:instrText>
            </w:r>
            <w:r w:rsidR="00C62CBF">
              <w:rPr>
                <w:sz w:val="20"/>
                <w:szCs w:val="20"/>
              </w:rPr>
              <w:fldChar w:fldCharType="separate"/>
            </w:r>
            <w:r w:rsidR="004207B1" w:rsidRPr="004207B1">
              <w:rPr>
                <w:noProof/>
                <w:sz w:val="20"/>
                <w:szCs w:val="20"/>
              </w:rPr>
              <w:t>[12]</w:t>
            </w:r>
            <w:r w:rsidR="00C62CBF">
              <w:rPr>
                <w:sz w:val="20"/>
                <w:szCs w:val="20"/>
              </w:rPr>
              <w:fldChar w:fldCharType="end"/>
            </w:r>
          </w:p>
          <w:p w14:paraId="14F73837" w14:textId="7FDBFF99" w:rsidR="00CF7295" w:rsidRPr="00D959F7" w:rsidRDefault="00CF7295" w:rsidP="00131C3A">
            <w:pPr>
              <w:rPr>
                <w:sz w:val="20"/>
                <w:szCs w:val="20"/>
              </w:rPr>
            </w:pPr>
            <w:proofErr w:type="spellStart"/>
            <w:r>
              <w:rPr>
                <w:sz w:val="20"/>
                <w:szCs w:val="20"/>
              </w:rPr>
              <w:t>Nakiwala</w:t>
            </w:r>
            <w:proofErr w:type="spellEnd"/>
            <w:r>
              <w:rPr>
                <w:sz w:val="20"/>
                <w:szCs w:val="20"/>
              </w:rPr>
              <w:t xml:space="preserve"> et al., 2019</w:t>
            </w:r>
            <w:r w:rsidR="00C62CBF">
              <w:rPr>
                <w:sz w:val="20"/>
                <w:szCs w:val="20"/>
              </w:rPr>
              <w:t xml:space="preserve"> </w:t>
            </w:r>
            <w:r w:rsidR="00C62CBF">
              <w:rPr>
                <w:sz w:val="20"/>
                <w:szCs w:val="20"/>
              </w:rPr>
              <w:fldChar w:fldCharType="begin" w:fldLock="1"/>
            </w:r>
            <w:r w:rsidR="004207B1">
              <w:rPr>
                <w:sz w:val="20"/>
                <w:szCs w:val="20"/>
              </w:rPr>
              <w:instrText>ADDIN CSL_CITATION {"citationItems":[{"id":"ITEM-1","itemData":{"DOI":"10.1186/s12940-018-0359-0","ISSN":"1476-069X","PMID":"29458359","abstract":"BACKGROUND There are concerns that developmental exposure to endocrine disrupting chemicals such as phenolic compounds and phthalates could affect child cognitive function. Epidemiological studies tackling this question have mainly focused on phthalate metabolites and bisphenol A, but not on the other phenolic compounds. Our study aimed to assess the relationship between in-utero exposure to phthalates, bisphenol A and other phenolic compounds (parabens, triclosan, dichlorophenols and benzophenone-3) and the Intelligence Quotient (IQ) of boys at 5-6 years. METHODS In 452 mother-son dyads from the French EDEN cohort, we measured 11 phthalate metabolites and 9 phenolic compounds (4 parabens, benzophenone-3, bisphenol A, 2 dichlorophenols and triclosan) in spot urine samples collected between 22 and 29 gestational weeks. Verbal and performance IQ of children were assessed at 5-6 years by a psychologist using the Wechsler Preschool and Primary Scale of Intelligence (WPPSI). We used adjusted Structural Equation Models (SEM) combined with Benjamini and Hochberg false discovery rate correction to assess the associations between maternal urine phenol and phthalate metabolite concentrations considered simultaneously and the boys' IQ. RESULTS No phenol or phthalate metabolite concentration was negatively associated with the boys' verbal or performance IQ (uncorrected p-values ≥0.09). Mono(3-carboxypropyl) phthalate tended to be associated with increased verbal IQ (β = 0.136, 95% confidence interval, 0.01; 0.27). This association disappeared after correction for multiple comparison (corrected p-value, 0.71). CONCLUSION Our results did not provide evidence of an inverse association between in-utero exposure to phenols or phthalates and verbal and performance IQ among boys. Since phenols and phthalates may have sex-specific effects, these null findings cannot be generalized to girls. Limitations included use of a single spot urine sample to assess exposures and lack of consideration of postnatal exposures.","author":[{"dropping-particle":"","family":"Nakiwala","given":"Dorothy","non-dropping-particle":"","parse-names":false,"suffix":""},{"dropping-particle":"","family":"Peyre","given":"Hugo","non-dropping-particle":"","parse-names":false,"suffix":""},{"dropping-particle":"","family":"Heude","given":"Barbara","non-dropping-particle":"","parse-names":false,"suffix":""},{"dropping-particle":"","family":"Bernard","given":"Jonathan Y","non-dropping-particle":"","parse-names":false,"suffix":""},{"dropping-particle":"","family":"Béranger","given":"Rémi","non-dropping-particle":"","parse-names":false,"suffix":""},{"dropping-particle":"","family":"Slama","given":"Rémy","non-dropping-particle":"","parse-names":false,"suffix":""},{"dropping-particle":"","family":"Philippat","given":"Claire","non-dropping-particle":"","parse-names":false,"suffix":""},{"dropping-particle":"","family":"EDEN mother-child study group","given":"","non-dropping-particle":"","parse-names":false,"suffix":""}],"container-title":"Environmental health : a global access science source","id":"ITEM-1","issue":"1","issued":{"date-parts":[["2018","2","20"]]},"page":"17","publisher":"BioMed Central Ltd.","title":"In-utero exposure to phenols and phthalates and the intelligence quotient of boys at 5 years.","type":"article-journal","volume":"17"},"uris":["http://www.mendeley.com/documents/?uuid=6fb09b77-c73d-3d0f-87e8-7ed09955a1c9"]}],"mendeley":{"formattedCitation":"[20]","plainTextFormattedCitation":"[20]","previouslyFormattedCitation":"[19]"},"properties":{"noteIndex":0},"schema":"https://github.com/citation-style-language/schema/raw/master/csl-citation.json"}</w:instrText>
            </w:r>
            <w:r w:rsidR="00C62CBF">
              <w:rPr>
                <w:sz w:val="20"/>
                <w:szCs w:val="20"/>
              </w:rPr>
              <w:fldChar w:fldCharType="separate"/>
            </w:r>
            <w:r w:rsidR="004207B1" w:rsidRPr="004207B1">
              <w:rPr>
                <w:noProof/>
                <w:sz w:val="20"/>
                <w:szCs w:val="20"/>
              </w:rPr>
              <w:t>[20]</w:t>
            </w:r>
            <w:r w:rsidR="00C62CBF">
              <w:rPr>
                <w:sz w:val="20"/>
                <w:szCs w:val="20"/>
              </w:rPr>
              <w:fldChar w:fldCharType="end"/>
            </w:r>
          </w:p>
        </w:tc>
        <w:tc>
          <w:tcPr>
            <w:tcW w:w="990" w:type="dxa"/>
            <w:vAlign w:val="center"/>
          </w:tcPr>
          <w:p w14:paraId="6B345F1C" w14:textId="43F1D510" w:rsidR="00CF7295" w:rsidRPr="00D959F7" w:rsidRDefault="00CF7295" w:rsidP="00082177">
            <w:pPr>
              <w:jc w:val="center"/>
              <w:rPr>
                <w:sz w:val="20"/>
                <w:szCs w:val="20"/>
              </w:rPr>
            </w:pPr>
            <w:r w:rsidRPr="00D959F7">
              <w:rPr>
                <w:sz w:val="20"/>
                <w:szCs w:val="20"/>
              </w:rPr>
              <w:t>546</w:t>
            </w:r>
          </w:p>
        </w:tc>
        <w:tc>
          <w:tcPr>
            <w:tcW w:w="1980" w:type="dxa"/>
            <w:vAlign w:val="center"/>
          </w:tcPr>
          <w:p w14:paraId="533199CD" w14:textId="7E47023F" w:rsidR="00CF7295" w:rsidRPr="00D959F7" w:rsidRDefault="00CF7295" w:rsidP="00082177">
            <w:pPr>
              <w:jc w:val="center"/>
              <w:rPr>
                <w:sz w:val="20"/>
                <w:szCs w:val="20"/>
              </w:rPr>
            </w:pPr>
            <w:r w:rsidRPr="00D959F7">
              <w:rPr>
                <w:sz w:val="20"/>
                <w:szCs w:val="20"/>
              </w:rPr>
              <w:t>1 (2</w:t>
            </w:r>
            <w:r w:rsidRPr="00D959F7">
              <w:rPr>
                <w:sz w:val="20"/>
                <w:szCs w:val="20"/>
                <w:vertAlign w:val="superscript"/>
              </w:rPr>
              <w:t>nd</w:t>
            </w:r>
            <w:r w:rsidRPr="00D959F7">
              <w:rPr>
                <w:sz w:val="20"/>
                <w:szCs w:val="20"/>
              </w:rPr>
              <w:t xml:space="preserve"> trimester)</w:t>
            </w:r>
          </w:p>
        </w:tc>
        <w:tc>
          <w:tcPr>
            <w:tcW w:w="1513" w:type="dxa"/>
            <w:vAlign w:val="center"/>
          </w:tcPr>
          <w:p w14:paraId="082E7D5C" w14:textId="68010EAC" w:rsidR="00CF7295" w:rsidRPr="00D959F7" w:rsidRDefault="00CF7295" w:rsidP="00082177">
            <w:pPr>
              <w:jc w:val="center"/>
              <w:rPr>
                <w:sz w:val="20"/>
                <w:szCs w:val="20"/>
              </w:rPr>
            </w:pPr>
            <w:r w:rsidRPr="00D959F7">
              <w:rPr>
                <w:sz w:val="20"/>
                <w:szCs w:val="20"/>
              </w:rPr>
              <w:t>Several</w:t>
            </w:r>
          </w:p>
        </w:tc>
        <w:tc>
          <w:tcPr>
            <w:tcW w:w="2182" w:type="dxa"/>
            <w:vAlign w:val="center"/>
          </w:tcPr>
          <w:p w14:paraId="7A8BE5BF" w14:textId="6EECAC22" w:rsidR="00CF7295" w:rsidRPr="00D959F7" w:rsidRDefault="00CF7295" w:rsidP="00082177">
            <w:pPr>
              <w:jc w:val="center"/>
              <w:rPr>
                <w:sz w:val="20"/>
                <w:szCs w:val="20"/>
              </w:rPr>
            </w:pPr>
            <w:r w:rsidRPr="00D959F7">
              <w:rPr>
                <w:sz w:val="20"/>
                <w:szCs w:val="20"/>
              </w:rPr>
              <w:t>Any</w:t>
            </w:r>
          </w:p>
        </w:tc>
      </w:tr>
      <w:tr w:rsidR="0013062F" w14:paraId="7D90B677" w14:textId="77777777" w:rsidTr="000777B6">
        <w:trPr>
          <w:trHeight w:val="496"/>
          <w:jc w:val="center"/>
        </w:trPr>
        <w:tc>
          <w:tcPr>
            <w:tcW w:w="2515" w:type="dxa"/>
            <w:vAlign w:val="center"/>
          </w:tcPr>
          <w:p w14:paraId="4ECF251A" w14:textId="77777777" w:rsidR="00CF7295" w:rsidRPr="004D2B00" w:rsidRDefault="00CF7295" w:rsidP="00131C3A">
            <w:pPr>
              <w:rPr>
                <w:b/>
                <w:bCs/>
                <w:sz w:val="20"/>
                <w:szCs w:val="20"/>
              </w:rPr>
            </w:pPr>
            <w:r w:rsidRPr="004D2B00">
              <w:rPr>
                <w:b/>
                <w:bCs/>
                <w:sz w:val="20"/>
                <w:szCs w:val="20"/>
              </w:rPr>
              <w:t>MIREC</w:t>
            </w:r>
          </w:p>
          <w:p w14:paraId="447DC8B0" w14:textId="68946A31" w:rsidR="00600B15" w:rsidRPr="00D959F7" w:rsidRDefault="00600B15" w:rsidP="00131C3A">
            <w:pPr>
              <w:rPr>
                <w:sz w:val="20"/>
                <w:szCs w:val="20"/>
              </w:rPr>
            </w:pPr>
            <w:r>
              <w:rPr>
                <w:sz w:val="20"/>
                <w:szCs w:val="20"/>
              </w:rPr>
              <w:t>Braun et al., 2017</w:t>
            </w:r>
            <w:r w:rsidR="00C62CBF">
              <w:rPr>
                <w:sz w:val="20"/>
                <w:szCs w:val="20"/>
              </w:rPr>
              <w:t xml:space="preserve"> </w:t>
            </w:r>
            <w:r w:rsidR="00C62CBF">
              <w:rPr>
                <w:sz w:val="20"/>
                <w:szCs w:val="20"/>
              </w:rPr>
              <w:fldChar w:fldCharType="begin" w:fldLock="1"/>
            </w:r>
            <w:r w:rsidR="004207B1">
              <w:rPr>
                <w:sz w:val="20"/>
                <w:szCs w:val="20"/>
              </w:rPr>
              <w:instrText xml:space="preserve">ADDIN CSL_CITATION {"citationItems":[{"id":"ITEM-1","itemData":{"DOI":"10.1289/EHP984","ISSN":"0091-6765","PMID":"28657891","abstract":"BACKGROUND Prenatal bisphenol A (BPA) exposure has been associated with adverse neurodevelopment in epidemiological studies. However, prior studies had limited statistical power to examine sex-specific effects, and few examined child cognition. OBJECTIVES We estimated the association between prenatal BPA exposure and child neurobehavior at 3 y of age in a prospective cohort of 812 mothers and their children. METHODS We measured BPA concentration in urine samples collected at </w:instrText>
            </w:r>
            <w:r w:rsidR="004207B1">
              <w:rPr>
                <w:rFonts w:ascii="Cambria Math" w:hAnsi="Cambria Math" w:cs="Cambria Math"/>
                <w:sz w:val="20"/>
                <w:szCs w:val="20"/>
              </w:rPr>
              <w:instrText>∼</w:instrText>
            </w:r>
            <w:r w:rsidR="004207B1">
              <w:rPr>
                <w:sz w:val="20"/>
                <w:szCs w:val="20"/>
              </w:rPr>
              <w:instrText>12 wk gestation among women enrolled in a 10-city Canadian cohort study. At approximately 3 y of age, we assessed children</w:instrText>
            </w:r>
            <w:r w:rsidR="004207B1">
              <w:rPr>
                <w:rFonts w:ascii="Calibri" w:hAnsi="Calibri" w:cs="Calibri"/>
                <w:sz w:val="20"/>
                <w:szCs w:val="20"/>
              </w:rPr>
              <w:instrText>’</w:instrText>
            </w:r>
            <w:r w:rsidR="004207B1">
              <w:rPr>
                <w:sz w:val="20"/>
                <w:szCs w:val="20"/>
              </w:rPr>
              <w:instrText>s cognitive abilities with the Wechsler Primary and Preschool Scale of IntelligenceTM–III (WPPSI-III) and two scales of the Behavior Rating Inventory of Executive Function–Preschool (BRIEF-P). Parents reported children’s behavior using the Behavior Assessment System for Children–2 (BASC-2) and the Social Responsiveness ScaleTM–2 (SRS-2). We estimated covariate-adjusted differences in neurobehavioral outcomes with a doubling in BPA concentration and sex-specific associations. RESULTS BPA was not associated with WPPSI-III scores; child sex did not modify these associations. The association between BPA and BRIEF-P scores was modified by child sex (BPA×sex p-values≤0.03). For example, a doubling of BPA concentration was associated with 1-point (95% CI: 0.3, 1.7) poorer working memory in boys and 0.5-point (95% CI: −1.1, 0.1) better scores in girls. BPA was not associated with most BASC-2 scales; however, it was associated with more internalizing and somatizing behaviors in boys, but not in girls (BPA×sex p&amp;-values≤0.08). A doubling of BPA concentration was associated with poorer SRS-2 scores [β=0.3 ( 95% CI: 0, 0.7)]; this association was not modified by sex. CONCLUSION Prenatal urinary BPA concentration was associated with some aspects of child behavior in this cohort, and some associations were stronger among boys. https://doi.org/10.1289/EHP984.","author":[{"dropping-particle":"","family":"Braun","given":"Joseph M.","non-dropping-particle":"","parse-names":false,"suffix":""},{"dropping-particle":"","family":"Muckle","given":"Gina","non-dropping-particle":"","parse-names":false,"suffix":""},{"dropping-particle":"","family":"Arbuckle","given":"Tye","non-dropping-particle":"","parse-names":false,"suffix":""},{"dropping-particle":"","family":"Bouchard","given":"Maryse F.","non-dropping-particle":"","parse-names":false,"suffix":""},{"dropping-particle":"","family":"Fraser","given":"William D.","non-dropping-particle":"","parse-names":false,"suffix":""},{"dropping-particle":"","family":"Ouellet","given":"Emmanuel","non-dropping-particle":"","parse-names":false,"suffix":""},{"dropping-particle":"","family":"Séguin","given":"Jean R.","non-dropping-particle":"","parse-names":false,"suffix":""},{"dropping-particle":"","family":"Oulhote","given":"Youssef","non-dropping-particle":"","parse-names":false,"suffix":""},{"dropping-particle":"","family":"Webster","given":"Glenys M.","non-dropping-particle":"","parse-names":false,"suffix":""},{"dropping-particle":"","family":"Lanphear","given":"Bruce P.","non-dropping-particle":"","parse-names":false,"suffix":""}],"container-title":"Environmental Health Perspectives","id":"ITEM-1","issue":"06","issued":{"date-parts":[["2017","6","16"]]},"page":"067008","title":"Associations of Prenatal Urinary Bisphenol A Concentrations with Child Behaviors and Cognitive Abilities","type":"article-journal","volume":"125"},"uris":["http://www.mendeley.com/documents/?uuid=ff0ef6f8-dae7-3237-85f6-c527369f206b"]}],"mendeley":{"formattedCitation":"[13]","plainTextFormattedCitation":"[13]","previouslyFormattedCitation":"[12]"},"properties":{"noteIndex":0},"schema":"https://github.com/citation-style-language/schema/raw/master/csl-citation.json"}</w:instrText>
            </w:r>
            <w:r w:rsidR="00C62CBF">
              <w:rPr>
                <w:sz w:val="20"/>
                <w:szCs w:val="20"/>
              </w:rPr>
              <w:fldChar w:fldCharType="separate"/>
            </w:r>
            <w:r w:rsidR="004207B1" w:rsidRPr="004207B1">
              <w:rPr>
                <w:noProof/>
                <w:sz w:val="20"/>
                <w:szCs w:val="20"/>
              </w:rPr>
              <w:t>[13]</w:t>
            </w:r>
            <w:r w:rsidR="00C62CBF">
              <w:rPr>
                <w:sz w:val="20"/>
                <w:szCs w:val="20"/>
              </w:rPr>
              <w:fldChar w:fldCharType="end"/>
            </w:r>
          </w:p>
        </w:tc>
        <w:tc>
          <w:tcPr>
            <w:tcW w:w="990" w:type="dxa"/>
            <w:vAlign w:val="center"/>
          </w:tcPr>
          <w:p w14:paraId="2888DAE3" w14:textId="018C46AB" w:rsidR="00CF7295" w:rsidRPr="00D959F7" w:rsidRDefault="00CF7295" w:rsidP="00082177">
            <w:pPr>
              <w:jc w:val="center"/>
              <w:rPr>
                <w:sz w:val="20"/>
                <w:szCs w:val="20"/>
              </w:rPr>
            </w:pPr>
            <w:r w:rsidRPr="00D959F7">
              <w:rPr>
                <w:sz w:val="20"/>
                <w:szCs w:val="20"/>
              </w:rPr>
              <w:t>812</w:t>
            </w:r>
          </w:p>
        </w:tc>
        <w:tc>
          <w:tcPr>
            <w:tcW w:w="1980" w:type="dxa"/>
            <w:vAlign w:val="center"/>
          </w:tcPr>
          <w:p w14:paraId="2541ECDD" w14:textId="0ABCE51C" w:rsidR="00CF7295" w:rsidRPr="00D959F7" w:rsidRDefault="00CF7295" w:rsidP="00082177">
            <w:pPr>
              <w:jc w:val="center"/>
              <w:rPr>
                <w:sz w:val="20"/>
                <w:szCs w:val="20"/>
              </w:rPr>
            </w:pPr>
            <w:r w:rsidRPr="00D959F7">
              <w:rPr>
                <w:sz w:val="20"/>
                <w:szCs w:val="20"/>
              </w:rPr>
              <w:t>1</w:t>
            </w:r>
            <w:r>
              <w:rPr>
                <w:sz w:val="20"/>
                <w:szCs w:val="20"/>
              </w:rPr>
              <w:t xml:space="preserve"> </w:t>
            </w:r>
            <w:r w:rsidRPr="00371967">
              <w:rPr>
                <w:sz w:val="20"/>
                <w:szCs w:val="20"/>
              </w:rPr>
              <w:t>(gestation week</w:t>
            </w:r>
            <w:r w:rsidR="00131C3A">
              <w:rPr>
                <w:sz w:val="20"/>
                <w:szCs w:val="20"/>
              </w:rPr>
              <w:t xml:space="preserve"> 12</w:t>
            </w:r>
            <w:r w:rsidR="00131C3A" w:rsidRPr="00131C3A">
              <w:rPr>
                <w:sz w:val="20"/>
                <w:szCs w:val="20"/>
                <w:vertAlign w:val="superscript"/>
              </w:rPr>
              <w:t>th</w:t>
            </w:r>
            <w:r w:rsidRPr="00371967">
              <w:rPr>
                <w:sz w:val="20"/>
                <w:szCs w:val="20"/>
              </w:rPr>
              <w:t>)</w:t>
            </w:r>
          </w:p>
        </w:tc>
        <w:tc>
          <w:tcPr>
            <w:tcW w:w="1513" w:type="dxa"/>
            <w:vAlign w:val="center"/>
          </w:tcPr>
          <w:p w14:paraId="4CD549D5" w14:textId="5B0225C0" w:rsidR="00CF7295" w:rsidRPr="00D959F7" w:rsidRDefault="00CF7295" w:rsidP="00082177">
            <w:pPr>
              <w:jc w:val="center"/>
              <w:rPr>
                <w:sz w:val="20"/>
                <w:szCs w:val="20"/>
              </w:rPr>
            </w:pPr>
            <w:r w:rsidRPr="00D959F7">
              <w:rPr>
                <w:sz w:val="20"/>
                <w:szCs w:val="20"/>
              </w:rPr>
              <w:t>Lots</w:t>
            </w:r>
          </w:p>
        </w:tc>
        <w:tc>
          <w:tcPr>
            <w:tcW w:w="2182" w:type="dxa"/>
            <w:vAlign w:val="center"/>
          </w:tcPr>
          <w:p w14:paraId="2D7E4D37" w14:textId="51768743" w:rsidR="00CF7295" w:rsidRPr="00D959F7" w:rsidRDefault="00CF7295" w:rsidP="00082177">
            <w:pPr>
              <w:jc w:val="center"/>
              <w:rPr>
                <w:sz w:val="20"/>
                <w:szCs w:val="20"/>
              </w:rPr>
            </w:pPr>
            <w:r>
              <w:rPr>
                <w:sz w:val="20"/>
                <w:szCs w:val="20"/>
              </w:rPr>
              <w:t>Any, except poorer working memory in boys</w:t>
            </w:r>
          </w:p>
        </w:tc>
      </w:tr>
      <w:tr w:rsidR="0013062F" w14:paraId="1F28CC34" w14:textId="77777777" w:rsidTr="000777B6">
        <w:trPr>
          <w:trHeight w:val="496"/>
          <w:jc w:val="center"/>
        </w:trPr>
        <w:tc>
          <w:tcPr>
            <w:tcW w:w="2515" w:type="dxa"/>
            <w:vAlign w:val="center"/>
          </w:tcPr>
          <w:p w14:paraId="5C444EBA" w14:textId="77777777" w:rsidR="00CF7295" w:rsidRPr="004D2B00" w:rsidRDefault="00CF7295" w:rsidP="00131C3A">
            <w:pPr>
              <w:rPr>
                <w:b/>
                <w:bCs/>
                <w:sz w:val="20"/>
                <w:szCs w:val="20"/>
              </w:rPr>
            </w:pPr>
            <w:r w:rsidRPr="004D2B00">
              <w:rPr>
                <w:b/>
                <w:bCs/>
                <w:sz w:val="20"/>
                <w:szCs w:val="20"/>
              </w:rPr>
              <w:t>OCC</w:t>
            </w:r>
          </w:p>
          <w:p w14:paraId="33B4F6CE" w14:textId="1812D4C0" w:rsidR="00600B15" w:rsidRPr="00D959F7" w:rsidRDefault="00600B15" w:rsidP="00131C3A">
            <w:pPr>
              <w:rPr>
                <w:sz w:val="20"/>
                <w:szCs w:val="20"/>
              </w:rPr>
            </w:pPr>
            <w:r>
              <w:rPr>
                <w:sz w:val="20"/>
                <w:szCs w:val="20"/>
              </w:rPr>
              <w:t>Jen</w:t>
            </w:r>
            <w:r w:rsidR="00C62CBF">
              <w:rPr>
                <w:sz w:val="20"/>
                <w:szCs w:val="20"/>
              </w:rPr>
              <w:t>sen</w:t>
            </w:r>
            <w:r>
              <w:rPr>
                <w:sz w:val="20"/>
                <w:szCs w:val="20"/>
              </w:rPr>
              <w:t xml:space="preserve"> et al., 2019</w:t>
            </w:r>
            <w:r w:rsidR="00C62CBF">
              <w:rPr>
                <w:sz w:val="20"/>
                <w:szCs w:val="20"/>
              </w:rPr>
              <w:t xml:space="preserve"> </w:t>
            </w:r>
            <w:r w:rsidR="00C62CBF">
              <w:rPr>
                <w:sz w:val="20"/>
                <w:szCs w:val="20"/>
              </w:rPr>
              <w:fldChar w:fldCharType="begin" w:fldLock="1"/>
            </w:r>
            <w:r w:rsidR="004207B1">
              <w:rPr>
                <w:sz w:val="20"/>
                <w:szCs w:val="20"/>
              </w:rPr>
              <w:instrText>ADDIN CSL_CITATION {"citationItems":[{"id":"ITEM-1","itemData":{"DOI":"10.1016/j.envres.2018.12.055","ISSN":"10960953","abstract":"Bisphenol A (BPA) is a non-persistent chemical with endocrine disrupting abilities widely used in a variety of consumer products. The fetal brain is particularly sensitive to chemical exposures due to its rapid growth and complexity. Some studies have reported associationbetween maternal BPA exposure and behavior but few have assessed impact on cognitive development, and to our knowledge no studies have specifically assessed the impact on language development. We therefore assessed whether maternal urinary BPA concentration during pregnancy was associated with language development and attention-deficit and hyperactivity disorder (ADHD) symptoms in offspring aged 18–36 months in the prospective Odense Child Cohort. BPA was analyzed in 3rd trimester maternal fasting urine spot samples. Language development was addressed among 535 children using the Danish adaptation of the MacArthur-Bates Communicative Development Inventories at median age 21 months; ADHD traits were assessed by parents of 658 children using the Child Behavior Checklist for ages 1½-5 years at mean age 2.7 years. Associations were assessed using logistic regression models comparing children below the 15th percentile score for language and above the 85 percentiles score for ADHD with the other children while stratifying by sex and adjusting for maternal education, duration of breastfeeding and maternal urine phthalates. BPA was detected in 85.3% of the urine samples (median 1.2 ng/ml). Boys of mothers with BPA exposure in the highest tertile had an odds ratio of 3.70 (95% CI 1.34–10.21) of being in the lowest 15th percentile of vocabulary score compared to boys of mothers within the lowest tertile of BPA exposure after adjustment, whereas no association was found in girls. No clear dose-response relationship between maternal BPA and ADHD scores above the 85th percentile was found for either sex. Since early language development is a predictor of future reading skills and educational success, more epidemiological studies assessing BPA exposure and language skills are needed to confirm our findings.","author":[{"dropping-particle":"","family":"Jensen","given":"Tina Kold","non-dropping-particle":"","parse-names":false,"suffix":""},{"dropping-particle":"","family":"Mustieles","given":"Vicente","non-dropping-particle":"","parse-names":false,"suffix":""},{"dropping-particle":"","family":"Bleses","given":"Dorthe","non-dropping-particle":"","parse-names":false,"suffix":""},{"dropping-particle":"","family":"Frederiksen","given":"Hanne","non-dropping-particle":"","parse-names":false,"suffix":""},{"dropping-particle":"","family":"Trecca","given":"Fabio","non-dropping-particle":"","parse-names":false,"suffix":""},{"dropping-particle":"","family":"Schoeters","given":"Greet","non-dropping-particle":"","parse-names":false,"suffix":""},{"dropping-particle":"","family":"Andersen","given":"Helle Raun","non-dropping-particle":"","parse-names":false,"suffix":""},{"dropping-particle":"","family":"Grandjean","given":"Philippe","non-dropping-particle":"","parse-names":false,"suffix":""},{"dropping-particle":"","family":"Kyhl","given":"Henriette Boye","non-dropping-particle":"","parse-names":false,"suffix":""},{"dropping-particle":"","family":"Juul","given":"Anders","non-dropping-particle":"","parse-names":false,"suffix":""},{"dropping-particle":"","family":"Bilenberg","given":"Niels","non-dropping-particle":"","parse-names":false,"suffix":""},{"dropping-particle":"","family":"Andersson","given":"Anna Maria","non-dropping-particle":"","parse-names":false,"suffix":""}],"container-title":"Environmental Research","id":"ITEM-1","issued":{"date-parts":[["2019","3","1"]]},"page":"398-405","publisher":"Academic Press Inc.","title":"Prenatal bisphenol A exposure is associated with language development but not with ADHD-related behavior in toddlers from the Odense Child Cohort","type":"article-journal","volume":"170"},"uris":["http://www.mendeley.com/documents/?uuid=589bd4db-266f-3cb3-b067-ff55ff45b3f8"]}],"mendeley":{"formattedCitation":"[15]","plainTextFormattedCitation":"[15]","previouslyFormattedCitation":"[14]"},"properties":{"noteIndex":0},"schema":"https://github.com/citation-style-language/schema/raw/master/csl-citation.json"}</w:instrText>
            </w:r>
            <w:r w:rsidR="00C62CBF">
              <w:rPr>
                <w:sz w:val="20"/>
                <w:szCs w:val="20"/>
              </w:rPr>
              <w:fldChar w:fldCharType="separate"/>
            </w:r>
            <w:r w:rsidR="004207B1" w:rsidRPr="004207B1">
              <w:rPr>
                <w:noProof/>
                <w:sz w:val="20"/>
                <w:szCs w:val="20"/>
              </w:rPr>
              <w:t>[15]</w:t>
            </w:r>
            <w:r w:rsidR="00C62CBF">
              <w:rPr>
                <w:sz w:val="20"/>
                <w:szCs w:val="20"/>
              </w:rPr>
              <w:fldChar w:fldCharType="end"/>
            </w:r>
          </w:p>
        </w:tc>
        <w:tc>
          <w:tcPr>
            <w:tcW w:w="990" w:type="dxa"/>
            <w:vAlign w:val="center"/>
          </w:tcPr>
          <w:p w14:paraId="406D152D" w14:textId="2D4E8CAD" w:rsidR="00CF7295" w:rsidRPr="00D959F7" w:rsidRDefault="00BC0B0E" w:rsidP="00082177">
            <w:pPr>
              <w:jc w:val="center"/>
              <w:rPr>
                <w:sz w:val="20"/>
                <w:szCs w:val="20"/>
              </w:rPr>
            </w:pPr>
            <w:r>
              <w:rPr>
                <w:sz w:val="20"/>
                <w:szCs w:val="20"/>
              </w:rPr>
              <w:t>658</w:t>
            </w:r>
          </w:p>
        </w:tc>
        <w:tc>
          <w:tcPr>
            <w:tcW w:w="1980" w:type="dxa"/>
            <w:vAlign w:val="center"/>
          </w:tcPr>
          <w:p w14:paraId="33D23F1B" w14:textId="0D0340A5" w:rsidR="00CF7295" w:rsidRPr="00D959F7" w:rsidRDefault="00CF7295" w:rsidP="00082177">
            <w:pPr>
              <w:jc w:val="center"/>
              <w:rPr>
                <w:sz w:val="20"/>
                <w:szCs w:val="20"/>
              </w:rPr>
            </w:pPr>
            <w:r w:rsidRPr="00D959F7">
              <w:rPr>
                <w:sz w:val="20"/>
                <w:szCs w:val="20"/>
              </w:rPr>
              <w:t>1</w:t>
            </w:r>
            <w:r>
              <w:rPr>
                <w:sz w:val="20"/>
                <w:szCs w:val="20"/>
              </w:rPr>
              <w:t xml:space="preserve"> (gestation week</w:t>
            </w:r>
            <w:r w:rsidR="00131C3A">
              <w:rPr>
                <w:sz w:val="20"/>
                <w:szCs w:val="20"/>
              </w:rPr>
              <w:t xml:space="preserve"> 28</w:t>
            </w:r>
            <w:r w:rsidR="00131C3A" w:rsidRPr="00131C3A">
              <w:rPr>
                <w:sz w:val="20"/>
                <w:szCs w:val="20"/>
                <w:vertAlign w:val="superscript"/>
              </w:rPr>
              <w:t>th</w:t>
            </w:r>
            <w:r>
              <w:rPr>
                <w:sz w:val="20"/>
                <w:szCs w:val="20"/>
              </w:rPr>
              <w:t>)</w:t>
            </w:r>
          </w:p>
        </w:tc>
        <w:tc>
          <w:tcPr>
            <w:tcW w:w="1513" w:type="dxa"/>
            <w:vAlign w:val="center"/>
          </w:tcPr>
          <w:p w14:paraId="5CA690EC" w14:textId="14F3FB79" w:rsidR="00CF7295" w:rsidRPr="00D959F7" w:rsidRDefault="00CF7295" w:rsidP="00082177">
            <w:pPr>
              <w:jc w:val="center"/>
              <w:rPr>
                <w:sz w:val="20"/>
                <w:szCs w:val="20"/>
              </w:rPr>
            </w:pPr>
            <w:r w:rsidRPr="00D959F7">
              <w:rPr>
                <w:sz w:val="20"/>
                <w:szCs w:val="20"/>
              </w:rPr>
              <w:t>Any</w:t>
            </w:r>
          </w:p>
        </w:tc>
        <w:tc>
          <w:tcPr>
            <w:tcW w:w="2182" w:type="dxa"/>
            <w:vAlign w:val="center"/>
          </w:tcPr>
          <w:p w14:paraId="7D12998E" w14:textId="5D0E8BAF" w:rsidR="00CF7295" w:rsidRPr="00D959F7" w:rsidRDefault="00CF7295" w:rsidP="00082177">
            <w:pPr>
              <w:jc w:val="center"/>
              <w:rPr>
                <w:sz w:val="20"/>
                <w:szCs w:val="20"/>
              </w:rPr>
            </w:pPr>
            <w:r w:rsidRPr="00D959F7">
              <w:rPr>
                <w:sz w:val="20"/>
                <w:szCs w:val="20"/>
              </w:rPr>
              <w:t>Poorer language development in boys</w:t>
            </w:r>
            <w:r w:rsidR="005C466C">
              <w:rPr>
                <w:sz w:val="20"/>
                <w:szCs w:val="20"/>
              </w:rPr>
              <w:t xml:space="preserve"> at 2-3 yrs</w:t>
            </w:r>
            <w:r w:rsidR="004B692A">
              <w:rPr>
                <w:sz w:val="20"/>
                <w:szCs w:val="20"/>
              </w:rPr>
              <w:t>.</w:t>
            </w:r>
          </w:p>
        </w:tc>
      </w:tr>
      <w:tr w:rsidR="0013062F" w14:paraId="7BBF5925" w14:textId="77777777" w:rsidTr="000777B6">
        <w:trPr>
          <w:trHeight w:val="1345"/>
          <w:jc w:val="center"/>
        </w:trPr>
        <w:tc>
          <w:tcPr>
            <w:tcW w:w="2515" w:type="dxa"/>
            <w:vAlign w:val="center"/>
          </w:tcPr>
          <w:p w14:paraId="350B1BC6" w14:textId="77777777" w:rsidR="00CF7295" w:rsidRPr="00D34DEE" w:rsidRDefault="00CF7295" w:rsidP="00131C3A">
            <w:pPr>
              <w:rPr>
                <w:b/>
                <w:bCs/>
                <w:sz w:val="20"/>
                <w:szCs w:val="20"/>
              </w:rPr>
            </w:pPr>
            <w:r w:rsidRPr="00D34DEE">
              <w:rPr>
                <w:b/>
                <w:bCs/>
                <w:sz w:val="20"/>
                <w:szCs w:val="20"/>
              </w:rPr>
              <w:t>INMA-Granada</w:t>
            </w:r>
          </w:p>
          <w:p w14:paraId="78B3C77C" w14:textId="3674C07B" w:rsidR="00CF7295" w:rsidRPr="00C62CBF" w:rsidRDefault="00CF7295" w:rsidP="00131C3A">
            <w:pPr>
              <w:rPr>
                <w:sz w:val="20"/>
                <w:szCs w:val="20"/>
                <w:lang w:val="es-ES"/>
              </w:rPr>
            </w:pPr>
            <w:r w:rsidRPr="00D34DEE">
              <w:rPr>
                <w:sz w:val="20"/>
                <w:szCs w:val="20"/>
              </w:rPr>
              <w:t>Pérez-Lobato et al., 2016</w:t>
            </w:r>
            <w:r w:rsidR="00C62CBF" w:rsidRPr="00D34DEE">
              <w:rPr>
                <w:sz w:val="20"/>
                <w:szCs w:val="20"/>
              </w:rPr>
              <w:t xml:space="preserve"> </w:t>
            </w:r>
            <w:r w:rsidR="00C62CBF">
              <w:rPr>
                <w:sz w:val="20"/>
                <w:szCs w:val="20"/>
                <w:lang w:val="es-ES"/>
              </w:rPr>
              <w:fldChar w:fldCharType="begin" w:fldLock="1"/>
            </w:r>
            <w:r w:rsidR="004207B1" w:rsidRPr="00D34DEE">
              <w:rPr>
                <w:sz w:val="20"/>
                <w:szCs w:val="20"/>
              </w:rPr>
              <w:instrText>ADDIN CSL_CITATION {"citationItems":[{"id":"ITEM-1","itemData":{"DOI":"10.1016/j.neuro.2015.12.001","ISSN":"0161813X","PMID":"26654821","abstract":"INTRODUCTION Bisphenol A (BPA) exposure has been shown to affect human brain neurodevelopment and behavior. OBJECTIVE We aimed to investigate whether environmental exposure to BPA in children was associated with their childhood behavior. METHODS Urinary BPA concentrations and behavioral characteristics were assessed in 300 children belonging to the INMA \"Environment and Childhood\" Granada birth cohort in their follow-up at 9-11 years of age. BPA concentrations were quantified in urine using liquid chromatography-tandem mass spectrometry (LC-MS-MS), and child behavior reported by parents using the Child Behavior Checklist (CBCL/6-18) under supervision of a psychologist. The association between BPA concentrations and CBCL standardized scores was analyzed using linear regression models, adjusted for important covariates. RESULTS Median (P25, P75) BPA concentration was 4.76 (2.77, 9.03)</w:instrText>
            </w:r>
            <w:r w:rsidR="004207B1">
              <w:rPr>
                <w:sz w:val="20"/>
                <w:szCs w:val="20"/>
              </w:rPr>
              <w:instrText>μ</w:instrText>
            </w:r>
            <w:r w:rsidR="004207B1" w:rsidRPr="00D34DEE">
              <w:rPr>
                <w:sz w:val="20"/>
                <w:szCs w:val="20"/>
              </w:rPr>
              <w:instrText>g/L. Mean (±SD) CBCL externalizing and internalizing scores were 56.35 (±8.06) and 51.36 (±9.22), respectively. In multivariate regression analyses, adjusted for maternal and child characteristics, higher BPA concentrations were associated with worse behavioral scores on all scales. Children with BPA concentrations in the 4th</w:instrText>
            </w:r>
            <w:r w:rsidR="004207B1" w:rsidRPr="0013062F">
              <w:rPr>
                <w:sz w:val="20"/>
                <w:szCs w:val="20"/>
                <w:lang w:val="es-ES"/>
              </w:rPr>
              <w:instrText xml:space="preserve"> quartile had more somatic complaints (</w:instrText>
            </w:r>
            <w:r w:rsidR="004207B1">
              <w:rPr>
                <w:sz w:val="20"/>
                <w:szCs w:val="20"/>
              </w:rPr>
              <w:instrText>β</w:instrText>
            </w:r>
            <w:r w:rsidR="004207B1" w:rsidRPr="0013062F">
              <w:rPr>
                <w:sz w:val="20"/>
                <w:szCs w:val="20"/>
                <w:lang w:val="es-ES"/>
              </w:rPr>
              <w:instrText>=2.35; 95% CI: 0.25, 4.46) and social (</w:instrText>
            </w:r>
            <w:r w:rsidR="004207B1">
              <w:rPr>
                <w:sz w:val="20"/>
                <w:szCs w:val="20"/>
              </w:rPr>
              <w:instrText>β</w:instrText>
            </w:r>
            <w:r w:rsidR="004207B1" w:rsidRPr="0013062F">
              <w:rPr>
                <w:sz w:val="20"/>
                <w:szCs w:val="20"/>
                <w:lang w:val="es-ES"/>
              </w:rPr>
              <w:instrText>=1.71; 95% CI: 0.19, 3.22) and thought problems (</w:instrText>
            </w:r>
            <w:r w:rsidR="004207B1">
              <w:rPr>
                <w:sz w:val="20"/>
                <w:szCs w:val="20"/>
              </w:rPr>
              <w:instrText>β</w:instrText>
            </w:r>
            <w:r w:rsidR="004207B1" w:rsidRPr="0013062F">
              <w:rPr>
                <w:sz w:val="20"/>
                <w:szCs w:val="20"/>
                <w:lang w:val="es-ES"/>
              </w:rPr>
              <w:instrText>=2.58; 95% CI: 0.66, 4.51) in comparison to those in the 1st quartile. Children with values in the 3rd quartile of BPA concentrations also showed greater social problems (</w:instrText>
            </w:r>
            <w:r w:rsidR="004207B1">
              <w:rPr>
                <w:sz w:val="20"/>
                <w:szCs w:val="20"/>
              </w:rPr>
              <w:instrText>β</w:instrText>
            </w:r>
            <w:r w:rsidR="004207B1" w:rsidRPr="0013062F">
              <w:rPr>
                <w:sz w:val="20"/>
                <w:szCs w:val="20"/>
                <w:lang w:val="es-ES"/>
              </w:rPr>
              <w:instrText>=1.94; 95% CI: 0.43, 3.45). CONCLUSIONS Our results suggest that exposure to BPA in childhood may affect children's behavior. Although further investigations are required, preventive measures should be undertaken to reduce inadvertent exposure to BPA.","author":[{"dropping-particle":"","family":"Perez-Lobato","given":"R.","non-dropping-particle":"","parse-names":false,"suffix":""},{"dropping-particle":"","family":"Mustieles","given":"V.","non-dropping-particle":"","parse-names":false,"suffix":""},{"dropping-particle":"","family":"Calvente","given":"I.","non-dropping-particle":"","parse-names":false,"suffix":""},{"dropping-particle":"","family":"Jimenez-Diaz","given":"I.","non-dropping-particle":"","parse-names":false,"suffix":""},{"dropping-particle":"","family":"Ramos","given":"R.","non-dropping-particle":"","parse-names":false,"suffix":""},{"dropping-particle":"","family":"Caballero-Casero","given":"N.","non-dropping-particle":"","parse-names":false,"suffix":""},{"dropping-particle":"","family":"López-Jiménez","given":"F.J.","non-dropping-particle":"","parse-names":false,"suffix":""},{"dropping-particle":"","family":"Rubio","given":"S.","non-dropping-particle":"","parse-names":false,"suffix":""},{"dropping-particle":"","family":"Olea","given":"N.","non-dropping-particle":"","</w:instrText>
            </w:r>
            <w:r w:rsidR="004207B1">
              <w:rPr>
                <w:sz w:val="20"/>
                <w:szCs w:val="20"/>
              </w:rPr>
              <w:instrText>parse-names":false,"suffix":""},{"dropping-particle":"","family":"Fernandez","given":"M.F.","non-dropping-particle":"","parse-names":false,"suffix":""}],"container-title":"NeuroToxicology","id":"ITEM-1","issued":{"date-parts":[["2016","3"]]},"page":"12-19","title":"Exposure to bisphenol A and behavior in school-age children","type":"article-journal","volume":"53"},"uris":["http://www.mendeley.com/documents/?uuid=c6a0540a-532e-30af-83a5-1ab4ed06a011"]}],"mendeley":{"formattedCitation":"[21]","plainTextFormattedCitation":"[21]","previouslyFormattedCitation":"[20]"},"properties":{"noteIndex":0},"schema":"https://github.com/citation-style-language/schema/raw/master/csl-citation.json"}</w:instrText>
            </w:r>
            <w:r w:rsidR="00C62CBF">
              <w:rPr>
                <w:sz w:val="20"/>
                <w:szCs w:val="20"/>
                <w:lang w:val="es-ES"/>
              </w:rPr>
              <w:fldChar w:fldCharType="separate"/>
            </w:r>
            <w:r w:rsidR="004207B1" w:rsidRPr="004207B1">
              <w:rPr>
                <w:noProof/>
                <w:sz w:val="20"/>
                <w:szCs w:val="20"/>
                <w:lang w:val="es-ES"/>
              </w:rPr>
              <w:t>[21]</w:t>
            </w:r>
            <w:r w:rsidR="00C62CBF">
              <w:rPr>
                <w:sz w:val="20"/>
                <w:szCs w:val="20"/>
                <w:lang w:val="es-ES"/>
              </w:rPr>
              <w:fldChar w:fldCharType="end"/>
            </w:r>
          </w:p>
          <w:p w14:paraId="7B2EA9E0" w14:textId="523638E8" w:rsidR="00CF7295" w:rsidRPr="00805C17" w:rsidRDefault="00CF7295" w:rsidP="00131C3A">
            <w:pPr>
              <w:rPr>
                <w:sz w:val="20"/>
                <w:szCs w:val="20"/>
              </w:rPr>
            </w:pPr>
            <w:r w:rsidRPr="00C62CBF">
              <w:rPr>
                <w:sz w:val="20"/>
                <w:szCs w:val="20"/>
                <w:lang w:val="es-ES"/>
              </w:rPr>
              <w:t>Rodríguez-Carrillo et al., 2019</w:t>
            </w:r>
            <w:r w:rsidR="00C62CBF">
              <w:rPr>
                <w:sz w:val="20"/>
                <w:szCs w:val="20"/>
                <w:lang w:val="es-ES"/>
              </w:rPr>
              <w:t xml:space="preserve"> </w:t>
            </w:r>
            <w:r w:rsidR="00C62CBF">
              <w:rPr>
                <w:sz w:val="20"/>
                <w:szCs w:val="20"/>
                <w:lang w:val="es-ES"/>
              </w:rPr>
              <w:fldChar w:fldCharType="begin" w:fldLock="1"/>
            </w:r>
            <w:r w:rsidR="004207B1">
              <w:rPr>
                <w:sz w:val="20"/>
                <w:szCs w:val="20"/>
                <w:lang w:val="es-ES"/>
              </w:rPr>
              <w:instrText>ADDIN CSL_CITATION {"citationItems":[{"id":"ITEM-1","itemData":{"DOI":"10.1016/j.neuro.2019.06.006","ISSN":"18729711","abstract":"Background: Bisphenol A (BPA) has been associated with impairments in children's behavior, but few studies have investigated its relationship with cognitive function. Objective: To investigate the association of urinary BPA concentrations with cognitive domains and intelligence quotient (IQ) in Spanish boys. Methods: BPA levels were quantified by liquid chromatography-tandem mass spectrometry (LC–MS-MS) in one spot urine sample from 269 boys of the INMA-Granada cohort, in their follow-up at 9–11 years of age. Cognitive function was evaluated by a trained psychologist using a comprehensive neuropsychological test battery (including general intelligence, language skills, working memory, attention, impulsivity, visual-motor coordination, processing speed and executive function, among others). Cross-sectional associations between BPA levels and neuropsychological standardized scores were analyzed by adjusted linear and logistic regression models. Results: Median (P25, P75) BPA concentrations were 4.76 (2.77, 9.03) μg/L and 4.75 (2.75, 10.2) μg/g of creatinine (Cr). Boys in the third and fourth quartile of volume-based BPA concentrations showed better processing speed scores than boys in the first quartile (β = 5.47; 95%CI: 1.4, 9.4 and β = 3.57; 95%CI: -0.4, 7.5, respectively); and boys in the third quartile showed better inhibitory control (β = 1.6; 95%CI: -0.3, 3.5) and impulsivity (β= -4.2; 95%CI: -9.0, 0.0). In contrast, boys in the fourth quartile showed poorer working memory scores than those in the first quartile (β= -1.0; 95%CI: -2.1, -0.1). All these associations were attenuated when Cr-standardized BPA concentrations were considered. Cr-based BPA concentrations were also associated with a higher risk of being below the 20th percentile of working memory scores [ORa = 1.51; 95%CI: 1.01, 2.25]. Discussion: Our findings do not support an association between urinary BPA concentrations and cognitive function or IQ among boys, except for working memory. BPA was previously found to be associated with behavior problems in the same study population, suggesting that BPA may predominantly affect the behavior of children rather than their cognitive function, in line with previous epidemiologic studies.","author":[{"dropping-particle":"","family":"Rodríguez-Carrillo","given":"Andrea","non-dropping-particle":"","parse-names":false,"suffix":""},{"dropping-particle":"","family":"Mustieles","given":"Vicente","non-dropping-particle":"","pa</w:instrText>
            </w:r>
            <w:r w:rsidR="004207B1" w:rsidRPr="004207B1">
              <w:rPr>
                <w:sz w:val="20"/>
                <w:szCs w:val="20"/>
              </w:rPr>
              <w:instrText>rse-names":false,"suffix":""},{"dropping-particle":"","family":"Pérez-Lobato","given":"Rocío","non-dropping-particle":"","parse-names":false,"suffix":""},{"dropping-particle":"","family":"Molina-Molina","given":"José M.","non-dropping-particle":"","parse-names":false,"suffix":""},{"dropping-particle":"","family":"Reina-Pérez","given":"Iris","non-dropping-particle":"","parse-names":false,"suffix":""},{"dropping-particle":"","family":"Vela-Soria","given":"Fernando","non-dropping-particle":"","parse-names":false,"suffix":""},{"dropping-particle":"","family":"Rubio","given":"Soledad","non-dropping-particle":"","parse-names":false,"suffix":""},{"dropping-particle":"","family":"Olea","given":"Nicolás","non-dropping-particle":"","parse-names":false,"suffix":""},{"dropping-particle":"","family":"Fernández","given":"Mariana F.","non-dropping-particle":"","parse-names":false,"suffix":""}],"container-title":"NeuroToxicology","id":"ITEM-1","issued":{"date-parts":[["2019","9","1"]]},"page":"162-171","publisher":"Elsevier B.V.","title":"Bisphenol A and cognitive function in school-age boys: Is BPA predominantly related to behavior?","type":"article-journal","volume":"74"},"uris":["http://www.mendeley.com/documents/?uuid=c767ad22-2004-34c3-a05c-412a67e9be81"]}],"mendeley":{"formattedCitation":"[22]","plainTextFormattedCitation":"[22]","previouslyFormattedCitation":"[21]"},"properties":{"noteIndex":0},"schema":"https://github.com/citation-style-language/schema/raw/master/csl-citation.json"}</w:instrText>
            </w:r>
            <w:r w:rsidR="00C62CBF">
              <w:rPr>
                <w:sz w:val="20"/>
                <w:szCs w:val="20"/>
                <w:lang w:val="es-ES"/>
              </w:rPr>
              <w:fldChar w:fldCharType="separate"/>
            </w:r>
            <w:r w:rsidR="004207B1" w:rsidRPr="004207B1">
              <w:rPr>
                <w:noProof/>
                <w:sz w:val="20"/>
                <w:szCs w:val="20"/>
              </w:rPr>
              <w:t>[22]</w:t>
            </w:r>
            <w:r w:rsidR="00C62CBF">
              <w:rPr>
                <w:sz w:val="20"/>
                <w:szCs w:val="20"/>
                <w:lang w:val="es-ES"/>
              </w:rPr>
              <w:fldChar w:fldCharType="end"/>
            </w:r>
          </w:p>
        </w:tc>
        <w:tc>
          <w:tcPr>
            <w:tcW w:w="990" w:type="dxa"/>
            <w:vAlign w:val="center"/>
          </w:tcPr>
          <w:p w14:paraId="4837DF0D" w14:textId="4AB91B2D" w:rsidR="00CF7295" w:rsidRPr="00D959F7" w:rsidRDefault="00CF794C" w:rsidP="000E3E39">
            <w:pPr>
              <w:jc w:val="center"/>
              <w:rPr>
                <w:sz w:val="20"/>
                <w:szCs w:val="20"/>
              </w:rPr>
            </w:pPr>
            <w:r>
              <w:rPr>
                <w:sz w:val="20"/>
                <w:szCs w:val="20"/>
              </w:rPr>
              <w:t>300</w:t>
            </w:r>
          </w:p>
        </w:tc>
        <w:tc>
          <w:tcPr>
            <w:tcW w:w="1980" w:type="dxa"/>
            <w:vAlign w:val="center"/>
          </w:tcPr>
          <w:p w14:paraId="2274C61F" w14:textId="00483036" w:rsidR="00CF7295" w:rsidRPr="00D959F7" w:rsidRDefault="00CF7295" w:rsidP="000E3E39">
            <w:pPr>
              <w:jc w:val="center"/>
              <w:rPr>
                <w:sz w:val="20"/>
                <w:szCs w:val="20"/>
              </w:rPr>
            </w:pPr>
            <w:r>
              <w:rPr>
                <w:sz w:val="20"/>
                <w:szCs w:val="20"/>
              </w:rPr>
              <w:t>1 (at 9-11 yrs</w:t>
            </w:r>
            <w:r w:rsidR="004B692A">
              <w:rPr>
                <w:sz w:val="20"/>
                <w:szCs w:val="20"/>
              </w:rPr>
              <w:t>.</w:t>
            </w:r>
            <w:r>
              <w:rPr>
                <w:sz w:val="20"/>
                <w:szCs w:val="20"/>
              </w:rPr>
              <w:t>)</w:t>
            </w:r>
          </w:p>
        </w:tc>
        <w:tc>
          <w:tcPr>
            <w:tcW w:w="1513" w:type="dxa"/>
            <w:vAlign w:val="center"/>
          </w:tcPr>
          <w:p w14:paraId="0690B6B7" w14:textId="7C6F18D4" w:rsidR="00CF7295" w:rsidRPr="00D959F7" w:rsidRDefault="00CF7295" w:rsidP="000E3E39">
            <w:pPr>
              <w:jc w:val="center"/>
              <w:rPr>
                <w:sz w:val="20"/>
                <w:szCs w:val="20"/>
              </w:rPr>
            </w:pPr>
            <w:r w:rsidRPr="00D959F7">
              <w:rPr>
                <w:sz w:val="20"/>
                <w:szCs w:val="20"/>
              </w:rPr>
              <w:t xml:space="preserve">Several </w:t>
            </w:r>
          </w:p>
        </w:tc>
        <w:tc>
          <w:tcPr>
            <w:tcW w:w="2182" w:type="dxa"/>
            <w:vAlign w:val="center"/>
          </w:tcPr>
          <w:p w14:paraId="78BE4FF0" w14:textId="6C6E4308" w:rsidR="00CF7295" w:rsidRPr="00D959F7" w:rsidRDefault="00CF7295" w:rsidP="000E3E39">
            <w:pPr>
              <w:jc w:val="center"/>
              <w:rPr>
                <w:sz w:val="20"/>
                <w:szCs w:val="20"/>
              </w:rPr>
            </w:pPr>
            <w:r w:rsidRPr="00D959F7">
              <w:rPr>
                <w:sz w:val="20"/>
                <w:szCs w:val="20"/>
              </w:rPr>
              <w:t xml:space="preserve">Any, except </w:t>
            </w:r>
            <w:r>
              <w:rPr>
                <w:sz w:val="20"/>
                <w:szCs w:val="20"/>
              </w:rPr>
              <w:t xml:space="preserve">poorer </w:t>
            </w:r>
            <w:r w:rsidRPr="00D959F7">
              <w:rPr>
                <w:sz w:val="20"/>
                <w:szCs w:val="20"/>
              </w:rPr>
              <w:t>working memory</w:t>
            </w:r>
            <w:r w:rsidR="00CD1432">
              <w:rPr>
                <w:sz w:val="20"/>
                <w:szCs w:val="20"/>
              </w:rPr>
              <w:t xml:space="preserve"> at 9-11 yrs</w:t>
            </w:r>
            <w:r w:rsidR="004B692A">
              <w:rPr>
                <w:sz w:val="20"/>
                <w:szCs w:val="20"/>
              </w:rPr>
              <w:t>.</w:t>
            </w:r>
            <w:r>
              <w:rPr>
                <w:sz w:val="20"/>
                <w:szCs w:val="20"/>
              </w:rPr>
              <w:t xml:space="preserve"> (only boys)</w:t>
            </w:r>
          </w:p>
        </w:tc>
      </w:tr>
      <w:tr w:rsidR="0013062F" w14:paraId="270F83E6" w14:textId="77777777" w:rsidTr="000777B6">
        <w:trPr>
          <w:trHeight w:val="1183"/>
          <w:jc w:val="center"/>
        </w:trPr>
        <w:tc>
          <w:tcPr>
            <w:tcW w:w="2515" w:type="dxa"/>
            <w:vAlign w:val="center"/>
          </w:tcPr>
          <w:p w14:paraId="7BD82EA0" w14:textId="77777777" w:rsidR="00CF7295" w:rsidRPr="004D2B00" w:rsidRDefault="00CF7295" w:rsidP="00131C3A">
            <w:pPr>
              <w:rPr>
                <w:b/>
                <w:bCs/>
                <w:sz w:val="20"/>
                <w:szCs w:val="20"/>
              </w:rPr>
            </w:pPr>
            <w:r w:rsidRPr="004D2B00">
              <w:rPr>
                <w:b/>
                <w:bCs/>
                <w:sz w:val="20"/>
                <w:szCs w:val="20"/>
              </w:rPr>
              <w:t>NECAT</w:t>
            </w:r>
          </w:p>
          <w:p w14:paraId="593F6FBA" w14:textId="3D2113DA" w:rsidR="00CF7295" w:rsidRPr="00805C17" w:rsidRDefault="00CF7295" w:rsidP="00131C3A">
            <w:pPr>
              <w:rPr>
                <w:sz w:val="20"/>
                <w:szCs w:val="20"/>
              </w:rPr>
            </w:pPr>
            <w:proofErr w:type="spellStart"/>
            <w:r w:rsidRPr="00805C17">
              <w:rPr>
                <w:sz w:val="20"/>
                <w:szCs w:val="20"/>
              </w:rPr>
              <w:t>Masejerian</w:t>
            </w:r>
            <w:proofErr w:type="spellEnd"/>
            <w:r w:rsidRPr="00805C17">
              <w:rPr>
                <w:sz w:val="20"/>
                <w:szCs w:val="20"/>
              </w:rPr>
              <w:t xml:space="preserve"> et al., 2012a </w:t>
            </w:r>
            <w:r w:rsidR="00C62CBF">
              <w:rPr>
                <w:sz w:val="20"/>
                <w:szCs w:val="20"/>
              </w:rPr>
              <w:fldChar w:fldCharType="begin" w:fldLock="1"/>
            </w:r>
            <w:r w:rsidR="004207B1">
              <w:rPr>
                <w:sz w:val="20"/>
                <w:szCs w:val="20"/>
              </w:rPr>
              <w:instrText>ADDIN CSL_CITATION {"citationItems":[{"id":"ITEM-1","itemData":{"DOI":"10.1542/peds.2011-3374","ISSN":"00314005","abstract":"BACKGROUND AND OBJECTIVE: Resin-based dentalmaterialsmay intraorally release their chemical components and bisphenol A. The New England Children's AmalgamTrial found that children randomized to amalgam had better psychosocial outcomes than those assigned to composites for posterior tooth restorations. The objective of this study was to examine whether greater exposure to dental composites is associated with psychosocial problems in children. METHODS: Analysis of treatment-level data from the New England Children's Amalgam Trial, a 2-group randomized safety trial comparing amalgam with the treatment plan of bisphenol A-glycidyl methacrylate (bisGMA)-based composite and urethane dimethacrylate-based polyacid-modified composite (compomer), among 534 children aged 6 to 10 years at baseline. Psychosocial function at follow-up (n = 434) was measured by using the self-reported Behavior Assessment System for Children (BASC-SR) and parent-reported Child Behavior Checklist (CBCL). RESULTS: Children with higher cumulative exposure to bisGMA-based composite had poorer follow-up scores on 3 of 4 BASC-SR global scales: Emotional Symptoms (β = 0.8, SE = 0.3, P = .003), Clinical Maladjustment (β = 0.7, SE = 0.3, P = .02), and Personal Adjustment (β = -0.8, SE = 0.2, P = .002). Associations were stronger with posterior-occlusal (chewing) surfaces, where degradation of composite wasmore likely. For CBCL change, associations were not statistically significant. At-risk or clinically significant scores were more common among children with greater exposure for CBCL Total Problem Behaviors (16.3% vs 11.2%, P-trend = .01) and numerous BASC-SR syndromes (eg,≥13 vs 0 surface-years, Interpersonal Relations 13.7% vs 4.8%, P-trend = .01). No associations were found with compomer, nor with amalgam exposure levels among children randomized to amalgam. CONCLUSIONS: Greater exposure to bisGMA-based dental composite restorations was associated with impaired psychosocial function in children, whereas no adverse psychosocial outcomes were observed with greater urethane dimethacrylate-based compomer or amalgam treatment levels. Copyright © 2012 by the American Academy of Pediatrics.","author":[{"dropping-particle":"","family":"Maserejian","given":"Nancy N.","non-dropping-particle":"","parse-names":false,"suffix":""},{"dropping-particle":"","family":"Trachtenberg","given":"Felicia L.","non-dropping-particle":"","parse-names":false,"suffix":""},{"dropping-particle":"","family":"Hauser","given":"Russ","non-dropping-particle":"","parse-names":false,"suffix":""},{"dropping-particle":"","family":"McKinlay","given":"Sonja","non-dropping-particle":"","parse-names":false,"suffix":""},{"dropping-particle":"","family":"Shrader","given":"Peter","non-dropping-particle":"","parse-names":false,"suffix":""},{"dropping-particle":"","family":"Tavares","given":"Mary","non-dropping-particle":"","parse-names":false,"suffix":""},{"dropping-particle":"","family":"Bellinger","given":"David C.","non-dropping-particle":"","parse-names":false,"suffix":""}],"container-title":"Pediatrics","id":"ITEM-1","issue":"2","issued":{"date-parts":[["2012","8"]]},"page":"e328-38","title":"Dental composite restorations and psychosocial function in children","type":"article-journal","volume":"130"},"uris":["http://www.mendeley.com/documents/?uuid=12b334a8-e26a-3413-a17e-434014aefbab"]}],"mendeley":{"formattedCitation":"[23]","plainTextFormattedCitation":"[23]","previouslyFormattedCitation":"[22]"},"properties":{"noteIndex":0},"schema":"https://github.com/citation-style-language/schema/raw/master/csl-citation.json"}</w:instrText>
            </w:r>
            <w:r w:rsidR="00C62CBF">
              <w:rPr>
                <w:sz w:val="20"/>
                <w:szCs w:val="20"/>
              </w:rPr>
              <w:fldChar w:fldCharType="separate"/>
            </w:r>
            <w:r w:rsidR="004207B1" w:rsidRPr="004207B1">
              <w:rPr>
                <w:noProof/>
                <w:sz w:val="20"/>
                <w:szCs w:val="20"/>
                <w:lang w:val="es-ES"/>
              </w:rPr>
              <w:t>[23]</w:t>
            </w:r>
            <w:r w:rsidR="00C62CBF">
              <w:rPr>
                <w:sz w:val="20"/>
                <w:szCs w:val="20"/>
              </w:rPr>
              <w:fldChar w:fldCharType="end"/>
            </w:r>
            <w:r w:rsidR="00C62CBF" w:rsidRPr="00EC1DC7">
              <w:rPr>
                <w:sz w:val="20"/>
                <w:szCs w:val="20"/>
                <w:lang w:val="es-ES"/>
              </w:rPr>
              <w:t xml:space="preserve"> </w:t>
            </w:r>
            <w:r w:rsidRPr="00EC1DC7">
              <w:rPr>
                <w:sz w:val="20"/>
                <w:szCs w:val="20"/>
                <w:lang w:val="es-ES"/>
              </w:rPr>
              <w:t>and 2012b</w:t>
            </w:r>
            <w:r w:rsidR="00C62CBF" w:rsidRPr="00EC1DC7">
              <w:rPr>
                <w:sz w:val="20"/>
                <w:szCs w:val="20"/>
                <w:lang w:val="es-ES"/>
              </w:rPr>
              <w:t xml:space="preserve"> </w:t>
            </w:r>
            <w:r w:rsidR="00C62CBF">
              <w:rPr>
                <w:sz w:val="20"/>
                <w:szCs w:val="20"/>
              </w:rPr>
              <w:fldChar w:fldCharType="begin" w:fldLock="1"/>
            </w:r>
            <w:r w:rsidR="004207B1">
              <w:rPr>
                <w:sz w:val="20"/>
                <w:szCs w:val="20"/>
                <w:lang w:val="es-ES"/>
              </w:rPr>
              <w:instrText>ADDIN CSL_CITATION {"citationItems":[{"id":"ITEM-1","itemData":{"DOI":"10.1016/j.neuro.2012.08.001","ISSN":"0161813X","abstract":"Background: Resin-based dental restorations may intra-orally release their components and bisphenol A. Gestational bisphenol A exposure has been associated with poorer executive functioning in children. Objectives: To examine whether exposure to resin-based composite restorations is associated with neuropsychological development in children. Methods: Secondary analysis of treatment level data from the New England Children's Amalgam Trial, a 2-group randomized safety trial conducted from 1997 to 2006. Children (N= 534) aged 6-10 y with ≥2 posterior tooth caries were randomized to treatment with amalgam or resin-based composites (bisphenol-A-diglycidyl-dimethacrylate-composite for permanent teeth; urethane dimethacrylate-based polyacid-modified compomer for primary teeth). Neuropsychological function at 4- and 5-year follow-up (N= 444) was measured by a battery of tests of executive function, intelligence, memory, visual-spatial skills, verbal fluency, and problem-solving. Multivariable generalized linear regression models were used to examine the association between composite exposure levels and changes in neuropsychological test scores from baseline to follow-up. For comparison, data on children randomized to amalgam treatment were similarly analyzed. Results: With greater exposure to either dental composite material, results were generally consistent in the direction of slightly poorer changes in tests of intelligence, achievement or memory, but there were no statistically significant associations. For the four primary measures of executive function, scores were slightly worse with greater total composite exposure, but statistically significant only for the test of Letter Fluency (10-surface-years β= -0.8, SE = 0.4, P= 0.035), and the subtest of color naming (β= -1.5, SE = 0.5, P= 0.004) in the Stroop Color-Word Interference Test. Multivariate analysis of variance confirmed that the negative associations between composite level and executive function were not statistically significant (MANOVA, P= 0.18). Results for greater amalgam exposure were mostly nonsignificant in the opposite direction of slightly improved scores over follow-up. Conclusions: Dental composite restorations had statistically insignificant associations of small magnitude wi</w:instrText>
            </w:r>
            <w:r w:rsidR="004207B1" w:rsidRPr="000777B6">
              <w:rPr>
                <w:sz w:val="20"/>
                <w:szCs w:val="20"/>
              </w:rPr>
              <w:instrText>th impairments in neuropsychological test change scores over 4- or 5-years of follow-up in this trial. © 2012 Elsevier Inc.","author":[{"dropping-particle":"","family":"Maserejian","given":"Nancy N.","non-dropping-particle":"","parse-names":false,"suffix":""},{"dropping-particle":"","family":"Trachtenberg","given":"Felicia L.","non-dropping-particle":"","parse-names":false,"suffix":""},{"dropping-particle":"","family":"Hauser","given":"Russ","non-dropping-particle":"","parse-names":false,"suffix":""},{"dropping-particle":"","family":"McKinlay","given":"Sonja","non-dropping-particle":"","parse-names":false,"suffix":""},{"dropping-particle":"","family":"Shrader","given":"Peter","non-dropping-particle":"","parse-names":false,"suffix":""},{"dropping-particle":"","family":"Bellinger","given":"David C.","non-dropping-particle":"","parse-names":false,"suffix":""}],"container-title":"NeuroToxicology","id":"ITEM-1","issue":"5","issued":{"date-parts":[["2012","10"]]},"page":"1291-1297","title":"Dental composite restorations and neuropsychological development in children: Treatment level analysis from a randomized clinical trial","type":"article-journal","volume":"33"},"uris":["http://www.mendeley.com/documents/?uuid=289a8ffb-9c4b-3bb2-9da5-58fe44759cde"]}],"mendeley":{"formattedCitation":"[24]","plainTextFormattedCitation":"[24]","previouslyFormattedCitation":"[23]"},"properties":{"noteIndex":0},"schema":"https://github.com/citation-style-language/schema/raw/master/csl-citation.json"}</w:instrText>
            </w:r>
            <w:r w:rsidR="00C62CBF">
              <w:rPr>
                <w:sz w:val="20"/>
                <w:szCs w:val="20"/>
              </w:rPr>
              <w:fldChar w:fldCharType="separate"/>
            </w:r>
            <w:r w:rsidR="004207B1" w:rsidRPr="004207B1">
              <w:rPr>
                <w:noProof/>
                <w:sz w:val="20"/>
                <w:szCs w:val="20"/>
              </w:rPr>
              <w:t>[24]</w:t>
            </w:r>
            <w:r w:rsidR="00C62CBF">
              <w:rPr>
                <w:sz w:val="20"/>
                <w:szCs w:val="20"/>
              </w:rPr>
              <w:fldChar w:fldCharType="end"/>
            </w:r>
          </w:p>
        </w:tc>
        <w:tc>
          <w:tcPr>
            <w:tcW w:w="990" w:type="dxa"/>
            <w:vAlign w:val="center"/>
          </w:tcPr>
          <w:p w14:paraId="71AE10AD" w14:textId="101AFEB7" w:rsidR="00CF7295" w:rsidRPr="00D959F7" w:rsidRDefault="001B1AB2" w:rsidP="000E3E39">
            <w:pPr>
              <w:jc w:val="center"/>
              <w:rPr>
                <w:sz w:val="20"/>
                <w:szCs w:val="20"/>
              </w:rPr>
            </w:pPr>
            <w:r>
              <w:rPr>
                <w:sz w:val="20"/>
                <w:szCs w:val="20"/>
              </w:rPr>
              <w:t>434</w:t>
            </w:r>
          </w:p>
        </w:tc>
        <w:tc>
          <w:tcPr>
            <w:tcW w:w="1980" w:type="dxa"/>
            <w:vAlign w:val="center"/>
          </w:tcPr>
          <w:p w14:paraId="3DC2C272" w14:textId="356D2F2E" w:rsidR="00CF7295" w:rsidRPr="00D959F7" w:rsidRDefault="00CF7295" w:rsidP="000E3E39">
            <w:pPr>
              <w:jc w:val="center"/>
              <w:rPr>
                <w:sz w:val="20"/>
                <w:szCs w:val="20"/>
              </w:rPr>
            </w:pPr>
            <w:r>
              <w:rPr>
                <w:sz w:val="20"/>
                <w:szCs w:val="20"/>
              </w:rPr>
              <w:t xml:space="preserve">BPA exposure estimated based on </w:t>
            </w:r>
            <w:r w:rsidR="00805C17">
              <w:rPr>
                <w:sz w:val="20"/>
                <w:szCs w:val="20"/>
              </w:rPr>
              <w:t xml:space="preserve">number of </w:t>
            </w:r>
            <w:r>
              <w:rPr>
                <w:sz w:val="20"/>
                <w:szCs w:val="20"/>
              </w:rPr>
              <w:t>composite dental restorations</w:t>
            </w:r>
          </w:p>
        </w:tc>
        <w:tc>
          <w:tcPr>
            <w:tcW w:w="1513" w:type="dxa"/>
            <w:vAlign w:val="center"/>
          </w:tcPr>
          <w:p w14:paraId="73AA6428" w14:textId="4D18744D" w:rsidR="00CF7295" w:rsidRPr="00D959F7" w:rsidRDefault="00CF7295" w:rsidP="000E3E39">
            <w:pPr>
              <w:jc w:val="center"/>
              <w:rPr>
                <w:sz w:val="20"/>
                <w:szCs w:val="20"/>
              </w:rPr>
            </w:pPr>
            <w:r w:rsidRPr="00D959F7">
              <w:rPr>
                <w:sz w:val="20"/>
                <w:szCs w:val="20"/>
              </w:rPr>
              <w:t xml:space="preserve">Several </w:t>
            </w:r>
          </w:p>
        </w:tc>
        <w:tc>
          <w:tcPr>
            <w:tcW w:w="2182" w:type="dxa"/>
            <w:vAlign w:val="center"/>
          </w:tcPr>
          <w:p w14:paraId="6AD13D14" w14:textId="41A8C1DF" w:rsidR="00CF7295" w:rsidRPr="00D959F7" w:rsidRDefault="00CF7295" w:rsidP="000E3E39">
            <w:pPr>
              <w:jc w:val="center"/>
              <w:rPr>
                <w:sz w:val="20"/>
                <w:szCs w:val="20"/>
              </w:rPr>
            </w:pPr>
            <w:r w:rsidRPr="00D959F7">
              <w:rPr>
                <w:sz w:val="20"/>
                <w:szCs w:val="20"/>
              </w:rPr>
              <w:t>Any</w:t>
            </w:r>
          </w:p>
        </w:tc>
      </w:tr>
    </w:tbl>
    <w:p w14:paraId="12A33F71" w14:textId="048D7DE5" w:rsidR="00FD6ACD" w:rsidRPr="002B28D8" w:rsidRDefault="000777B6" w:rsidP="004B692A">
      <w:pPr>
        <w:ind w:left="-340" w:right="-340"/>
        <w:rPr>
          <w:i/>
          <w:iCs/>
        </w:rPr>
      </w:pPr>
      <w:r w:rsidRPr="00FD1D3C">
        <w:rPr>
          <w:i/>
          <w:iCs/>
        </w:rPr>
        <w:t xml:space="preserve">*A p-value </w:t>
      </w:r>
      <w:r w:rsidRPr="00FD1D3C">
        <w:rPr>
          <w:rFonts w:cstheme="minorHAnsi"/>
          <w:i/>
          <w:iCs/>
        </w:rPr>
        <w:t xml:space="preserve">≤ </w:t>
      </w:r>
      <w:r w:rsidRPr="00FD1D3C">
        <w:rPr>
          <w:i/>
          <w:iCs/>
        </w:rPr>
        <w:t>0.05 defined the existence of an association. However, other parameters such as the internal validity of associations w</w:t>
      </w:r>
      <w:r w:rsidR="00AA6A03">
        <w:rPr>
          <w:i/>
          <w:iCs/>
        </w:rPr>
        <w:t>ere</w:t>
      </w:r>
      <w:r w:rsidRPr="00FD1D3C">
        <w:rPr>
          <w:i/>
          <w:iCs/>
        </w:rPr>
        <w:t xml:space="preserve"> also considered. n/a: Not applicable, since no association was reported. </w:t>
      </w:r>
      <w:r w:rsidR="00FD6ACD" w:rsidRPr="00FD1D3C">
        <w:rPr>
          <w:i/>
          <w:iCs/>
        </w:rPr>
        <w:t xml:space="preserve">EDEN </w:t>
      </w:r>
      <w:r w:rsidR="00FD6ACD" w:rsidRPr="002B28D8">
        <w:rPr>
          <w:i/>
          <w:iCs/>
        </w:rPr>
        <w:t>(</w:t>
      </w:r>
      <w:r w:rsidR="00FD6ACD">
        <w:rPr>
          <w:i/>
          <w:iCs/>
        </w:rPr>
        <w:t>S</w:t>
      </w:r>
      <w:r w:rsidR="00FD6ACD" w:rsidRPr="002B28D8">
        <w:rPr>
          <w:i/>
          <w:iCs/>
        </w:rPr>
        <w:t xml:space="preserve">tudy on the </w:t>
      </w:r>
      <w:r w:rsidR="00FD6ACD">
        <w:rPr>
          <w:i/>
          <w:iCs/>
        </w:rPr>
        <w:t>P</w:t>
      </w:r>
      <w:r w:rsidR="00FD6ACD" w:rsidRPr="002B28D8">
        <w:rPr>
          <w:i/>
          <w:iCs/>
        </w:rPr>
        <w:t xml:space="preserve">re- and </w:t>
      </w:r>
      <w:r w:rsidR="00FD6ACD">
        <w:rPr>
          <w:i/>
          <w:iCs/>
        </w:rPr>
        <w:t>E</w:t>
      </w:r>
      <w:r w:rsidR="00FD6ACD" w:rsidRPr="002B28D8">
        <w:rPr>
          <w:i/>
          <w:iCs/>
        </w:rPr>
        <w:t xml:space="preserve">arly </w:t>
      </w:r>
      <w:r w:rsidR="00FD6ACD">
        <w:rPr>
          <w:i/>
          <w:iCs/>
        </w:rPr>
        <w:t>P</w:t>
      </w:r>
      <w:r w:rsidR="00FD6ACD" w:rsidRPr="002B28D8">
        <w:rPr>
          <w:i/>
          <w:iCs/>
        </w:rPr>
        <w:t xml:space="preserve">ostnatal </w:t>
      </w:r>
      <w:r w:rsidR="00FD6ACD">
        <w:rPr>
          <w:i/>
          <w:iCs/>
        </w:rPr>
        <w:t>D</w:t>
      </w:r>
      <w:r w:rsidR="00FD6ACD" w:rsidRPr="002B28D8">
        <w:rPr>
          <w:i/>
          <w:iCs/>
        </w:rPr>
        <w:t xml:space="preserve">eterminants of </w:t>
      </w:r>
      <w:r w:rsidR="00FD6ACD">
        <w:rPr>
          <w:i/>
          <w:iCs/>
        </w:rPr>
        <w:t>C</w:t>
      </w:r>
      <w:r w:rsidR="00FD6ACD" w:rsidRPr="002B28D8">
        <w:rPr>
          <w:i/>
          <w:iCs/>
        </w:rPr>
        <w:t>hild</w:t>
      </w:r>
      <w:r w:rsidR="00FD6ACD">
        <w:rPr>
          <w:i/>
          <w:iCs/>
        </w:rPr>
        <w:t xml:space="preserve"> H</w:t>
      </w:r>
      <w:r w:rsidR="00FD6ACD" w:rsidRPr="002B28D8">
        <w:rPr>
          <w:i/>
          <w:iCs/>
        </w:rPr>
        <w:t xml:space="preserve">ealth and </w:t>
      </w:r>
      <w:r w:rsidR="00FD6ACD">
        <w:rPr>
          <w:i/>
          <w:iCs/>
        </w:rPr>
        <w:t>D</w:t>
      </w:r>
      <w:r w:rsidR="00FD6ACD" w:rsidRPr="002B28D8">
        <w:rPr>
          <w:i/>
          <w:iCs/>
        </w:rPr>
        <w:t xml:space="preserve">evelopment); HOME (Health Outcomes and Measures of the Environment Study); INMA (Environment and Childhood Project); MIREC (Maternal-Infant Research on Environmental Chemicals); </w:t>
      </w:r>
      <w:r w:rsidR="00FD6ACD">
        <w:rPr>
          <w:i/>
          <w:iCs/>
        </w:rPr>
        <w:t>OCC (Odense Child Cohort); NECAT (</w:t>
      </w:r>
      <w:r w:rsidR="00FD6ACD" w:rsidRPr="00FD6ACD">
        <w:rPr>
          <w:i/>
          <w:iCs/>
        </w:rPr>
        <w:t>New England Children’s Amalgam Trial).</w:t>
      </w:r>
    </w:p>
    <w:p w14:paraId="6B50B7AC" w14:textId="77777777" w:rsidR="00FD6ACD" w:rsidRDefault="00FD6ACD"/>
    <w:p w14:paraId="36C84A2A" w14:textId="77777777" w:rsidR="00BF70F9" w:rsidRDefault="00BF70F9">
      <w:pPr>
        <w:rPr>
          <w:b/>
          <w:bCs/>
        </w:rPr>
      </w:pPr>
    </w:p>
    <w:p w14:paraId="5E2275E0" w14:textId="77777777" w:rsidR="00BF70F9" w:rsidRDefault="00BF70F9">
      <w:pPr>
        <w:rPr>
          <w:b/>
          <w:bCs/>
        </w:rPr>
      </w:pPr>
    </w:p>
    <w:p w14:paraId="07369E22" w14:textId="77777777" w:rsidR="00BF70F9" w:rsidRDefault="00BF70F9">
      <w:pPr>
        <w:rPr>
          <w:b/>
          <w:bCs/>
        </w:rPr>
      </w:pPr>
    </w:p>
    <w:p w14:paraId="7455D7C9" w14:textId="77777777" w:rsidR="00BF70F9" w:rsidRDefault="00BF70F9">
      <w:pPr>
        <w:rPr>
          <w:b/>
          <w:bCs/>
        </w:rPr>
      </w:pPr>
    </w:p>
    <w:p w14:paraId="0115A779" w14:textId="4EA5A855" w:rsidR="00BF70F9" w:rsidRDefault="00BF70F9">
      <w:pPr>
        <w:rPr>
          <w:b/>
          <w:bCs/>
        </w:rPr>
      </w:pPr>
    </w:p>
    <w:p w14:paraId="0FE30075" w14:textId="21EAE7B2" w:rsidR="00AB04D1" w:rsidRPr="00C573FB" w:rsidRDefault="00C573FB">
      <w:pPr>
        <w:rPr>
          <w:b/>
          <w:bCs/>
        </w:rPr>
      </w:pPr>
      <w:r w:rsidRPr="00C573FB">
        <w:rPr>
          <w:b/>
          <w:bCs/>
        </w:rPr>
        <w:lastRenderedPageBreak/>
        <w:t>References:</w:t>
      </w:r>
    </w:p>
    <w:p w14:paraId="42BEEB37" w14:textId="48619E25" w:rsidR="004207B1" w:rsidRPr="004207B1" w:rsidRDefault="00EC1DC7" w:rsidP="004207B1">
      <w:pPr>
        <w:widowControl w:val="0"/>
        <w:autoSpaceDE w:val="0"/>
        <w:autoSpaceDN w:val="0"/>
        <w:adjustRightInd w:val="0"/>
        <w:spacing w:line="240" w:lineRule="auto"/>
        <w:rPr>
          <w:rFonts w:ascii="Calibri" w:hAnsi="Calibri" w:cs="Calibri"/>
          <w:noProof/>
          <w:szCs w:val="24"/>
        </w:rPr>
      </w:pPr>
      <w:r>
        <w:fldChar w:fldCharType="begin" w:fldLock="1"/>
      </w:r>
      <w:r>
        <w:instrText xml:space="preserve">ADDIN Mendeley Bibliography CSL_BIBLIOGRAPHY </w:instrText>
      </w:r>
      <w:r>
        <w:fldChar w:fldCharType="separate"/>
      </w:r>
      <w:r w:rsidR="004207B1" w:rsidRPr="004207B1">
        <w:rPr>
          <w:rFonts w:ascii="Calibri" w:hAnsi="Calibri" w:cs="Calibri"/>
          <w:noProof/>
          <w:szCs w:val="24"/>
        </w:rPr>
        <w:t>1. Braun JM, Yolton K, Dietrich KN, Hornung R, Ye X, Calafat AM, et al. Prenatal bisphenol A exposure and early childhood behavior. Environ Health Perspect. 2009;</w:t>
      </w:r>
      <w:r w:rsidR="008D2E47">
        <w:rPr>
          <w:rFonts w:ascii="Calibri" w:hAnsi="Calibri" w:cs="Calibri"/>
          <w:noProof/>
          <w:szCs w:val="24"/>
        </w:rPr>
        <w:t xml:space="preserve"> </w:t>
      </w:r>
      <w:r w:rsidR="004207B1" w:rsidRPr="004207B1">
        <w:rPr>
          <w:rFonts w:ascii="Calibri" w:hAnsi="Calibri" w:cs="Calibri"/>
          <w:noProof/>
          <w:szCs w:val="24"/>
        </w:rPr>
        <w:t xml:space="preserve">117:1945–52. </w:t>
      </w:r>
    </w:p>
    <w:p w14:paraId="31526A62" w14:textId="0B411074"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 xml:space="preserve">2. Braun JM, Kalkbrenner AE, Calafat AM, Yolton K, Ye X, Dietrich KN, et al. Impact of </w:t>
      </w:r>
      <w:r w:rsidR="008D2E47">
        <w:rPr>
          <w:rFonts w:ascii="Calibri" w:hAnsi="Calibri" w:cs="Calibri"/>
          <w:noProof/>
          <w:szCs w:val="24"/>
        </w:rPr>
        <w:t>e</w:t>
      </w:r>
      <w:r w:rsidRPr="004207B1">
        <w:rPr>
          <w:rFonts w:ascii="Calibri" w:hAnsi="Calibri" w:cs="Calibri"/>
          <w:noProof/>
          <w:szCs w:val="24"/>
        </w:rPr>
        <w:t>arly-</w:t>
      </w:r>
      <w:r w:rsidR="008D2E47">
        <w:rPr>
          <w:rFonts w:ascii="Calibri" w:hAnsi="Calibri" w:cs="Calibri"/>
          <w:noProof/>
          <w:szCs w:val="24"/>
        </w:rPr>
        <w:t>l</w:t>
      </w:r>
      <w:r w:rsidRPr="004207B1">
        <w:rPr>
          <w:rFonts w:ascii="Calibri" w:hAnsi="Calibri" w:cs="Calibri"/>
          <w:noProof/>
          <w:szCs w:val="24"/>
        </w:rPr>
        <w:t xml:space="preserve">ife </w:t>
      </w:r>
      <w:r w:rsidR="008D2E47">
        <w:rPr>
          <w:rFonts w:ascii="Calibri" w:hAnsi="Calibri" w:cs="Calibri"/>
          <w:noProof/>
          <w:szCs w:val="24"/>
        </w:rPr>
        <w:t>b</w:t>
      </w:r>
      <w:r w:rsidRPr="004207B1">
        <w:rPr>
          <w:rFonts w:ascii="Calibri" w:hAnsi="Calibri" w:cs="Calibri"/>
          <w:noProof/>
          <w:szCs w:val="24"/>
        </w:rPr>
        <w:t xml:space="preserve">isphenol A </w:t>
      </w:r>
      <w:r w:rsidR="008D2E47">
        <w:rPr>
          <w:rFonts w:ascii="Calibri" w:hAnsi="Calibri" w:cs="Calibri"/>
          <w:noProof/>
          <w:szCs w:val="24"/>
        </w:rPr>
        <w:t>e</w:t>
      </w:r>
      <w:r w:rsidRPr="004207B1">
        <w:rPr>
          <w:rFonts w:ascii="Calibri" w:hAnsi="Calibri" w:cs="Calibri"/>
          <w:noProof/>
          <w:szCs w:val="24"/>
        </w:rPr>
        <w:t xml:space="preserve">xposure on </w:t>
      </w:r>
      <w:r w:rsidR="008D2E47">
        <w:rPr>
          <w:rFonts w:ascii="Calibri" w:hAnsi="Calibri" w:cs="Calibri"/>
          <w:noProof/>
          <w:szCs w:val="24"/>
        </w:rPr>
        <w:t>b</w:t>
      </w:r>
      <w:r w:rsidRPr="004207B1">
        <w:rPr>
          <w:rFonts w:ascii="Calibri" w:hAnsi="Calibri" w:cs="Calibri"/>
          <w:noProof/>
          <w:szCs w:val="24"/>
        </w:rPr>
        <w:t xml:space="preserve">ehavior and </w:t>
      </w:r>
      <w:r w:rsidR="008D2E47">
        <w:rPr>
          <w:rFonts w:ascii="Calibri" w:hAnsi="Calibri" w:cs="Calibri"/>
          <w:noProof/>
          <w:szCs w:val="24"/>
        </w:rPr>
        <w:t>e</w:t>
      </w:r>
      <w:r w:rsidRPr="004207B1">
        <w:rPr>
          <w:rFonts w:ascii="Calibri" w:hAnsi="Calibri" w:cs="Calibri"/>
          <w:noProof/>
          <w:szCs w:val="24"/>
        </w:rPr>
        <w:t xml:space="preserve">xecutive </w:t>
      </w:r>
      <w:r w:rsidR="008D2E47">
        <w:rPr>
          <w:rFonts w:ascii="Calibri" w:hAnsi="Calibri" w:cs="Calibri"/>
          <w:noProof/>
          <w:szCs w:val="24"/>
        </w:rPr>
        <w:t>f</w:t>
      </w:r>
      <w:r w:rsidRPr="004207B1">
        <w:rPr>
          <w:rFonts w:ascii="Calibri" w:hAnsi="Calibri" w:cs="Calibri"/>
          <w:noProof/>
          <w:szCs w:val="24"/>
        </w:rPr>
        <w:t xml:space="preserve">unction in </w:t>
      </w:r>
      <w:r w:rsidR="008D2E47">
        <w:rPr>
          <w:rFonts w:ascii="Calibri" w:hAnsi="Calibri" w:cs="Calibri"/>
          <w:noProof/>
          <w:szCs w:val="24"/>
        </w:rPr>
        <w:t>c</w:t>
      </w:r>
      <w:r w:rsidRPr="004207B1">
        <w:rPr>
          <w:rFonts w:ascii="Calibri" w:hAnsi="Calibri" w:cs="Calibri"/>
          <w:noProof/>
          <w:szCs w:val="24"/>
        </w:rPr>
        <w:t>hildren. Pediatrics. 2011;</w:t>
      </w:r>
      <w:r w:rsidR="008D2E47">
        <w:rPr>
          <w:rFonts w:ascii="Calibri" w:hAnsi="Calibri" w:cs="Calibri"/>
          <w:noProof/>
          <w:szCs w:val="24"/>
        </w:rPr>
        <w:t xml:space="preserve"> </w:t>
      </w:r>
      <w:r w:rsidRPr="004207B1">
        <w:rPr>
          <w:rFonts w:ascii="Calibri" w:hAnsi="Calibri" w:cs="Calibri"/>
          <w:noProof/>
          <w:szCs w:val="24"/>
        </w:rPr>
        <w:t xml:space="preserve">128:873–82. </w:t>
      </w:r>
    </w:p>
    <w:p w14:paraId="41C7FD6E" w14:textId="55B999A9"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3. Braun JM, Kalkbrenner AE, Just AC, Yolton K, Calafat AM, Sjödin A, et al. Gestational exposure to endocrine-disrupting chemicals and reciprocal social, repetitive, and stereotypic behaviors in 4- and 5-year-old children: The HOME study. Environ Health Perspect. 2014;</w:t>
      </w:r>
      <w:r w:rsidR="008D2E47">
        <w:rPr>
          <w:rFonts w:ascii="Calibri" w:hAnsi="Calibri" w:cs="Calibri"/>
          <w:noProof/>
          <w:szCs w:val="24"/>
        </w:rPr>
        <w:t xml:space="preserve"> </w:t>
      </w:r>
      <w:r w:rsidRPr="004207B1">
        <w:rPr>
          <w:rFonts w:ascii="Calibri" w:hAnsi="Calibri" w:cs="Calibri"/>
          <w:noProof/>
          <w:szCs w:val="24"/>
        </w:rPr>
        <w:t xml:space="preserve">122:513–20. </w:t>
      </w:r>
    </w:p>
    <w:p w14:paraId="305237E8" w14:textId="2166C5E8"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4. Braun JM, Yolton K, Stacy SL, Erar B, Papandonatos GD, Bellinger DC, et al. Prenatal environmental chemical exposures and longitudinal patterns of child neurobehavior. Neurotoxicology. 2017;</w:t>
      </w:r>
      <w:r w:rsidR="008D2E47">
        <w:rPr>
          <w:rFonts w:ascii="Calibri" w:hAnsi="Calibri" w:cs="Calibri"/>
          <w:noProof/>
          <w:szCs w:val="24"/>
        </w:rPr>
        <w:t xml:space="preserve"> </w:t>
      </w:r>
      <w:r w:rsidRPr="004207B1">
        <w:rPr>
          <w:rFonts w:ascii="Calibri" w:hAnsi="Calibri" w:cs="Calibri"/>
          <w:noProof/>
          <w:szCs w:val="24"/>
        </w:rPr>
        <w:t xml:space="preserve">62:192–9. </w:t>
      </w:r>
    </w:p>
    <w:p w14:paraId="5D379C0B" w14:textId="6E1E4393"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5. Miodovnik A, Engel SM, Zhu C, Ye X, Soorya L V, Silva MJ, et al. Endocrine disruptors and childhood social impairment. Neurotoxicology. 2011;</w:t>
      </w:r>
      <w:r w:rsidR="008D2E47">
        <w:rPr>
          <w:rFonts w:ascii="Calibri" w:hAnsi="Calibri" w:cs="Calibri"/>
          <w:noProof/>
          <w:szCs w:val="24"/>
        </w:rPr>
        <w:t xml:space="preserve"> </w:t>
      </w:r>
      <w:r w:rsidRPr="004207B1">
        <w:rPr>
          <w:rFonts w:ascii="Calibri" w:hAnsi="Calibri" w:cs="Calibri"/>
          <w:noProof/>
          <w:szCs w:val="24"/>
        </w:rPr>
        <w:t>32:261–7.</w:t>
      </w:r>
    </w:p>
    <w:p w14:paraId="396A26E4" w14:textId="7C486FDE"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6. Perera F, Vishnevetsky J, Herbstman JB, Calafat AM, Xiong W, Rauh V, et al. Prenatal bisphenol a exposure and child behavior in an inner-city cohort. Environ Health Perspect. 2012;</w:t>
      </w:r>
      <w:r w:rsidR="008D2E47">
        <w:rPr>
          <w:rFonts w:ascii="Calibri" w:hAnsi="Calibri" w:cs="Calibri"/>
          <w:noProof/>
          <w:szCs w:val="24"/>
        </w:rPr>
        <w:t xml:space="preserve"> </w:t>
      </w:r>
      <w:r w:rsidRPr="004207B1">
        <w:rPr>
          <w:rFonts w:ascii="Calibri" w:hAnsi="Calibri" w:cs="Calibri"/>
          <w:noProof/>
          <w:szCs w:val="24"/>
        </w:rPr>
        <w:t xml:space="preserve">120:1190–4. </w:t>
      </w:r>
    </w:p>
    <w:p w14:paraId="3862CAF3" w14:textId="3B231A70"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7. Roen EL, Wang Y, Calafat AM, Wang S, Margolis A, Herbstman J, et al. Bisphenol A exposure and behavioral problems among inner city children at 7-9 years of age. Environ Res. 2015;</w:t>
      </w:r>
      <w:r w:rsidR="008D2E47">
        <w:rPr>
          <w:rFonts w:ascii="Calibri" w:hAnsi="Calibri" w:cs="Calibri"/>
          <w:noProof/>
          <w:szCs w:val="24"/>
        </w:rPr>
        <w:t xml:space="preserve"> </w:t>
      </w:r>
      <w:r w:rsidRPr="004207B1">
        <w:rPr>
          <w:rFonts w:ascii="Calibri" w:hAnsi="Calibri" w:cs="Calibri"/>
          <w:noProof/>
          <w:szCs w:val="24"/>
        </w:rPr>
        <w:t xml:space="preserve">142:739–45. </w:t>
      </w:r>
    </w:p>
    <w:p w14:paraId="4110A91D" w14:textId="65BC9FC9"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8. Perera F, Nolte ELR, Wang Y, Margolis AE, Calafat AM, Wang S, et al. Bisphenol A exposure and symptoms of anxiety and depression among inner city children at 10–12 years of age. Environ Res. 2016;</w:t>
      </w:r>
      <w:r w:rsidR="008D2E47">
        <w:rPr>
          <w:rFonts w:ascii="Calibri" w:hAnsi="Calibri" w:cs="Calibri"/>
          <w:noProof/>
          <w:szCs w:val="24"/>
        </w:rPr>
        <w:t xml:space="preserve"> </w:t>
      </w:r>
      <w:r w:rsidRPr="004207B1">
        <w:rPr>
          <w:rFonts w:ascii="Calibri" w:hAnsi="Calibri" w:cs="Calibri"/>
          <w:noProof/>
          <w:szCs w:val="24"/>
        </w:rPr>
        <w:t xml:space="preserve">151:195–202. </w:t>
      </w:r>
    </w:p>
    <w:p w14:paraId="37349966" w14:textId="1EC9FD0A"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 xml:space="preserve">9. Harley KG, Aguilar Schall R, Chevrier J, Tyler K, Aguirre H, Bradman A, et al. Prenatal and </w:t>
      </w:r>
      <w:r w:rsidR="008A48C8">
        <w:rPr>
          <w:rFonts w:ascii="Calibri" w:hAnsi="Calibri" w:cs="Calibri"/>
          <w:noProof/>
          <w:szCs w:val="24"/>
        </w:rPr>
        <w:t>p</w:t>
      </w:r>
      <w:r w:rsidRPr="004207B1">
        <w:rPr>
          <w:rFonts w:ascii="Calibri" w:hAnsi="Calibri" w:cs="Calibri"/>
          <w:noProof/>
          <w:szCs w:val="24"/>
        </w:rPr>
        <w:t xml:space="preserve">ostnatal </w:t>
      </w:r>
      <w:r w:rsidR="008A48C8">
        <w:rPr>
          <w:rFonts w:ascii="Calibri" w:hAnsi="Calibri" w:cs="Calibri"/>
          <w:noProof/>
          <w:szCs w:val="24"/>
        </w:rPr>
        <w:t>b</w:t>
      </w:r>
      <w:r w:rsidRPr="004207B1">
        <w:rPr>
          <w:rFonts w:ascii="Calibri" w:hAnsi="Calibri" w:cs="Calibri"/>
          <w:noProof/>
          <w:szCs w:val="24"/>
        </w:rPr>
        <w:t xml:space="preserve">isphenol A </w:t>
      </w:r>
      <w:r w:rsidR="008A48C8">
        <w:rPr>
          <w:rFonts w:ascii="Calibri" w:hAnsi="Calibri" w:cs="Calibri"/>
          <w:noProof/>
          <w:szCs w:val="24"/>
        </w:rPr>
        <w:t>e</w:t>
      </w:r>
      <w:r w:rsidRPr="004207B1">
        <w:rPr>
          <w:rFonts w:ascii="Calibri" w:hAnsi="Calibri" w:cs="Calibri"/>
          <w:noProof/>
          <w:szCs w:val="24"/>
        </w:rPr>
        <w:t xml:space="preserve">xposure and </w:t>
      </w:r>
      <w:r w:rsidR="008A48C8">
        <w:rPr>
          <w:rFonts w:ascii="Calibri" w:hAnsi="Calibri" w:cs="Calibri"/>
          <w:noProof/>
          <w:szCs w:val="24"/>
        </w:rPr>
        <w:t>b</w:t>
      </w:r>
      <w:r w:rsidRPr="004207B1">
        <w:rPr>
          <w:rFonts w:ascii="Calibri" w:hAnsi="Calibri" w:cs="Calibri"/>
          <w:noProof/>
          <w:szCs w:val="24"/>
        </w:rPr>
        <w:t xml:space="preserve">ody </w:t>
      </w:r>
      <w:r w:rsidR="008A48C8">
        <w:rPr>
          <w:rFonts w:ascii="Calibri" w:hAnsi="Calibri" w:cs="Calibri"/>
          <w:noProof/>
          <w:szCs w:val="24"/>
        </w:rPr>
        <w:t>m</w:t>
      </w:r>
      <w:r w:rsidRPr="004207B1">
        <w:rPr>
          <w:rFonts w:ascii="Calibri" w:hAnsi="Calibri" w:cs="Calibri"/>
          <w:noProof/>
          <w:szCs w:val="24"/>
        </w:rPr>
        <w:t xml:space="preserve">ass </w:t>
      </w:r>
      <w:r w:rsidR="008A48C8">
        <w:rPr>
          <w:rFonts w:ascii="Calibri" w:hAnsi="Calibri" w:cs="Calibri"/>
          <w:noProof/>
          <w:szCs w:val="24"/>
        </w:rPr>
        <w:t>i</w:t>
      </w:r>
      <w:r w:rsidRPr="004207B1">
        <w:rPr>
          <w:rFonts w:ascii="Calibri" w:hAnsi="Calibri" w:cs="Calibri"/>
          <w:noProof/>
          <w:szCs w:val="24"/>
        </w:rPr>
        <w:t xml:space="preserve">ndex in </w:t>
      </w:r>
      <w:r w:rsidR="008A48C8">
        <w:rPr>
          <w:rFonts w:ascii="Calibri" w:hAnsi="Calibri" w:cs="Calibri"/>
          <w:noProof/>
          <w:szCs w:val="24"/>
        </w:rPr>
        <w:t>c</w:t>
      </w:r>
      <w:r w:rsidRPr="004207B1">
        <w:rPr>
          <w:rFonts w:ascii="Calibri" w:hAnsi="Calibri" w:cs="Calibri"/>
          <w:noProof/>
          <w:szCs w:val="24"/>
        </w:rPr>
        <w:t xml:space="preserve">hildhood in the CHAMACOS </w:t>
      </w:r>
      <w:r w:rsidR="008A48C8">
        <w:rPr>
          <w:rFonts w:ascii="Calibri" w:hAnsi="Calibri" w:cs="Calibri"/>
          <w:noProof/>
          <w:szCs w:val="24"/>
        </w:rPr>
        <w:t>c</w:t>
      </w:r>
      <w:r w:rsidRPr="004207B1">
        <w:rPr>
          <w:rFonts w:ascii="Calibri" w:hAnsi="Calibri" w:cs="Calibri"/>
          <w:noProof/>
          <w:szCs w:val="24"/>
        </w:rPr>
        <w:t>ohort. Environ Health Perspect. 2013;</w:t>
      </w:r>
      <w:r w:rsidR="008D2E47">
        <w:rPr>
          <w:rFonts w:ascii="Calibri" w:hAnsi="Calibri" w:cs="Calibri"/>
          <w:noProof/>
          <w:szCs w:val="24"/>
        </w:rPr>
        <w:t xml:space="preserve"> </w:t>
      </w:r>
      <w:r w:rsidRPr="004207B1">
        <w:rPr>
          <w:rFonts w:ascii="Calibri" w:hAnsi="Calibri" w:cs="Calibri"/>
          <w:noProof/>
          <w:szCs w:val="24"/>
        </w:rPr>
        <w:t xml:space="preserve">121:514–20. </w:t>
      </w:r>
    </w:p>
    <w:p w14:paraId="77EDAC0D" w14:textId="3C8C1D3A" w:rsidR="004207B1" w:rsidRPr="00330362" w:rsidRDefault="004207B1" w:rsidP="004207B1">
      <w:pPr>
        <w:widowControl w:val="0"/>
        <w:autoSpaceDE w:val="0"/>
        <w:autoSpaceDN w:val="0"/>
        <w:adjustRightInd w:val="0"/>
        <w:spacing w:line="240" w:lineRule="auto"/>
        <w:rPr>
          <w:rFonts w:ascii="Calibri" w:hAnsi="Calibri" w:cs="Calibri"/>
          <w:noProof/>
          <w:szCs w:val="24"/>
          <w:lang w:val="es-ES"/>
        </w:rPr>
      </w:pPr>
      <w:r w:rsidRPr="004207B1">
        <w:rPr>
          <w:rFonts w:ascii="Calibri" w:hAnsi="Calibri" w:cs="Calibri"/>
          <w:noProof/>
          <w:szCs w:val="24"/>
        </w:rPr>
        <w:t xml:space="preserve">10. Evans SF, Kobrosly RW, Barrett ES, Thurston SW, Calafat AM, Weiss B, et al. Prenatal bisphenol A exposure and maternally reported behavior in boys and girls. </w:t>
      </w:r>
      <w:r w:rsidRPr="00330362">
        <w:rPr>
          <w:rFonts w:ascii="Calibri" w:hAnsi="Calibri" w:cs="Calibri"/>
          <w:noProof/>
          <w:szCs w:val="24"/>
          <w:lang w:val="es-ES"/>
        </w:rPr>
        <w:t>Neurotoxicology. 2014;</w:t>
      </w:r>
      <w:r w:rsidR="008D2E47" w:rsidRPr="00330362">
        <w:rPr>
          <w:rFonts w:ascii="Calibri" w:hAnsi="Calibri" w:cs="Calibri"/>
          <w:noProof/>
          <w:szCs w:val="24"/>
          <w:lang w:val="es-ES"/>
        </w:rPr>
        <w:t xml:space="preserve"> </w:t>
      </w:r>
      <w:r w:rsidRPr="00330362">
        <w:rPr>
          <w:rFonts w:ascii="Calibri" w:hAnsi="Calibri" w:cs="Calibri"/>
          <w:noProof/>
          <w:szCs w:val="24"/>
          <w:lang w:val="es-ES"/>
        </w:rPr>
        <w:t>45:91–9.</w:t>
      </w:r>
    </w:p>
    <w:p w14:paraId="73EE724B" w14:textId="6DF1AAAB"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0777B6">
        <w:rPr>
          <w:rFonts w:ascii="Calibri" w:hAnsi="Calibri" w:cs="Calibri"/>
          <w:noProof/>
          <w:szCs w:val="24"/>
          <w:lang w:val="es-ES"/>
        </w:rPr>
        <w:t xml:space="preserve">11. Casas M, Forns J, Martínez D, Avella-García C, Valvi D, Ballesteros-Gómez A, et al. </w:t>
      </w:r>
      <w:r w:rsidRPr="004207B1">
        <w:rPr>
          <w:rFonts w:ascii="Calibri" w:hAnsi="Calibri" w:cs="Calibri"/>
          <w:noProof/>
          <w:szCs w:val="24"/>
        </w:rPr>
        <w:t>Exposure to bisphenol A during pregnancy and child neuropsychological development in the INMA-Sabadell cohort. Environ Res. 2015;</w:t>
      </w:r>
      <w:r w:rsidR="00AB72B7">
        <w:rPr>
          <w:rFonts w:ascii="Calibri" w:hAnsi="Calibri" w:cs="Calibri"/>
          <w:noProof/>
          <w:szCs w:val="24"/>
        </w:rPr>
        <w:t xml:space="preserve"> </w:t>
      </w:r>
      <w:r w:rsidRPr="004207B1">
        <w:rPr>
          <w:rFonts w:ascii="Calibri" w:hAnsi="Calibri" w:cs="Calibri"/>
          <w:noProof/>
          <w:szCs w:val="24"/>
        </w:rPr>
        <w:t xml:space="preserve">142:671–9. </w:t>
      </w:r>
    </w:p>
    <w:p w14:paraId="1DA3A5F4" w14:textId="03D3C516"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 xml:space="preserve">12. Philippat C, Nakiwala D, Calafat AM, Botton J, De Agostini M, Heude B, et al. Prenatal </w:t>
      </w:r>
      <w:r w:rsidR="00AB72B7">
        <w:rPr>
          <w:rFonts w:ascii="Calibri" w:hAnsi="Calibri" w:cs="Calibri"/>
          <w:noProof/>
          <w:szCs w:val="24"/>
        </w:rPr>
        <w:t>e</w:t>
      </w:r>
      <w:r w:rsidRPr="004207B1">
        <w:rPr>
          <w:rFonts w:ascii="Calibri" w:hAnsi="Calibri" w:cs="Calibri"/>
          <w:noProof/>
          <w:szCs w:val="24"/>
        </w:rPr>
        <w:t xml:space="preserve">xposure to </w:t>
      </w:r>
      <w:r w:rsidR="00AB72B7">
        <w:rPr>
          <w:rFonts w:ascii="Calibri" w:hAnsi="Calibri" w:cs="Calibri"/>
          <w:noProof/>
          <w:szCs w:val="24"/>
        </w:rPr>
        <w:t>n</w:t>
      </w:r>
      <w:r w:rsidRPr="004207B1">
        <w:rPr>
          <w:rFonts w:ascii="Calibri" w:hAnsi="Calibri" w:cs="Calibri"/>
          <w:noProof/>
          <w:szCs w:val="24"/>
        </w:rPr>
        <w:t xml:space="preserve">onpersistent </w:t>
      </w:r>
      <w:r w:rsidR="00AB72B7">
        <w:rPr>
          <w:rFonts w:ascii="Calibri" w:hAnsi="Calibri" w:cs="Calibri"/>
          <w:noProof/>
          <w:szCs w:val="24"/>
        </w:rPr>
        <w:t>e</w:t>
      </w:r>
      <w:r w:rsidRPr="004207B1">
        <w:rPr>
          <w:rFonts w:ascii="Calibri" w:hAnsi="Calibri" w:cs="Calibri"/>
          <w:noProof/>
          <w:szCs w:val="24"/>
        </w:rPr>
        <w:t xml:space="preserve">ndocrine </w:t>
      </w:r>
      <w:r w:rsidR="00AB72B7">
        <w:rPr>
          <w:rFonts w:ascii="Calibri" w:hAnsi="Calibri" w:cs="Calibri"/>
          <w:noProof/>
          <w:szCs w:val="24"/>
        </w:rPr>
        <w:t>d</w:t>
      </w:r>
      <w:r w:rsidRPr="004207B1">
        <w:rPr>
          <w:rFonts w:ascii="Calibri" w:hAnsi="Calibri" w:cs="Calibri"/>
          <w:noProof/>
          <w:szCs w:val="24"/>
        </w:rPr>
        <w:t xml:space="preserve">isruptors and </w:t>
      </w:r>
      <w:r w:rsidR="00AB72B7">
        <w:rPr>
          <w:rFonts w:ascii="Calibri" w:hAnsi="Calibri" w:cs="Calibri"/>
          <w:noProof/>
          <w:szCs w:val="24"/>
        </w:rPr>
        <w:t>b</w:t>
      </w:r>
      <w:r w:rsidRPr="004207B1">
        <w:rPr>
          <w:rFonts w:ascii="Calibri" w:hAnsi="Calibri" w:cs="Calibri"/>
          <w:noProof/>
          <w:szCs w:val="24"/>
        </w:rPr>
        <w:t xml:space="preserve">ehavior in </w:t>
      </w:r>
      <w:r w:rsidR="00AB72B7">
        <w:rPr>
          <w:rFonts w:ascii="Calibri" w:hAnsi="Calibri" w:cs="Calibri"/>
          <w:noProof/>
          <w:szCs w:val="24"/>
        </w:rPr>
        <w:t>b</w:t>
      </w:r>
      <w:r w:rsidRPr="004207B1">
        <w:rPr>
          <w:rFonts w:ascii="Calibri" w:hAnsi="Calibri" w:cs="Calibri"/>
          <w:noProof/>
          <w:szCs w:val="24"/>
        </w:rPr>
        <w:t xml:space="preserve">oys at 3 and 5 </w:t>
      </w:r>
      <w:r w:rsidR="00AB72B7">
        <w:rPr>
          <w:rFonts w:ascii="Calibri" w:hAnsi="Calibri" w:cs="Calibri"/>
          <w:noProof/>
          <w:szCs w:val="24"/>
        </w:rPr>
        <w:t>y</w:t>
      </w:r>
      <w:r w:rsidRPr="004207B1">
        <w:rPr>
          <w:rFonts w:ascii="Calibri" w:hAnsi="Calibri" w:cs="Calibri"/>
          <w:noProof/>
          <w:szCs w:val="24"/>
        </w:rPr>
        <w:t>ears. Environ Health Perspect. 2017;</w:t>
      </w:r>
      <w:r w:rsidR="00AB72B7">
        <w:rPr>
          <w:rFonts w:ascii="Calibri" w:hAnsi="Calibri" w:cs="Calibri"/>
          <w:noProof/>
          <w:szCs w:val="24"/>
        </w:rPr>
        <w:t xml:space="preserve"> </w:t>
      </w:r>
      <w:r w:rsidR="008A48C8" w:rsidRPr="008A48C8">
        <w:rPr>
          <w:rFonts w:ascii="Calibri" w:hAnsi="Calibri" w:cs="Calibri"/>
          <w:noProof/>
          <w:szCs w:val="24"/>
        </w:rPr>
        <w:t>125(9):097014.</w:t>
      </w:r>
      <w:r w:rsidRPr="004207B1">
        <w:rPr>
          <w:rFonts w:ascii="Calibri" w:hAnsi="Calibri" w:cs="Calibri"/>
          <w:noProof/>
          <w:szCs w:val="24"/>
        </w:rPr>
        <w:t xml:space="preserve"> </w:t>
      </w:r>
    </w:p>
    <w:p w14:paraId="2A223B1D" w14:textId="5D68AC00"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 xml:space="preserve">13. Braun JM, Muckle G, Arbuckle T, Bouchard MF, Fraser WD, Ouellet E, et al. Associations of </w:t>
      </w:r>
      <w:r w:rsidR="00AB72B7">
        <w:rPr>
          <w:rFonts w:ascii="Calibri" w:hAnsi="Calibri" w:cs="Calibri"/>
          <w:noProof/>
          <w:szCs w:val="24"/>
        </w:rPr>
        <w:t>p</w:t>
      </w:r>
      <w:r w:rsidRPr="004207B1">
        <w:rPr>
          <w:rFonts w:ascii="Calibri" w:hAnsi="Calibri" w:cs="Calibri"/>
          <w:noProof/>
          <w:szCs w:val="24"/>
        </w:rPr>
        <w:t xml:space="preserve">renatal </w:t>
      </w:r>
      <w:r w:rsidR="00AB72B7">
        <w:rPr>
          <w:rFonts w:ascii="Calibri" w:hAnsi="Calibri" w:cs="Calibri"/>
          <w:noProof/>
          <w:szCs w:val="24"/>
        </w:rPr>
        <w:t>u</w:t>
      </w:r>
      <w:r w:rsidRPr="004207B1">
        <w:rPr>
          <w:rFonts w:ascii="Calibri" w:hAnsi="Calibri" w:cs="Calibri"/>
          <w:noProof/>
          <w:szCs w:val="24"/>
        </w:rPr>
        <w:t xml:space="preserve">rinary </w:t>
      </w:r>
      <w:r w:rsidR="00AB72B7">
        <w:rPr>
          <w:rFonts w:ascii="Calibri" w:hAnsi="Calibri" w:cs="Calibri"/>
          <w:noProof/>
          <w:szCs w:val="24"/>
        </w:rPr>
        <w:t>b</w:t>
      </w:r>
      <w:r w:rsidRPr="004207B1">
        <w:rPr>
          <w:rFonts w:ascii="Calibri" w:hAnsi="Calibri" w:cs="Calibri"/>
          <w:noProof/>
          <w:szCs w:val="24"/>
        </w:rPr>
        <w:t xml:space="preserve">isphenol A </w:t>
      </w:r>
      <w:r w:rsidR="00AB72B7">
        <w:rPr>
          <w:rFonts w:ascii="Calibri" w:hAnsi="Calibri" w:cs="Calibri"/>
          <w:noProof/>
          <w:szCs w:val="24"/>
        </w:rPr>
        <w:t>c</w:t>
      </w:r>
      <w:r w:rsidRPr="004207B1">
        <w:rPr>
          <w:rFonts w:ascii="Calibri" w:hAnsi="Calibri" w:cs="Calibri"/>
          <w:noProof/>
          <w:szCs w:val="24"/>
        </w:rPr>
        <w:t xml:space="preserve">oncentrations with </w:t>
      </w:r>
      <w:r w:rsidR="00AB72B7">
        <w:rPr>
          <w:rFonts w:ascii="Calibri" w:hAnsi="Calibri" w:cs="Calibri"/>
          <w:noProof/>
          <w:szCs w:val="24"/>
        </w:rPr>
        <w:t>c</w:t>
      </w:r>
      <w:r w:rsidRPr="004207B1">
        <w:rPr>
          <w:rFonts w:ascii="Calibri" w:hAnsi="Calibri" w:cs="Calibri"/>
          <w:noProof/>
          <w:szCs w:val="24"/>
        </w:rPr>
        <w:t xml:space="preserve">hild </w:t>
      </w:r>
      <w:r w:rsidR="00AB72B7">
        <w:rPr>
          <w:rFonts w:ascii="Calibri" w:hAnsi="Calibri" w:cs="Calibri"/>
          <w:noProof/>
          <w:szCs w:val="24"/>
        </w:rPr>
        <w:t>b</w:t>
      </w:r>
      <w:r w:rsidRPr="004207B1">
        <w:rPr>
          <w:rFonts w:ascii="Calibri" w:hAnsi="Calibri" w:cs="Calibri"/>
          <w:noProof/>
          <w:szCs w:val="24"/>
        </w:rPr>
        <w:t xml:space="preserve">ehaviors and </w:t>
      </w:r>
      <w:r w:rsidR="00AB72B7">
        <w:rPr>
          <w:rFonts w:ascii="Calibri" w:hAnsi="Calibri" w:cs="Calibri"/>
          <w:noProof/>
          <w:szCs w:val="24"/>
        </w:rPr>
        <w:t>c</w:t>
      </w:r>
      <w:r w:rsidRPr="004207B1">
        <w:rPr>
          <w:rFonts w:ascii="Calibri" w:hAnsi="Calibri" w:cs="Calibri"/>
          <w:noProof/>
          <w:szCs w:val="24"/>
        </w:rPr>
        <w:t xml:space="preserve">ognitive </w:t>
      </w:r>
      <w:r w:rsidR="00AB72B7">
        <w:rPr>
          <w:rFonts w:ascii="Calibri" w:hAnsi="Calibri" w:cs="Calibri"/>
          <w:noProof/>
          <w:szCs w:val="24"/>
        </w:rPr>
        <w:t>a</w:t>
      </w:r>
      <w:r w:rsidRPr="004207B1">
        <w:rPr>
          <w:rFonts w:ascii="Calibri" w:hAnsi="Calibri" w:cs="Calibri"/>
          <w:noProof/>
          <w:szCs w:val="24"/>
        </w:rPr>
        <w:t>bilities. Environ Health Perspect. 2017;</w:t>
      </w:r>
      <w:r w:rsidR="008A48C8">
        <w:rPr>
          <w:rFonts w:ascii="Calibri" w:hAnsi="Calibri" w:cs="Calibri"/>
          <w:noProof/>
          <w:szCs w:val="24"/>
        </w:rPr>
        <w:t xml:space="preserve"> </w:t>
      </w:r>
      <w:r w:rsidR="008A48C8" w:rsidRPr="008A48C8">
        <w:rPr>
          <w:rFonts w:ascii="Calibri" w:hAnsi="Calibri" w:cs="Calibri"/>
          <w:noProof/>
          <w:szCs w:val="24"/>
        </w:rPr>
        <w:t>125(6):067008.</w:t>
      </w:r>
    </w:p>
    <w:p w14:paraId="7E428739" w14:textId="0D9B78B6"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14. Lim Y-H, Bae S, Kim B-N, Shin CH, Lee YA, Kim JI, et al. Prenatal and postnatal bisphenol A exposure and social impairment in 4-year-old children. Environ Heal</w:t>
      </w:r>
      <w:r w:rsidR="00AB72B7">
        <w:rPr>
          <w:rFonts w:ascii="Calibri" w:hAnsi="Calibri" w:cs="Calibri"/>
          <w:noProof/>
          <w:szCs w:val="24"/>
        </w:rPr>
        <w:t>th</w:t>
      </w:r>
      <w:r w:rsidRPr="004207B1">
        <w:rPr>
          <w:rFonts w:ascii="Calibri" w:hAnsi="Calibri" w:cs="Calibri"/>
          <w:noProof/>
          <w:szCs w:val="24"/>
        </w:rPr>
        <w:t>. 2017;</w:t>
      </w:r>
      <w:r w:rsidR="00AB72B7">
        <w:rPr>
          <w:rFonts w:ascii="Calibri" w:hAnsi="Calibri" w:cs="Calibri"/>
          <w:noProof/>
          <w:szCs w:val="24"/>
        </w:rPr>
        <w:t xml:space="preserve"> </w:t>
      </w:r>
      <w:r w:rsidR="008A48C8" w:rsidRPr="008A48C8">
        <w:rPr>
          <w:rFonts w:ascii="Calibri" w:hAnsi="Calibri" w:cs="Calibri"/>
          <w:noProof/>
          <w:szCs w:val="24"/>
        </w:rPr>
        <w:t>16(1):79.</w:t>
      </w:r>
    </w:p>
    <w:p w14:paraId="594A7EAE" w14:textId="08CCAF3C"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 xml:space="preserve">15. Jensen TK, Mustieles V, Bleses D, Frederiksen H, Trecca F, Schoeters G, et al. Prenatal bisphenol A exposure is associated with language development but not with ADHD-related </w:t>
      </w:r>
      <w:r w:rsidRPr="004207B1">
        <w:rPr>
          <w:rFonts w:ascii="Calibri" w:hAnsi="Calibri" w:cs="Calibri"/>
          <w:noProof/>
          <w:szCs w:val="24"/>
        </w:rPr>
        <w:lastRenderedPageBreak/>
        <w:t>behavior in toddlers from the Odense Child Cohort. Environ Res. 2019;</w:t>
      </w:r>
      <w:r w:rsidR="00AB72B7">
        <w:rPr>
          <w:rFonts w:ascii="Calibri" w:hAnsi="Calibri" w:cs="Calibri"/>
          <w:noProof/>
          <w:szCs w:val="24"/>
        </w:rPr>
        <w:t xml:space="preserve"> </w:t>
      </w:r>
      <w:r w:rsidRPr="004207B1">
        <w:rPr>
          <w:rFonts w:ascii="Calibri" w:hAnsi="Calibri" w:cs="Calibri"/>
          <w:noProof/>
          <w:szCs w:val="24"/>
        </w:rPr>
        <w:t xml:space="preserve">170:398–405. </w:t>
      </w:r>
    </w:p>
    <w:p w14:paraId="19EAC57C" w14:textId="6E32D3EC"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16. Kim S, Eom S, Kim H-J, Lee JJ, Choi G, Choi S, et al. Association between maternal exposure to major phthalates, heavy metals, and persistent organic pollutants, and the neurodevelopmental performances of their children at 1 to 2years of age- CHECK cohort study. Sci Total Environ. 2018;</w:t>
      </w:r>
      <w:r w:rsidR="00AB72B7">
        <w:rPr>
          <w:rFonts w:ascii="Calibri" w:hAnsi="Calibri" w:cs="Calibri"/>
          <w:noProof/>
          <w:szCs w:val="24"/>
        </w:rPr>
        <w:t xml:space="preserve"> </w:t>
      </w:r>
      <w:r w:rsidRPr="004207B1">
        <w:rPr>
          <w:rFonts w:ascii="Calibri" w:hAnsi="Calibri" w:cs="Calibri"/>
          <w:noProof/>
          <w:szCs w:val="24"/>
        </w:rPr>
        <w:t xml:space="preserve">624:377–84. </w:t>
      </w:r>
    </w:p>
    <w:p w14:paraId="5EA6EB94" w14:textId="787BE33D"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17. Grohs MN, Reynolds JE, Liu J, Martin JW, Pollock T, Lebel C, et al. Prenatal maternal and childhood bisphenol a exposure and brain structure and behavior of young children. Environ Health. 2019;</w:t>
      </w:r>
      <w:r w:rsidR="00AB72B7">
        <w:rPr>
          <w:rFonts w:ascii="Calibri" w:hAnsi="Calibri" w:cs="Calibri"/>
          <w:noProof/>
          <w:szCs w:val="24"/>
        </w:rPr>
        <w:t xml:space="preserve"> </w:t>
      </w:r>
      <w:r w:rsidRPr="004207B1">
        <w:rPr>
          <w:rFonts w:ascii="Calibri" w:hAnsi="Calibri" w:cs="Calibri"/>
          <w:noProof/>
          <w:szCs w:val="24"/>
        </w:rPr>
        <w:t>18</w:t>
      </w:r>
      <w:r w:rsidR="004A0123">
        <w:rPr>
          <w:rFonts w:ascii="Calibri" w:hAnsi="Calibri" w:cs="Calibri"/>
          <w:noProof/>
          <w:szCs w:val="24"/>
        </w:rPr>
        <w:t>(1)</w:t>
      </w:r>
      <w:r w:rsidRPr="004207B1">
        <w:rPr>
          <w:rFonts w:ascii="Calibri" w:hAnsi="Calibri" w:cs="Calibri"/>
          <w:noProof/>
          <w:szCs w:val="24"/>
        </w:rPr>
        <w:t xml:space="preserve">:85. </w:t>
      </w:r>
    </w:p>
    <w:p w14:paraId="44A87C2F" w14:textId="6825ACFD"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330362">
        <w:rPr>
          <w:rFonts w:ascii="Calibri" w:hAnsi="Calibri" w:cs="Calibri"/>
          <w:noProof/>
          <w:szCs w:val="24"/>
        </w:rPr>
        <w:t xml:space="preserve">18. Li F, Yang F, Li D-K, Tian Y, Miao M, Zhang Y, et al. </w:t>
      </w:r>
      <w:r w:rsidRPr="004207B1">
        <w:rPr>
          <w:rFonts w:ascii="Calibri" w:hAnsi="Calibri" w:cs="Calibri"/>
          <w:noProof/>
          <w:szCs w:val="24"/>
        </w:rPr>
        <w:t>Prenatal bisphenol A exposure, fetal thyroid hormones and neurobehavioral development in children at 2 and 4 years: A prospective cohort study. Sci Total Environ. 2020</w:t>
      </w:r>
      <w:r w:rsidR="00AB72B7">
        <w:rPr>
          <w:rFonts w:ascii="Calibri" w:hAnsi="Calibri" w:cs="Calibri"/>
          <w:noProof/>
          <w:szCs w:val="24"/>
        </w:rPr>
        <w:t xml:space="preserve">; </w:t>
      </w:r>
      <w:r w:rsidRPr="004207B1">
        <w:rPr>
          <w:rFonts w:ascii="Calibri" w:hAnsi="Calibri" w:cs="Calibri"/>
          <w:noProof/>
          <w:szCs w:val="24"/>
        </w:rPr>
        <w:t>722:137887.</w:t>
      </w:r>
    </w:p>
    <w:p w14:paraId="0EB0F4BD" w14:textId="145BB484"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19. Stacy SL, Papandonatos GD, Calafat AM, Chen A, Yolton K, Lanphear BP, et al. Early life bisphenol A exposure and neurobehavior at 8 years of age: Identifying windows of heightened vulnerability. Environ Int. 2017;</w:t>
      </w:r>
      <w:r w:rsidR="00AB72B7">
        <w:rPr>
          <w:rFonts w:ascii="Calibri" w:hAnsi="Calibri" w:cs="Calibri"/>
          <w:noProof/>
          <w:szCs w:val="24"/>
        </w:rPr>
        <w:t xml:space="preserve"> </w:t>
      </w:r>
      <w:r w:rsidRPr="004207B1">
        <w:rPr>
          <w:rFonts w:ascii="Calibri" w:hAnsi="Calibri" w:cs="Calibri"/>
          <w:noProof/>
          <w:szCs w:val="24"/>
        </w:rPr>
        <w:t xml:space="preserve">107:258–65. </w:t>
      </w:r>
    </w:p>
    <w:p w14:paraId="35A9AC16" w14:textId="45F99074" w:rsidR="004207B1" w:rsidRPr="00330362" w:rsidRDefault="004207B1" w:rsidP="004207B1">
      <w:pPr>
        <w:widowControl w:val="0"/>
        <w:autoSpaceDE w:val="0"/>
        <w:autoSpaceDN w:val="0"/>
        <w:adjustRightInd w:val="0"/>
        <w:spacing w:line="240" w:lineRule="auto"/>
        <w:rPr>
          <w:rFonts w:ascii="Calibri" w:hAnsi="Calibri" w:cs="Calibri"/>
          <w:noProof/>
          <w:szCs w:val="24"/>
          <w:lang w:val="es-ES"/>
        </w:rPr>
      </w:pPr>
      <w:r w:rsidRPr="004207B1">
        <w:rPr>
          <w:rFonts w:ascii="Calibri" w:hAnsi="Calibri" w:cs="Calibri"/>
          <w:noProof/>
          <w:szCs w:val="24"/>
        </w:rPr>
        <w:t xml:space="preserve">20. Nakiwala D, Peyre H, Heude B, Bernard JY, Béranger R, Slama R, et al. In-utero exposure to phenols and phthalates and the intelligence quotient of boys at 5 years. </w:t>
      </w:r>
      <w:r w:rsidRPr="00330362">
        <w:rPr>
          <w:rFonts w:ascii="Calibri" w:hAnsi="Calibri" w:cs="Calibri"/>
          <w:noProof/>
          <w:szCs w:val="24"/>
          <w:lang w:val="es-ES"/>
        </w:rPr>
        <w:t>Environ Health. 2018;</w:t>
      </w:r>
      <w:r w:rsidR="00AB72B7" w:rsidRPr="00330362">
        <w:rPr>
          <w:rFonts w:ascii="Calibri" w:hAnsi="Calibri" w:cs="Calibri"/>
          <w:noProof/>
          <w:szCs w:val="24"/>
          <w:lang w:val="es-ES"/>
        </w:rPr>
        <w:t xml:space="preserve"> </w:t>
      </w:r>
      <w:r w:rsidRPr="00330362">
        <w:rPr>
          <w:rFonts w:ascii="Calibri" w:hAnsi="Calibri" w:cs="Calibri"/>
          <w:noProof/>
          <w:szCs w:val="24"/>
          <w:lang w:val="es-ES"/>
        </w:rPr>
        <w:t>17</w:t>
      </w:r>
      <w:r w:rsidR="004A0123" w:rsidRPr="00330362">
        <w:rPr>
          <w:rFonts w:ascii="Calibri" w:hAnsi="Calibri" w:cs="Calibri"/>
          <w:noProof/>
          <w:szCs w:val="24"/>
          <w:lang w:val="es-ES"/>
        </w:rPr>
        <w:t>(1)</w:t>
      </w:r>
      <w:r w:rsidRPr="00330362">
        <w:rPr>
          <w:rFonts w:ascii="Calibri" w:hAnsi="Calibri" w:cs="Calibri"/>
          <w:noProof/>
          <w:szCs w:val="24"/>
          <w:lang w:val="es-ES"/>
        </w:rPr>
        <w:t xml:space="preserve">:17. </w:t>
      </w:r>
    </w:p>
    <w:p w14:paraId="493B8F06" w14:textId="0E7A20DD" w:rsidR="004207B1" w:rsidRPr="00330362" w:rsidRDefault="004207B1" w:rsidP="004207B1">
      <w:pPr>
        <w:widowControl w:val="0"/>
        <w:autoSpaceDE w:val="0"/>
        <w:autoSpaceDN w:val="0"/>
        <w:adjustRightInd w:val="0"/>
        <w:spacing w:line="240" w:lineRule="auto"/>
        <w:rPr>
          <w:rFonts w:ascii="Calibri" w:hAnsi="Calibri" w:cs="Calibri"/>
          <w:noProof/>
          <w:szCs w:val="24"/>
          <w:lang w:val="es-ES"/>
        </w:rPr>
      </w:pPr>
      <w:r w:rsidRPr="000777B6">
        <w:rPr>
          <w:rFonts w:ascii="Calibri" w:hAnsi="Calibri" w:cs="Calibri"/>
          <w:noProof/>
          <w:szCs w:val="24"/>
          <w:lang w:val="es-ES"/>
        </w:rPr>
        <w:t xml:space="preserve">21. Perez-Lobato R, Mustieles V, Calvente I, Jimenez-Diaz I, Ramos R, Caballero-Casero N, et al. </w:t>
      </w:r>
      <w:r w:rsidRPr="004207B1">
        <w:rPr>
          <w:rFonts w:ascii="Calibri" w:hAnsi="Calibri" w:cs="Calibri"/>
          <w:noProof/>
          <w:szCs w:val="24"/>
        </w:rPr>
        <w:t xml:space="preserve">Exposure to bisphenol A and behavior in school-age children. </w:t>
      </w:r>
      <w:r w:rsidRPr="00330362">
        <w:rPr>
          <w:rFonts w:ascii="Calibri" w:hAnsi="Calibri" w:cs="Calibri"/>
          <w:noProof/>
          <w:szCs w:val="24"/>
          <w:lang w:val="es-ES"/>
        </w:rPr>
        <w:t>Neurotoxicology. 2016;</w:t>
      </w:r>
      <w:r w:rsidR="00AB72B7" w:rsidRPr="00330362">
        <w:rPr>
          <w:rFonts w:ascii="Calibri" w:hAnsi="Calibri" w:cs="Calibri"/>
          <w:noProof/>
          <w:szCs w:val="24"/>
          <w:lang w:val="es-ES"/>
        </w:rPr>
        <w:t xml:space="preserve"> </w:t>
      </w:r>
      <w:r w:rsidRPr="00330362">
        <w:rPr>
          <w:rFonts w:ascii="Calibri" w:hAnsi="Calibri" w:cs="Calibri"/>
          <w:noProof/>
          <w:szCs w:val="24"/>
          <w:lang w:val="es-ES"/>
        </w:rPr>
        <w:t xml:space="preserve">53:12–9. </w:t>
      </w:r>
    </w:p>
    <w:p w14:paraId="0CEABA84" w14:textId="2D894C56"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0777B6">
        <w:rPr>
          <w:rFonts w:ascii="Calibri" w:hAnsi="Calibri" w:cs="Calibri"/>
          <w:noProof/>
          <w:szCs w:val="24"/>
          <w:lang w:val="es-ES"/>
        </w:rPr>
        <w:t xml:space="preserve">22. Rodríguez-Carrillo A, Mustieles V, Pérez-Lobato R, Molina-Molina JM, Reina-Pérez I, Vela-Soria F, et al. </w:t>
      </w:r>
      <w:r w:rsidRPr="004207B1">
        <w:rPr>
          <w:rFonts w:ascii="Calibri" w:hAnsi="Calibri" w:cs="Calibri"/>
          <w:noProof/>
          <w:szCs w:val="24"/>
        </w:rPr>
        <w:t>Bisphenol A and cognitive function in school-age boys: Is BPA predominantly related to behavior? Neurotoxicology. 2019;</w:t>
      </w:r>
      <w:r w:rsidR="00AB72B7">
        <w:rPr>
          <w:rFonts w:ascii="Calibri" w:hAnsi="Calibri" w:cs="Calibri"/>
          <w:noProof/>
          <w:szCs w:val="24"/>
        </w:rPr>
        <w:t xml:space="preserve"> </w:t>
      </w:r>
      <w:r w:rsidRPr="004207B1">
        <w:rPr>
          <w:rFonts w:ascii="Calibri" w:hAnsi="Calibri" w:cs="Calibri"/>
          <w:noProof/>
          <w:szCs w:val="24"/>
        </w:rPr>
        <w:t xml:space="preserve">74:162–71. </w:t>
      </w:r>
    </w:p>
    <w:p w14:paraId="24020B8F" w14:textId="385146EB" w:rsidR="004207B1" w:rsidRPr="004207B1" w:rsidRDefault="004207B1" w:rsidP="004207B1">
      <w:pPr>
        <w:widowControl w:val="0"/>
        <w:autoSpaceDE w:val="0"/>
        <w:autoSpaceDN w:val="0"/>
        <w:adjustRightInd w:val="0"/>
        <w:spacing w:line="240" w:lineRule="auto"/>
        <w:rPr>
          <w:rFonts w:ascii="Calibri" w:hAnsi="Calibri" w:cs="Calibri"/>
          <w:noProof/>
          <w:szCs w:val="24"/>
        </w:rPr>
      </w:pPr>
      <w:r w:rsidRPr="004207B1">
        <w:rPr>
          <w:rFonts w:ascii="Calibri" w:hAnsi="Calibri" w:cs="Calibri"/>
          <w:noProof/>
          <w:szCs w:val="24"/>
        </w:rPr>
        <w:t>23. Maserejian NN, Trachtenberg FL, Hauser R, McKinlay S, Shrader P, Tavares M, et al. Dental composite restorations and psychosocial function in children. Pediatrics. 2012;</w:t>
      </w:r>
      <w:r w:rsidR="00AB72B7">
        <w:rPr>
          <w:rFonts w:ascii="Calibri" w:hAnsi="Calibri" w:cs="Calibri"/>
          <w:noProof/>
          <w:szCs w:val="24"/>
        </w:rPr>
        <w:t xml:space="preserve"> </w:t>
      </w:r>
      <w:r w:rsidRPr="004207B1">
        <w:rPr>
          <w:rFonts w:ascii="Calibri" w:hAnsi="Calibri" w:cs="Calibri"/>
          <w:noProof/>
          <w:szCs w:val="24"/>
        </w:rPr>
        <w:t xml:space="preserve">130:e328-38. </w:t>
      </w:r>
    </w:p>
    <w:p w14:paraId="7D8229DD" w14:textId="27F931C1" w:rsidR="004207B1" w:rsidRPr="004207B1" w:rsidRDefault="004207B1" w:rsidP="004207B1">
      <w:pPr>
        <w:widowControl w:val="0"/>
        <w:autoSpaceDE w:val="0"/>
        <w:autoSpaceDN w:val="0"/>
        <w:adjustRightInd w:val="0"/>
        <w:spacing w:line="240" w:lineRule="auto"/>
        <w:rPr>
          <w:rFonts w:ascii="Calibri" w:hAnsi="Calibri" w:cs="Calibri"/>
          <w:noProof/>
        </w:rPr>
      </w:pPr>
      <w:r w:rsidRPr="004207B1">
        <w:rPr>
          <w:rFonts w:ascii="Calibri" w:hAnsi="Calibri" w:cs="Calibri"/>
          <w:noProof/>
          <w:szCs w:val="24"/>
        </w:rPr>
        <w:t>24. Maserejian NN, Trachtenberg FL, Hauser R, McKinlay S, Shrader P, Bellinger DC. Dental composite restorations and neuropsychological development in children: Treatment level analysis from a randomized clinical trial. Neurotoxicology. 2012;</w:t>
      </w:r>
      <w:r w:rsidR="00AB72B7">
        <w:rPr>
          <w:rFonts w:ascii="Calibri" w:hAnsi="Calibri" w:cs="Calibri"/>
          <w:noProof/>
          <w:szCs w:val="24"/>
        </w:rPr>
        <w:t xml:space="preserve"> </w:t>
      </w:r>
      <w:r w:rsidRPr="004207B1">
        <w:rPr>
          <w:rFonts w:ascii="Calibri" w:hAnsi="Calibri" w:cs="Calibri"/>
          <w:noProof/>
          <w:szCs w:val="24"/>
        </w:rPr>
        <w:t>33:1291–7.</w:t>
      </w:r>
    </w:p>
    <w:p w14:paraId="6509A308" w14:textId="6FE28A61" w:rsidR="00C573FB" w:rsidRDefault="00EC1DC7">
      <w:r>
        <w:fldChar w:fldCharType="end"/>
      </w:r>
    </w:p>
    <w:sectPr w:rsidR="00C573FB" w:rsidSect="00A726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5F3C"/>
    <w:rsid w:val="00023D5A"/>
    <w:rsid w:val="00024309"/>
    <w:rsid w:val="00024CCB"/>
    <w:rsid w:val="00047EE8"/>
    <w:rsid w:val="00061F8A"/>
    <w:rsid w:val="000777B6"/>
    <w:rsid w:val="00081109"/>
    <w:rsid w:val="00082177"/>
    <w:rsid w:val="000B7399"/>
    <w:rsid w:val="000C7151"/>
    <w:rsid w:val="000E0197"/>
    <w:rsid w:val="000E3E39"/>
    <w:rsid w:val="000E7742"/>
    <w:rsid w:val="0013062F"/>
    <w:rsid w:val="00131C3A"/>
    <w:rsid w:val="00141C1F"/>
    <w:rsid w:val="001508D1"/>
    <w:rsid w:val="001541B1"/>
    <w:rsid w:val="00155B49"/>
    <w:rsid w:val="0016138D"/>
    <w:rsid w:val="001B1AB2"/>
    <w:rsid w:val="001B3579"/>
    <w:rsid w:val="001D30EC"/>
    <w:rsid w:val="001E07BB"/>
    <w:rsid w:val="00217D98"/>
    <w:rsid w:val="00256EA9"/>
    <w:rsid w:val="00257AD4"/>
    <w:rsid w:val="00296424"/>
    <w:rsid w:val="002A3CAE"/>
    <w:rsid w:val="002A6A4C"/>
    <w:rsid w:val="002B21B8"/>
    <w:rsid w:val="002B28D8"/>
    <w:rsid w:val="002E094A"/>
    <w:rsid w:val="002F2C4C"/>
    <w:rsid w:val="00301B4C"/>
    <w:rsid w:val="00330362"/>
    <w:rsid w:val="003712F2"/>
    <w:rsid w:val="00371967"/>
    <w:rsid w:val="003726CC"/>
    <w:rsid w:val="003A4549"/>
    <w:rsid w:val="003B2170"/>
    <w:rsid w:val="003C5639"/>
    <w:rsid w:val="003C69CD"/>
    <w:rsid w:val="003E68B3"/>
    <w:rsid w:val="003F326A"/>
    <w:rsid w:val="0040204B"/>
    <w:rsid w:val="00406CD8"/>
    <w:rsid w:val="004207B1"/>
    <w:rsid w:val="00450B8C"/>
    <w:rsid w:val="0045266B"/>
    <w:rsid w:val="004735EE"/>
    <w:rsid w:val="004958A0"/>
    <w:rsid w:val="004A0123"/>
    <w:rsid w:val="004B692A"/>
    <w:rsid w:val="004C0C5A"/>
    <w:rsid w:val="004C59FD"/>
    <w:rsid w:val="004C5DDE"/>
    <w:rsid w:val="004D2B00"/>
    <w:rsid w:val="004E4D8C"/>
    <w:rsid w:val="00520FE4"/>
    <w:rsid w:val="005279F9"/>
    <w:rsid w:val="005B72EF"/>
    <w:rsid w:val="005C466C"/>
    <w:rsid w:val="005E0751"/>
    <w:rsid w:val="00600B15"/>
    <w:rsid w:val="006071CD"/>
    <w:rsid w:val="0063570C"/>
    <w:rsid w:val="00645260"/>
    <w:rsid w:val="00646DBD"/>
    <w:rsid w:val="00691969"/>
    <w:rsid w:val="006E02CA"/>
    <w:rsid w:val="006E1D95"/>
    <w:rsid w:val="006E4195"/>
    <w:rsid w:val="00704D35"/>
    <w:rsid w:val="007332E8"/>
    <w:rsid w:val="00771913"/>
    <w:rsid w:val="00783393"/>
    <w:rsid w:val="007A64D9"/>
    <w:rsid w:val="007B190B"/>
    <w:rsid w:val="007B4F71"/>
    <w:rsid w:val="007C485D"/>
    <w:rsid w:val="0080159C"/>
    <w:rsid w:val="00803C29"/>
    <w:rsid w:val="00805C17"/>
    <w:rsid w:val="00850FAA"/>
    <w:rsid w:val="00860683"/>
    <w:rsid w:val="008A1ACD"/>
    <w:rsid w:val="008A48C8"/>
    <w:rsid w:val="008C425E"/>
    <w:rsid w:val="008D2E47"/>
    <w:rsid w:val="008F2DB5"/>
    <w:rsid w:val="00934F4C"/>
    <w:rsid w:val="009537EE"/>
    <w:rsid w:val="00954868"/>
    <w:rsid w:val="00966C5F"/>
    <w:rsid w:val="00987312"/>
    <w:rsid w:val="009F5F3C"/>
    <w:rsid w:val="00A41709"/>
    <w:rsid w:val="00A442D0"/>
    <w:rsid w:val="00A52377"/>
    <w:rsid w:val="00A65D43"/>
    <w:rsid w:val="00A72613"/>
    <w:rsid w:val="00A74330"/>
    <w:rsid w:val="00A75339"/>
    <w:rsid w:val="00AA6A03"/>
    <w:rsid w:val="00AB04D1"/>
    <w:rsid w:val="00AB72B7"/>
    <w:rsid w:val="00AC4B08"/>
    <w:rsid w:val="00B53540"/>
    <w:rsid w:val="00B569D4"/>
    <w:rsid w:val="00BB1FFC"/>
    <w:rsid w:val="00BC0B0E"/>
    <w:rsid w:val="00BD2617"/>
    <w:rsid w:val="00BF70F9"/>
    <w:rsid w:val="00C02C51"/>
    <w:rsid w:val="00C058BF"/>
    <w:rsid w:val="00C21487"/>
    <w:rsid w:val="00C45297"/>
    <w:rsid w:val="00C573FB"/>
    <w:rsid w:val="00C62CBF"/>
    <w:rsid w:val="00C704CB"/>
    <w:rsid w:val="00C75C00"/>
    <w:rsid w:val="00C77095"/>
    <w:rsid w:val="00CD06C2"/>
    <w:rsid w:val="00CD1432"/>
    <w:rsid w:val="00CD5F87"/>
    <w:rsid w:val="00CF7295"/>
    <w:rsid w:val="00CF794C"/>
    <w:rsid w:val="00D34DEE"/>
    <w:rsid w:val="00D4768B"/>
    <w:rsid w:val="00D50A11"/>
    <w:rsid w:val="00D55697"/>
    <w:rsid w:val="00D82CE2"/>
    <w:rsid w:val="00D959F7"/>
    <w:rsid w:val="00DF34CB"/>
    <w:rsid w:val="00E01CD0"/>
    <w:rsid w:val="00E206EE"/>
    <w:rsid w:val="00E35231"/>
    <w:rsid w:val="00E54BC1"/>
    <w:rsid w:val="00E679FA"/>
    <w:rsid w:val="00E67F6E"/>
    <w:rsid w:val="00E71452"/>
    <w:rsid w:val="00E7661A"/>
    <w:rsid w:val="00E81A90"/>
    <w:rsid w:val="00EA76E6"/>
    <w:rsid w:val="00EB0C82"/>
    <w:rsid w:val="00EC019F"/>
    <w:rsid w:val="00EC1DC7"/>
    <w:rsid w:val="00F3414E"/>
    <w:rsid w:val="00F47DFF"/>
    <w:rsid w:val="00F7553D"/>
    <w:rsid w:val="00F979E0"/>
    <w:rsid w:val="00FB16B9"/>
    <w:rsid w:val="00FD1D3C"/>
    <w:rsid w:val="00FD6AC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C7D8"/>
  <w15:docId w15:val="{850082C1-9525-476D-AB5A-51E032E1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5F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F3C"/>
    <w:rPr>
      <w:rFonts w:ascii="Segoe UI" w:hAnsi="Segoe UI" w:cs="Segoe UI"/>
      <w:sz w:val="18"/>
      <w:szCs w:val="18"/>
    </w:rPr>
  </w:style>
  <w:style w:type="character" w:styleId="CommentReference">
    <w:name w:val="annotation reference"/>
    <w:basedOn w:val="DefaultParagraphFont"/>
    <w:uiPriority w:val="99"/>
    <w:semiHidden/>
    <w:unhideWhenUsed/>
    <w:rsid w:val="004B692A"/>
    <w:rPr>
      <w:sz w:val="16"/>
      <w:szCs w:val="16"/>
    </w:rPr>
  </w:style>
  <w:style w:type="paragraph" w:styleId="CommentText">
    <w:name w:val="annotation text"/>
    <w:basedOn w:val="Normal"/>
    <w:link w:val="CommentTextChar"/>
    <w:uiPriority w:val="99"/>
    <w:semiHidden/>
    <w:unhideWhenUsed/>
    <w:rsid w:val="004B692A"/>
    <w:pPr>
      <w:spacing w:line="240" w:lineRule="auto"/>
    </w:pPr>
    <w:rPr>
      <w:sz w:val="20"/>
      <w:szCs w:val="20"/>
    </w:rPr>
  </w:style>
  <w:style w:type="character" w:customStyle="1" w:styleId="CommentTextChar">
    <w:name w:val="Comment Text Char"/>
    <w:basedOn w:val="DefaultParagraphFont"/>
    <w:link w:val="CommentText"/>
    <w:uiPriority w:val="99"/>
    <w:semiHidden/>
    <w:rsid w:val="004B692A"/>
    <w:rPr>
      <w:sz w:val="20"/>
      <w:szCs w:val="20"/>
    </w:rPr>
  </w:style>
  <w:style w:type="paragraph" w:styleId="CommentSubject">
    <w:name w:val="annotation subject"/>
    <w:basedOn w:val="CommentText"/>
    <w:next w:val="CommentText"/>
    <w:link w:val="CommentSubjectChar"/>
    <w:uiPriority w:val="99"/>
    <w:semiHidden/>
    <w:unhideWhenUsed/>
    <w:rsid w:val="004B692A"/>
    <w:rPr>
      <w:b/>
      <w:bCs/>
    </w:rPr>
  </w:style>
  <w:style w:type="character" w:customStyle="1" w:styleId="CommentSubjectChar">
    <w:name w:val="Comment Subject Char"/>
    <w:basedOn w:val="CommentTextChar"/>
    <w:link w:val="CommentSubject"/>
    <w:uiPriority w:val="99"/>
    <w:semiHidden/>
    <w:rsid w:val="004B69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38CDB-09DC-4A04-9243-1EC74B42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22662</Words>
  <Characters>129176</Characters>
  <Application>Microsoft Office Word</Application>
  <DocSecurity>0</DocSecurity>
  <Lines>1076</Lines>
  <Paragraphs>303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Luffi</Company>
  <LinksUpToDate>false</LinksUpToDate>
  <CharactersWithSpaces>151535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vmust</dc:creator>
  <cp:lastModifiedBy> </cp:lastModifiedBy>
  <cp:revision>18</cp:revision>
  <dcterms:created xsi:type="dcterms:W3CDTF">2020-03-22T17:47:00Z</dcterms:created>
  <dcterms:modified xsi:type="dcterms:W3CDTF">2020-05-20T12:43:00Z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http://www.zotero.org/styles/environment-international</vt:lpwstr>
  </property>
  <property fmtid="{D5CDD505-2E9C-101B-9397-08002B2CF9AE}" pid="9" name="Mendeley Recent Style Name 3_1">
    <vt:lpwstr>Environment International</vt:lpwstr>
  </property>
  <property fmtid="{D5CDD505-2E9C-101B-9397-08002B2CF9AE}" pid="10" name="Mendeley Recent Style Id 4_1">
    <vt:lpwstr>http://www.zotero.org/styles/environmental-health</vt:lpwstr>
  </property>
  <property fmtid="{D5CDD505-2E9C-101B-9397-08002B2CF9AE}" pid="11" name="Mendeley Recent Style Name 4_1">
    <vt:lpwstr>Environmental Health</vt:lpwstr>
  </property>
  <property fmtid="{D5CDD505-2E9C-101B-9397-08002B2CF9AE}" pid="12" name="Mendeley Recent Style Id 5_1">
    <vt:lpwstr>http://www.zotero.org/styles/environmental-science-and-technology</vt:lpwstr>
  </property>
  <property fmtid="{D5CDD505-2E9C-101B-9397-08002B2CF9AE}" pid="13" name="Mendeley Recent Style Name 5_1">
    <vt:lpwstr>Environmental Science &amp; Technology</vt:lpwstr>
  </property>
  <property fmtid="{D5CDD505-2E9C-101B-9397-08002B2CF9AE}" pid="14" name="Mendeley Recent Style Id 6_1">
    <vt:lpwstr>http://www.zotero.org/styles/human-reproduction</vt:lpwstr>
  </property>
  <property fmtid="{D5CDD505-2E9C-101B-9397-08002B2CF9AE}" pid="15" name="Mendeley Recent Style Name 6_1">
    <vt:lpwstr>Human Reproduction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http://www.zotero.org/styles/journal-of-hazardous-materials</vt:lpwstr>
  </property>
  <property fmtid="{D5CDD505-2E9C-101B-9397-08002B2CF9AE}" pid="19" name="Mendeley Recent Style Name 8_1">
    <vt:lpwstr>Journal of Hazardous Materials</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c22ebe92-da6e-3061-89e9-fb96022d721b</vt:lpwstr>
  </property>
  <property fmtid="{D5CDD505-2E9C-101B-9397-08002B2CF9AE}" pid="24" name="Mendeley Citation Style_1">
    <vt:lpwstr>http://www.zotero.org/styles/environmental-health</vt:lpwstr>
  </property>
</Properties>
</file>