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8BA" w:rsidRPr="004D74D0" w:rsidRDefault="00BD38BA" w:rsidP="00391D84">
      <w:pPr>
        <w:spacing w:line="480" w:lineRule="auto"/>
        <w:rPr>
          <w:b/>
          <w:sz w:val="28"/>
          <w:szCs w:val="28"/>
          <w:lang w:val="en-GB"/>
        </w:rPr>
      </w:pPr>
      <w:r w:rsidRPr="004D74D0">
        <w:rPr>
          <w:b/>
          <w:sz w:val="28"/>
          <w:szCs w:val="28"/>
          <w:lang w:val="en-GB"/>
        </w:rPr>
        <w:t>A. First-stage time-series models</w:t>
      </w:r>
    </w:p>
    <w:p w:rsidR="00BD38BA" w:rsidRPr="00391D84" w:rsidRDefault="00BD38BA" w:rsidP="00391D84">
      <w:pPr>
        <w:spacing w:line="480" w:lineRule="auto"/>
        <w:rPr>
          <w:sz w:val="24"/>
          <w:szCs w:val="24"/>
          <w:lang w:val="en-GB"/>
        </w:rPr>
      </w:pPr>
      <w:r w:rsidRPr="00391D84">
        <w:rPr>
          <w:sz w:val="24"/>
          <w:szCs w:val="24"/>
          <w:lang w:val="en-GB"/>
        </w:rPr>
        <w:t xml:space="preserve">In the </w:t>
      </w:r>
      <w:r>
        <w:rPr>
          <w:sz w:val="24"/>
          <w:szCs w:val="24"/>
          <w:lang w:val="en-GB"/>
        </w:rPr>
        <w:t>examples described in the four case studies</w:t>
      </w:r>
      <w:r w:rsidRPr="00391D84">
        <w:rPr>
          <w:sz w:val="24"/>
          <w:szCs w:val="24"/>
          <w:lang w:val="en-GB"/>
        </w:rPr>
        <w:t>, the first</w:t>
      </w:r>
      <w:r>
        <w:rPr>
          <w:sz w:val="24"/>
          <w:szCs w:val="24"/>
          <w:lang w:val="en-GB"/>
        </w:rPr>
        <w:t>-</w:t>
      </w:r>
      <w:r w:rsidRPr="00391D84">
        <w:rPr>
          <w:sz w:val="24"/>
          <w:szCs w:val="24"/>
          <w:lang w:val="en-GB"/>
        </w:rPr>
        <w:t xml:space="preserve">level </w:t>
      </w:r>
      <w:r>
        <w:rPr>
          <w:sz w:val="24"/>
          <w:szCs w:val="24"/>
          <w:lang w:val="en-GB"/>
        </w:rPr>
        <w:t>data</w:t>
      </w:r>
      <w:r w:rsidRPr="00391D84">
        <w:rPr>
          <w:sz w:val="24"/>
          <w:szCs w:val="24"/>
          <w:lang w:val="en-GB"/>
        </w:rPr>
        <w:t xml:space="preserve"> are time series</w:t>
      </w:r>
      <w:r>
        <w:rPr>
          <w:sz w:val="24"/>
          <w:szCs w:val="24"/>
          <w:lang w:val="en-GB"/>
        </w:rPr>
        <w:t>, and were modelled accordingly</w:t>
      </w:r>
      <w:r w:rsidRPr="00391D84">
        <w:rPr>
          <w:sz w:val="24"/>
          <w:szCs w:val="24"/>
          <w:lang w:val="en-GB"/>
        </w:rPr>
        <w:t>. In each first</w:t>
      </w:r>
      <w:r>
        <w:rPr>
          <w:sz w:val="24"/>
          <w:szCs w:val="24"/>
          <w:lang w:val="en-GB"/>
        </w:rPr>
        <w:t>-</w:t>
      </w:r>
      <w:r w:rsidRPr="00391D84">
        <w:rPr>
          <w:sz w:val="24"/>
          <w:szCs w:val="24"/>
          <w:lang w:val="en-GB"/>
        </w:rPr>
        <w:t xml:space="preserve">level unit </w:t>
      </w:r>
      <w:proofErr w:type="spellStart"/>
      <w:r w:rsidRPr="00391D84">
        <w:rPr>
          <w:i/>
          <w:sz w:val="24"/>
          <w:szCs w:val="24"/>
          <w:lang w:val="en-GB"/>
        </w:rPr>
        <w:t>i</w:t>
      </w:r>
      <w:proofErr w:type="spellEnd"/>
      <w:r w:rsidRPr="00391D84">
        <w:rPr>
          <w:iCs/>
          <w:sz w:val="24"/>
          <w:szCs w:val="24"/>
          <w:lang w:val="en-GB"/>
        </w:rPr>
        <w:t>,</w:t>
      </w:r>
      <w:r w:rsidRPr="00391D84">
        <w:rPr>
          <w:i/>
          <w:sz w:val="24"/>
          <w:szCs w:val="24"/>
          <w:lang w:val="en-GB"/>
        </w:rPr>
        <w:t xml:space="preserve"> </w:t>
      </w:r>
      <w:r w:rsidRPr="00391D84">
        <w:rPr>
          <w:sz w:val="24"/>
          <w:szCs w:val="24"/>
          <w:lang w:val="en-GB"/>
        </w:rPr>
        <w:t>a set of N</w:t>
      </w:r>
      <w:r w:rsidRPr="00391D84">
        <w:rPr>
          <w:i/>
          <w:sz w:val="24"/>
          <w:szCs w:val="24"/>
          <w:vertAlign w:val="subscript"/>
          <w:lang w:val="en-GB"/>
        </w:rPr>
        <w:t>i</w:t>
      </w:r>
      <w:r w:rsidRPr="00391D84">
        <w:rPr>
          <w:sz w:val="24"/>
          <w:szCs w:val="24"/>
          <w:lang w:val="en-GB"/>
        </w:rPr>
        <w:t xml:space="preserve"> observations are defined </w:t>
      </w:r>
      <w:r>
        <w:rPr>
          <w:sz w:val="24"/>
          <w:szCs w:val="24"/>
          <w:lang w:val="en-GB"/>
        </w:rPr>
        <w:t>at</w:t>
      </w:r>
      <w:r w:rsidRPr="00391D84">
        <w:rPr>
          <w:sz w:val="24"/>
          <w:szCs w:val="24"/>
          <w:lang w:val="en-GB"/>
        </w:rPr>
        <w:t xml:space="preserve"> equally</w:t>
      </w:r>
      <w:r>
        <w:rPr>
          <w:sz w:val="24"/>
          <w:szCs w:val="24"/>
          <w:lang w:val="en-GB"/>
        </w:rPr>
        <w:t>-</w:t>
      </w:r>
      <w:r w:rsidRPr="00391D84">
        <w:rPr>
          <w:sz w:val="24"/>
          <w:szCs w:val="24"/>
          <w:lang w:val="en-GB"/>
        </w:rPr>
        <w:t>spaced time intervals (</w:t>
      </w:r>
      <w:r>
        <w:rPr>
          <w:sz w:val="24"/>
          <w:szCs w:val="24"/>
          <w:lang w:val="en-GB"/>
        </w:rPr>
        <w:t>here corresponding to days</w:t>
      </w:r>
      <w:r w:rsidRPr="00391D84">
        <w:rPr>
          <w:sz w:val="24"/>
          <w:szCs w:val="24"/>
          <w:lang w:val="en-GB"/>
        </w:rPr>
        <w:t xml:space="preserve">) </w:t>
      </w:r>
      <w:r w:rsidRPr="00391D84">
        <w:rPr>
          <w:i/>
          <w:sz w:val="24"/>
          <w:szCs w:val="24"/>
          <w:lang w:val="en-GB"/>
        </w:rPr>
        <w:t>t</w:t>
      </w:r>
      <w:r w:rsidRPr="00391D84">
        <w:rPr>
          <w:sz w:val="24"/>
          <w:szCs w:val="24"/>
          <w:lang w:val="en-GB"/>
        </w:rPr>
        <w:t>=1,…,N</w:t>
      </w:r>
      <w:r w:rsidRPr="00391D84">
        <w:rPr>
          <w:i/>
          <w:sz w:val="24"/>
          <w:szCs w:val="24"/>
          <w:vertAlign w:val="subscript"/>
          <w:lang w:val="en-GB"/>
        </w:rPr>
        <w:t>i</w:t>
      </w:r>
      <w:r w:rsidRPr="00391D84">
        <w:rPr>
          <w:sz w:val="24"/>
          <w:szCs w:val="24"/>
          <w:lang w:val="en-GB"/>
        </w:rPr>
        <w:t xml:space="preserve">. In the first stage, the aim is to estimate the association between the exposure </w:t>
      </w:r>
      <w:proofErr w:type="spellStart"/>
      <w:r w:rsidRPr="00391D84">
        <w:rPr>
          <w:sz w:val="24"/>
          <w:szCs w:val="24"/>
          <w:lang w:val="en-GB"/>
        </w:rPr>
        <w:t>x</w:t>
      </w:r>
      <w:r w:rsidRPr="00391D84">
        <w:rPr>
          <w:i/>
          <w:sz w:val="24"/>
          <w:szCs w:val="24"/>
          <w:vertAlign w:val="subscript"/>
          <w:lang w:val="en-GB"/>
        </w:rPr>
        <w:t>it</w:t>
      </w:r>
      <w:proofErr w:type="spellEnd"/>
      <w:r w:rsidRPr="00391D84">
        <w:rPr>
          <w:sz w:val="24"/>
          <w:szCs w:val="24"/>
          <w:lang w:val="en-GB"/>
        </w:rPr>
        <w:t xml:space="preserve"> and the outcome </w:t>
      </w:r>
      <w:proofErr w:type="spellStart"/>
      <w:r w:rsidRPr="00391D84">
        <w:rPr>
          <w:i/>
          <w:sz w:val="24"/>
          <w:szCs w:val="24"/>
          <w:lang w:val="en-GB"/>
        </w:rPr>
        <w:t>Y</w:t>
      </w:r>
      <w:r w:rsidRPr="00391D84">
        <w:rPr>
          <w:i/>
          <w:sz w:val="24"/>
          <w:szCs w:val="24"/>
          <w:vertAlign w:val="subscript"/>
          <w:lang w:val="en-GB"/>
        </w:rPr>
        <w:t>it</w:t>
      </w:r>
      <w:proofErr w:type="spellEnd"/>
      <w:r w:rsidRPr="00391D84">
        <w:rPr>
          <w:sz w:val="24"/>
          <w:szCs w:val="24"/>
          <w:lang w:val="en-GB"/>
        </w:rPr>
        <w:t xml:space="preserve"> after controlling for the set of the </w:t>
      </w:r>
      <w:r>
        <w:rPr>
          <w:sz w:val="24"/>
          <w:szCs w:val="24"/>
          <w:lang w:val="en-GB"/>
        </w:rPr>
        <w:t xml:space="preserve">time-varying </w:t>
      </w:r>
      <w:r w:rsidRPr="00391D84">
        <w:rPr>
          <w:sz w:val="24"/>
          <w:szCs w:val="24"/>
          <w:lang w:val="en-GB"/>
        </w:rPr>
        <w:t xml:space="preserve">confounders </w:t>
      </w:r>
      <w:proofErr w:type="spellStart"/>
      <w:r w:rsidRPr="00912239">
        <w:rPr>
          <w:b/>
          <w:sz w:val="24"/>
          <w:szCs w:val="24"/>
          <w:lang w:val="en-GB"/>
        </w:rPr>
        <w:t>c</w:t>
      </w:r>
      <w:r w:rsidRPr="00391D84">
        <w:rPr>
          <w:i/>
          <w:sz w:val="24"/>
          <w:szCs w:val="24"/>
          <w:vertAlign w:val="subscript"/>
          <w:lang w:val="en-GB"/>
        </w:rPr>
        <w:t>it</w:t>
      </w:r>
      <w:proofErr w:type="spellEnd"/>
      <w:r w:rsidRPr="00391D84">
        <w:rPr>
          <w:iCs/>
          <w:sz w:val="24"/>
          <w:szCs w:val="24"/>
          <w:lang w:val="en-GB"/>
        </w:rPr>
        <w:t>, in addition to time trends</w:t>
      </w:r>
      <w:r w:rsidRPr="00391D84">
        <w:rPr>
          <w:sz w:val="24"/>
          <w:szCs w:val="24"/>
          <w:lang w:val="en-GB"/>
        </w:rPr>
        <w:t>. Usually, this aim is achieved by fitting generalized linear models (</w:t>
      </w:r>
      <w:r>
        <w:rPr>
          <w:sz w:val="24"/>
          <w:szCs w:val="24"/>
          <w:lang w:val="en-GB"/>
        </w:rPr>
        <w:t>usually with</w:t>
      </w:r>
      <w:r w:rsidRPr="00391D84">
        <w:rPr>
          <w:sz w:val="24"/>
          <w:szCs w:val="24"/>
          <w:lang w:val="en-GB"/>
        </w:rPr>
        <w:t xml:space="preserve"> Poisson</w:t>
      </w:r>
      <w:r>
        <w:rPr>
          <w:sz w:val="24"/>
          <w:szCs w:val="24"/>
          <w:lang w:val="en-GB"/>
        </w:rPr>
        <w:t xml:space="preserve"> or quasi-Poisson family</w:t>
      </w:r>
      <w:r w:rsidRPr="00391D84">
        <w:rPr>
          <w:sz w:val="24"/>
          <w:szCs w:val="24"/>
          <w:lang w:val="en-GB"/>
        </w:rPr>
        <w:t>)</w:t>
      </w:r>
      <w:r>
        <w:rPr>
          <w:sz w:val="24"/>
          <w:szCs w:val="24"/>
          <w:lang w:val="en-GB"/>
        </w:rPr>
        <w:t xml:space="preserve"> </w:t>
      </w:r>
      <w:r>
        <w:rPr>
          <w:noProof/>
          <w:sz w:val="24"/>
          <w:szCs w:val="24"/>
          <w:lang w:val="en-GB"/>
        </w:rPr>
        <w:t>(1)</w:t>
      </w:r>
      <w:r w:rsidRPr="00391D84">
        <w:rPr>
          <w:sz w:val="24"/>
          <w:szCs w:val="24"/>
          <w:lang w:val="en-GB"/>
        </w:rPr>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35"/>
      </w:tblGrid>
      <w:tr w:rsidR="00BD38BA" w:rsidRPr="00391D84" w:rsidTr="00186F36">
        <w:tc>
          <w:tcPr>
            <w:tcW w:w="8075" w:type="dxa"/>
            <w:vAlign w:val="center"/>
          </w:tcPr>
          <w:p w:rsidR="00BD38BA" w:rsidRPr="00391D84" w:rsidRDefault="00BD38BA" w:rsidP="00391D84">
            <w:pPr>
              <w:spacing w:before="60" w:after="60" w:line="480" w:lineRule="auto"/>
              <w:jc w:val="center"/>
              <w:rPr>
                <w:sz w:val="24"/>
                <w:szCs w:val="24"/>
              </w:rPr>
            </w:pPr>
            <m:oMathPara>
              <m:oMath>
                <m:r>
                  <w:rPr>
                    <w:rFonts w:ascii="Cambria Math" w:hAnsi="Cambria Math"/>
                    <w:sz w:val="24"/>
                    <w:szCs w:val="24"/>
                  </w:rPr>
                  <m:t>g</m:t>
                </m:r>
                <m:d>
                  <m:dPr>
                    <m:begChr m:val="["/>
                    <m:endChr m:val="]"/>
                    <m:ctrlPr>
                      <w:rPr>
                        <w:rFonts w:ascii="Cambria Math" w:hAnsi="Cambria Math"/>
                        <w:i/>
                        <w:sz w:val="24"/>
                        <w:szCs w:val="24"/>
                      </w:rPr>
                    </m:ctrlPr>
                  </m:dPr>
                  <m:e>
                    <m:r>
                      <m:rPr>
                        <m:nor/>
                      </m:rPr>
                      <w:rPr>
                        <w:rFonts w:ascii="Cambria Math" w:hAnsi="Cambria Math"/>
                        <w:sz w:val="24"/>
                        <w:szCs w:val="24"/>
                      </w:rPr>
                      <m:t>E</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it</m:t>
                            </m:r>
                          </m:sub>
                        </m:sSub>
                      </m:e>
                    </m:d>
                  </m:e>
                </m:d>
                <m:r>
                  <w:rPr>
                    <w:rFonts w:ascii="Cambria Math" w:hAnsi="Cambria Math"/>
                    <w:sz w:val="24"/>
                    <w:szCs w:val="24"/>
                  </w:rPr>
                  <m:t>=α+f</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it</m:t>
                        </m:r>
                      </m:sub>
                    </m:sSub>
                    <m:r>
                      <m:rPr>
                        <m:scr m:val="script"/>
                      </m:rPr>
                      <w:rPr>
                        <w:rFonts w:ascii="Cambria Math" w:hAnsi="Cambria Math"/>
                        <w:sz w:val="24"/>
                        <w:szCs w:val="24"/>
                      </w:rPr>
                      <m:t>,l;</m:t>
                    </m:r>
                    <m:sSub>
                      <m:sSubPr>
                        <m:ctrlPr>
                          <w:rPr>
                            <w:rFonts w:ascii="Cambria Math" w:hAnsi="Cambria Math"/>
                            <w:i/>
                            <w:sz w:val="24"/>
                            <w:szCs w:val="24"/>
                          </w:rPr>
                        </m:ctrlPr>
                      </m:sSubPr>
                      <m:e>
                        <m:r>
                          <m:rPr>
                            <m:sty m:val="bi"/>
                          </m:rPr>
                          <w:rPr>
                            <w:rFonts w:ascii="Cambria Math" w:hAnsi="Cambria Math"/>
                            <w:sz w:val="24"/>
                            <w:szCs w:val="24"/>
                          </w:rPr>
                          <m:t>θ</m:t>
                        </m:r>
                      </m:e>
                      <m:sub>
                        <m:r>
                          <w:rPr>
                            <w:rFonts w:ascii="Cambria Math" w:hAnsi="Cambria Math"/>
                            <w:sz w:val="24"/>
                            <w:szCs w:val="24"/>
                          </w:rPr>
                          <m:t>i</m:t>
                        </m:r>
                      </m:sub>
                    </m:sSub>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q=1</m:t>
                    </m:r>
                  </m:sub>
                  <m:sup>
                    <m:r>
                      <w:rPr>
                        <w:rFonts w:ascii="Cambria Math" w:hAnsi="Cambria Math"/>
                        <w:sz w:val="24"/>
                        <w:szCs w:val="24"/>
                      </w:rPr>
                      <m:t>Q</m:t>
                    </m:r>
                  </m:sup>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qi</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m:rPr>
                                <m:sty m:val="bi"/>
                              </m:rPr>
                              <w:rPr>
                                <w:rFonts w:ascii="Cambria Math" w:hAnsi="Cambria Math"/>
                                <w:sz w:val="24"/>
                                <w:szCs w:val="24"/>
                              </w:rPr>
                              <m:t>δ</m:t>
                            </m:r>
                          </m:e>
                          <m:sub>
                            <m:r>
                              <w:rPr>
                                <w:rFonts w:ascii="Cambria Math" w:hAnsi="Cambria Math"/>
                                <w:sz w:val="24"/>
                                <w:szCs w:val="24"/>
                              </w:rPr>
                              <m:t>i</m:t>
                            </m:r>
                          </m:sub>
                        </m:sSub>
                      </m:e>
                    </m:d>
                  </m:e>
                </m:nary>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p=1</m:t>
                    </m:r>
                  </m:sub>
                  <m:sup>
                    <m:r>
                      <w:rPr>
                        <w:rFonts w:ascii="Cambria Math" w:hAnsi="Cambria Math"/>
                        <w:sz w:val="24"/>
                        <w:szCs w:val="24"/>
                      </w:rPr>
                      <m:t>P</m:t>
                    </m:r>
                  </m:sup>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pi</m:t>
                        </m:r>
                      </m:sub>
                    </m:sSub>
                    <m:d>
                      <m:dPr>
                        <m:ctrlPr>
                          <w:rPr>
                            <w:rFonts w:ascii="Cambria Math" w:hAnsi="Cambria Math"/>
                            <w:i/>
                            <w:sz w:val="24"/>
                            <w:szCs w:val="24"/>
                          </w:rPr>
                        </m:ctrlPr>
                      </m:dPr>
                      <m:e>
                        <m:sSub>
                          <m:sSubPr>
                            <m:ctrlPr>
                              <w:rPr>
                                <w:rFonts w:ascii="Cambria Math" w:hAnsi="Cambria Math"/>
                                <w:b/>
                                <w:i/>
                                <w:sz w:val="24"/>
                                <w:szCs w:val="24"/>
                              </w:rPr>
                            </m:ctrlPr>
                          </m:sSubPr>
                          <m:e>
                            <m:r>
                              <m:rPr>
                                <m:sty m:val="bi"/>
                              </m:rPr>
                              <w:rPr>
                                <w:rFonts w:ascii="Cambria Math" w:hAnsi="Cambria Math"/>
                                <w:sz w:val="24"/>
                                <w:szCs w:val="24"/>
                              </w:rPr>
                              <m:t>c</m:t>
                            </m:r>
                          </m:e>
                          <m:sub>
                            <m:r>
                              <w:rPr>
                                <w:rFonts w:ascii="Cambria Math" w:hAnsi="Cambria Math"/>
                                <w:sz w:val="24"/>
                                <w:szCs w:val="24"/>
                              </w:rPr>
                              <m:t>ipt</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γ</m:t>
                            </m:r>
                          </m:e>
                          <m:sub>
                            <m:r>
                              <w:rPr>
                                <w:rFonts w:ascii="Cambria Math" w:hAnsi="Cambria Math"/>
                                <w:sz w:val="24"/>
                                <w:szCs w:val="24"/>
                              </w:rPr>
                              <m:t>i</m:t>
                            </m:r>
                          </m:sub>
                        </m:sSub>
                      </m:e>
                    </m:d>
                  </m:e>
                </m:nary>
              </m:oMath>
            </m:oMathPara>
          </w:p>
        </w:tc>
        <w:tc>
          <w:tcPr>
            <w:tcW w:w="935" w:type="dxa"/>
            <w:vAlign w:val="center"/>
          </w:tcPr>
          <w:p w:rsidR="00BD38BA" w:rsidRPr="00391D84" w:rsidRDefault="00BD38BA" w:rsidP="00391D84">
            <w:pPr>
              <w:spacing w:before="60" w:after="60" w:line="480" w:lineRule="auto"/>
              <w:jc w:val="center"/>
              <w:rPr>
                <w:sz w:val="24"/>
                <w:szCs w:val="24"/>
              </w:rPr>
            </w:pPr>
            <w:r w:rsidRPr="00391D84">
              <w:rPr>
                <w:sz w:val="24"/>
                <w:szCs w:val="24"/>
              </w:rPr>
              <w:t>(1)</w:t>
            </w:r>
          </w:p>
        </w:tc>
      </w:tr>
    </w:tbl>
    <w:p w:rsidR="00BD38BA" w:rsidRPr="00391D84" w:rsidRDefault="00BD38BA" w:rsidP="00391D84">
      <w:pPr>
        <w:spacing w:before="60" w:after="60" w:line="480" w:lineRule="auto"/>
        <w:jc w:val="both"/>
        <w:rPr>
          <w:rFonts w:eastAsiaTheme="minorEastAsia"/>
          <w:sz w:val="24"/>
          <w:szCs w:val="24"/>
          <w:lang w:val="en-GB"/>
        </w:rPr>
      </w:pPr>
      <w:r w:rsidRPr="00391D84">
        <w:rPr>
          <w:sz w:val="24"/>
          <w:szCs w:val="24"/>
          <w:lang w:val="en-GB"/>
        </w:rPr>
        <w:t xml:space="preserve">Where the function </w:t>
      </w:r>
      <m:oMath>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it</m:t>
                </m:r>
              </m:sub>
            </m:sSub>
            <m:r>
              <m:rPr>
                <m:scr m:val="script"/>
              </m:rPr>
              <w:rPr>
                <w:rFonts w:ascii="Cambria Math" w:hAnsi="Cambria Math"/>
                <w:sz w:val="24"/>
                <w:szCs w:val="24"/>
                <w:lang w:val="en-GB"/>
              </w:rPr>
              <m:t>,l;</m:t>
            </m:r>
            <m:sSub>
              <m:sSubPr>
                <m:ctrlPr>
                  <w:rPr>
                    <w:rFonts w:ascii="Cambria Math" w:hAnsi="Cambria Math"/>
                    <w:b/>
                    <w:i/>
                    <w:sz w:val="24"/>
                    <w:szCs w:val="24"/>
                  </w:rPr>
                </m:ctrlPr>
              </m:sSubPr>
              <m:e>
                <m:r>
                  <m:rPr>
                    <m:sty m:val="bi"/>
                  </m:rPr>
                  <w:rPr>
                    <w:rFonts w:ascii="Cambria Math" w:hAnsi="Cambria Math"/>
                    <w:sz w:val="24"/>
                    <w:szCs w:val="24"/>
                  </w:rPr>
                  <m:t>θ</m:t>
                </m:r>
              </m:e>
              <m:sub>
                <m:r>
                  <w:rPr>
                    <w:rFonts w:ascii="Cambria Math" w:hAnsi="Cambria Math"/>
                    <w:sz w:val="24"/>
                    <w:szCs w:val="24"/>
                  </w:rPr>
                  <m:t>i</m:t>
                </m:r>
              </m:sub>
            </m:sSub>
          </m:e>
        </m:d>
      </m:oMath>
      <w:r w:rsidRPr="00391D84">
        <w:rPr>
          <w:rFonts w:eastAsiaTheme="minorEastAsia"/>
          <w:sz w:val="24"/>
          <w:szCs w:val="24"/>
          <w:lang w:val="en-GB"/>
        </w:rPr>
        <w:t xml:space="preserve"> specifies the association with the exposure of interest </w:t>
      </w:r>
      <m:oMath>
        <m:r>
          <w:rPr>
            <w:rFonts w:ascii="Cambria Math" w:hAnsi="Cambria Math"/>
            <w:sz w:val="24"/>
            <w:szCs w:val="24"/>
          </w:rPr>
          <m:t>x</m:t>
        </m:r>
      </m:oMath>
      <w:r w:rsidRPr="00391D84">
        <w:rPr>
          <w:rFonts w:eastAsiaTheme="minorEastAsia"/>
          <w:sz w:val="24"/>
          <w:szCs w:val="24"/>
          <w:lang w:val="en-GB"/>
        </w:rPr>
        <w:t xml:space="preserve">, allowing non-linearity and complex temporal dependencies along the lag dimension </w:t>
      </w:r>
      <m:oMath>
        <m:r>
          <m:rPr>
            <m:scr m:val="script"/>
          </m:rPr>
          <w:rPr>
            <w:rFonts w:ascii="Cambria Math" w:hAnsi="Cambria Math"/>
            <w:sz w:val="24"/>
            <w:szCs w:val="24"/>
            <w:lang w:val="en-GB"/>
          </w:rPr>
          <m:t>l</m:t>
        </m:r>
      </m:oMath>
      <w:r w:rsidRPr="00391D84">
        <w:rPr>
          <w:rFonts w:eastAsiaTheme="minorEastAsia"/>
          <w:sz w:val="24"/>
          <w:szCs w:val="24"/>
          <w:lang w:val="en-GB"/>
        </w:rPr>
        <w:t>. These complex relationships can be modelled through distributed lag linear and non-linear models (DLMs and DLNMs), which can flexibly define cumulative effects of multiple exposure episodes</w:t>
      </w:r>
      <w:r>
        <w:rPr>
          <w:rFonts w:eastAsiaTheme="minorEastAsia"/>
          <w:sz w:val="24"/>
          <w:szCs w:val="24"/>
          <w:lang w:val="en-GB"/>
        </w:rPr>
        <w:t xml:space="preserve"> </w:t>
      </w:r>
      <w:r>
        <w:rPr>
          <w:rFonts w:eastAsiaTheme="minorEastAsia"/>
          <w:noProof/>
          <w:sz w:val="24"/>
          <w:szCs w:val="24"/>
          <w:lang w:val="en-GB"/>
        </w:rPr>
        <w:t>(2)</w:t>
      </w:r>
      <w:r w:rsidRPr="00391D84">
        <w:rPr>
          <w:rFonts w:eastAsiaTheme="minorEastAsia"/>
          <w:sz w:val="24"/>
          <w:szCs w:val="24"/>
          <w:lang w:val="en-GB"/>
        </w:rPr>
        <w:t>.</w:t>
      </w:r>
      <w:r w:rsidRPr="00391D84">
        <w:rPr>
          <w:sz w:val="24"/>
          <w:szCs w:val="24"/>
          <w:lang w:val="en-GB"/>
        </w:rPr>
        <w:t xml:space="preserve"> </w:t>
      </w:r>
      <w:r w:rsidRPr="00391D84">
        <w:rPr>
          <w:rFonts w:eastAsiaTheme="minorEastAsia"/>
          <w:sz w:val="24"/>
          <w:szCs w:val="24"/>
          <w:lang w:val="en-GB"/>
        </w:rPr>
        <w:t xml:space="preserve">The term(s)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qi</m:t>
            </m:r>
          </m:sub>
        </m:sSub>
        <m:r>
          <w:rPr>
            <w:rFonts w:ascii="Cambria Math" w:hAnsi="Cambria Math"/>
            <w:sz w:val="24"/>
            <w:szCs w:val="24"/>
            <w:lang w:val="en-GB"/>
          </w:rPr>
          <m:t xml:space="preserve"> </m:t>
        </m:r>
      </m:oMath>
      <w:r w:rsidRPr="00391D84">
        <w:rPr>
          <w:rFonts w:eastAsiaTheme="minorEastAsia"/>
          <w:sz w:val="24"/>
          <w:szCs w:val="24"/>
          <w:lang w:val="en-GB"/>
        </w:rPr>
        <w:t xml:space="preserve">represent functions expressed at different timescales to model temporal variations in risk associated with underlying trends or seasonality, among others. </w:t>
      </w:r>
    </w:p>
    <w:p w:rsidR="00BD38BA" w:rsidRDefault="00BD38BA" w:rsidP="00391D84">
      <w:pPr>
        <w:spacing w:before="60" w:after="60" w:line="480" w:lineRule="auto"/>
        <w:jc w:val="both"/>
        <w:rPr>
          <w:rFonts w:eastAsiaTheme="minorEastAsia"/>
          <w:b/>
          <w:sz w:val="24"/>
          <w:szCs w:val="24"/>
          <w:lang w:val="en-GB"/>
        </w:rPr>
      </w:pPr>
    </w:p>
    <w:p w:rsidR="00BD38BA" w:rsidRPr="004D74D0" w:rsidRDefault="00BD38BA" w:rsidP="00391D84">
      <w:pPr>
        <w:spacing w:before="60" w:after="60" w:line="480" w:lineRule="auto"/>
        <w:jc w:val="both"/>
        <w:rPr>
          <w:rFonts w:eastAsiaTheme="minorEastAsia"/>
          <w:b/>
          <w:sz w:val="28"/>
          <w:szCs w:val="28"/>
          <w:lang w:val="en-GB"/>
        </w:rPr>
      </w:pPr>
      <w:r w:rsidRPr="004D74D0">
        <w:rPr>
          <w:rFonts w:eastAsiaTheme="minorEastAsia"/>
          <w:b/>
          <w:sz w:val="28"/>
          <w:szCs w:val="28"/>
          <w:lang w:val="en-GB"/>
        </w:rPr>
        <w:t>B. Modelling details about the four case studies</w:t>
      </w:r>
    </w:p>
    <w:p w:rsidR="00BD38BA" w:rsidRPr="00391D84" w:rsidRDefault="00BD38BA" w:rsidP="00391D84">
      <w:pPr>
        <w:spacing w:before="60" w:after="60" w:line="480" w:lineRule="auto"/>
        <w:jc w:val="both"/>
        <w:rPr>
          <w:rFonts w:eastAsiaTheme="minorEastAsia"/>
          <w:b/>
          <w:sz w:val="24"/>
          <w:szCs w:val="24"/>
          <w:lang w:val="en-GB"/>
        </w:rPr>
      </w:pPr>
      <w:r>
        <w:rPr>
          <w:rFonts w:eastAsiaTheme="minorEastAsia"/>
          <w:b/>
          <w:sz w:val="24"/>
          <w:szCs w:val="24"/>
          <w:lang w:val="en-GB"/>
        </w:rPr>
        <w:t>B</w:t>
      </w:r>
      <w:r w:rsidRPr="00391D84">
        <w:rPr>
          <w:rFonts w:eastAsiaTheme="minorEastAsia"/>
          <w:b/>
          <w:sz w:val="24"/>
          <w:szCs w:val="24"/>
          <w:lang w:val="en-GB"/>
        </w:rPr>
        <w:t xml:space="preserve">1. </w:t>
      </w:r>
      <w:bookmarkStart w:id="0" w:name="_Hlk33170914"/>
      <w:r w:rsidRPr="00391D84">
        <w:rPr>
          <w:b/>
          <w:sz w:val="24"/>
          <w:szCs w:val="24"/>
          <w:lang w:val="en-GB"/>
        </w:rPr>
        <w:t>Pooling complex multi-parameter associations</w:t>
      </w:r>
      <w:bookmarkEnd w:id="0"/>
    </w:p>
    <w:p w:rsidR="00BD38BA" w:rsidRDefault="00BD38BA" w:rsidP="00391D84">
      <w:pPr>
        <w:spacing w:line="480" w:lineRule="auto"/>
        <w:rPr>
          <w:sz w:val="24"/>
          <w:szCs w:val="24"/>
          <w:lang w:val="en-GB"/>
        </w:rPr>
      </w:pPr>
      <w:r w:rsidRPr="00391D84">
        <w:rPr>
          <w:sz w:val="24"/>
          <w:szCs w:val="24"/>
          <w:lang w:val="en-GB"/>
        </w:rPr>
        <w:t xml:space="preserve">In the first stage, we fitted distributed lag non-linear time-series models for each of the 108 US cities in order to estimate the association between mean temperature and overall mortality in summer months (June to September). Briefly, </w:t>
      </w:r>
      <w:r>
        <w:rPr>
          <w:sz w:val="24"/>
          <w:szCs w:val="24"/>
          <w:lang w:val="en-GB"/>
        </w:rPr>
        <w:t xml:space="preserve">the bi-dimensional cross-basis </w:t>
      </w:r>
      <w:r>
        <w:rPr>
          <w:sz w:val="24"/>
          <w:szCs w:val="24"/>
          <w:lang w:val="en-GB"/>
        </w:rPr>
        <w:lastRenderedPageBreak/>
        <w:t xml:space="preserve">function was composed of </w:t>
      </w:r>
      <w:r w:rsidRPr="00391D84">
        <w:rPr>
          <w:sz w:val="24"/>
          <w:szCs w:val="24"/>
          <w:lang w:val="en-GB"/>
        </w:rPr>
        <w:t xml:space="preserve">a quadratic B-spline system with two internal knots used to represent non-linearity in the temperature </w:t>
      </w:r>
      <w:r>
        <w:rPr>
          <w:sz w:val="24"/>
          <w:szCs w:val="24"/>
          <w:lang w:val="en-GB"/>
        </w:rPr>
        <w:t>dimension</w:t>
      </w:r>
      <w:r w:rsidRPr="00391D84">
        <w:rPr>
          <w:sz w:val="24"/>
          <w:szCs w:val="24"/>
          <w:lang w:val="en-GB"/>
        </w:rPr>
        <w:t xml:space="preserve">, </w:t>
      </w:r>
      <w:r>
        <w:rPr>
          <w:sz w:val="24"/>
          <w:szCs w:val="24"/>
          <w:lang w:val="en-GB"/>
        </w:rPr>
        <w:t>and an</w:t>
      </w:r>
      <w:r w:rsidRPr="00391D84">
        <w:rPr>
          <w:sz w:val="24"/>
          <w:szCs w:val="24"/>
          <w:lang w:val="en-GB"/>
        </w:rPr>
        <w:t xml:space="preserve"> unconstrained </w:t>
      </w:r>
      <w:r>
        <w:rPr>
          <w:sz w:val="24"/>
          <w:szCs w:val="24"/>
          <w:lang w:val="en-GB"/>
        </w:rPr>
        <w:t>parameterization in the lag space</w:t>
      </w:r>
      <w:r w:rsidRPr="00391D84">
        <w:rPr>
          <w:sz w:val="24"/>
          <w:szCs w:val="24"/>
          <w:lang w:val="en-GB"/>
        </w:rPr>
        <w:t xml:space="preserve"> within </w:t>
      </w:r>
      <w:r>
        <w:rPr>
          <w:sz w:val="24"/>
          <w:szCs w:val="24"/>
          <w:lang w:val="en-GB"/>
        </w:rPr>
        <w:t>0-</w:t>
      </w:r>
      <w:r w:rsidRPr="00391D84">
        <w:rPr>
          <w:sz w:val="24"/>
          <w:szCs w:val="24"/>
          <w:lang w:val="en-GB"/>
        </w:rPr>
        <w:t>3 days</w:t>
      </w:r>
      <w:r>
        <w:rPr>
          <w:sz w:val="24"/>
          <w:szCs w:val="24"/>
          <w:lang w:val="en-GB"/>
        </w:rPr>
        <w:t xml:space="preserve"> </w:t>
      </w:r>
      <w:r>
        <w:rPr>
          <w:noProof/>
          <w:sz w:val="24"/>
          <w:szCs w:val="24"/>
          <w:lang w:val="en-GB"/>
        </w:rPr>
        <w:t>(2)</w:t>
      </w:r>
      <w:r w:rsidRPr="00391D84">
        <w:rPr>
          <w:sz w:val="24"/>
          <w:szCs w:val="24"/>
          <w:lang w:val="en-GB"/>
        </w:rPr>
        <w:t xml:space="preserve">. </w:t>
      </w:r>
      <w:bookmarkStart w:id="1" w:name="_Hlk84497025"/>
      <w:r w:rsidRPr="00391D84">
        <w:rPr>
          <w:sz w:val="24"/>
          <w:szCs w:val="24"/>
          <w:lang w:val="en-GB"/>
        </w:rPr>
        <w:t xml:space="preserve">The </w:t>
      </w:r>
      <w:r>
        <w:rPr>
          <w:sz w:val="24"/>
          <w:szCs w:val="24"/>
          <w:lang w:val="en-GB"/>
        </w:rPr>
        <w:t>coefficients</w:t>
      </w:r>
      <w:r w:rsidRPr="00391D84">
        <w:rPr>
          <w:sz w:val="24"/>
          <w:szCs w:val="24"/>
          <w:lang w:val="en-GB"/>
        </w:rPr>
        <w:t xml:space="preserve"> of the </w:t>
      </w:r>
      <w:r>
        <w:rPr>
          <w:sz w:val="24"/>
          <w:szCs w:val="24"/>
          <w:lang w:val="en-GB"/>
        </w:rPr>
        <w:t>cross-basis</w:t>
      </w:r>
      <w:r w:rsidRPr="00391D84">
        <w:rPr>
          <w:sz w:val="24"/>
          <w:szCs w:val="24"/>
          <w:lang w:val="en-GB"/>
        </w:rPr>
        <w:t xml:space="preserve"> were then “reduced” over the lag dimension </w:t>
      </w:r>
      <w:bookmarkEnd w:id="1"/>
      <w:r w:rsidRPr="00391D84">
        <w:rPr>
          <w:sz w:val="24"/>
          <w:szCs w:val="24"/>
          <w:lang w:val="en-GB"/>
        </w:rPr>
        <w:t xml:space="preserve">to obtain parameters representing the non-linear net association between mean temperature and overall mortality </w:t>
      </w:r>
      <w:r>
        <w:rPr>
          <w:noProof/>
          <w:sz w:val="24"/>
          <w:szCs w:val="24"/>
          <w:lang w:val="en-GB"/>
        </w:rPr>
        <w:t>(2)</w:t>
      </w:r>
      <w:r w:rsidRPr="00391D84">
        <w:rPr>
          <w:sz w:val="24"/>
          <w:szCs w:val="24"/>
          <w:lang w:val="en-GB"/>
        </w:rPr>
        <w:t xml:space="preserve"> obtaining a set of </w:t>
      </w:r>
      <w:r>
        <w:rPr>
          <w:sz w:val="24"/>
          <w:szCs w:val="24"/>
          <w:lang w:val="en-GB"/>
        </w:rPr>
        <w:t>four</w:t>
      </w:r>
      <w:r w:rsidRPr="00391D84">
        <w:rPr>
          <w:sz w:val="24"/>
          <w:szCs w:val="24"/>
          <w:lang w:val="en-GB"/>
        </w:rPr>
        <w:t xml:space="preserve"> coefficients  vector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θ</m:t>
                </m:r>
              </m:e>
            </m:acc>
          </m:e>
          <m:sub>
            <m:r>
              <w:rPr>
                <w:rFonts w:ascii="Cambria Math" w:hAnsi="Cambria Math"/>
                <w:sz w:val="24"/>
                <w:szCs w:val="24"/>
              </w:rPr>
              <m:t>i</m:t>
            </m:r>
          </m:sub>
        </m:sSub>
      </m:oMath>
      <w:r w:rsidRPr="00391D84">
        <w:rPr>
          <w:sz w:val="24"/>
          <w:szCs w:val="24"/>
          <w:lang w:val="en-GB"/>
        </w:rPr>
        <w:t xml:space="preserve"> </w:t>
      </w:r>
      <w:r w:rsidRPr="00391D84">
        <w:rPr>
          <w:position w:val="-10"/>
          <w:sz w:val="24"/>
          <w:szCs w:val="24"/>
          <w:lang w:val="en-GB"/>
        </w:rPr>
        <w:object w:dxaOrig="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16.5pt" o:ole="">
            <v:imagedata r:id="rId4" o:title=""/>
          </v:shape>
          <o:OLEObject Type="Embed" ProgID="Equation.DSMT4" ShapeID="_x0000_i1025" DrawAspect="Content" ObjectID="_1709725150" r:id="rId5"/>
        </w:object>
      </w:r>
      <w:r w:rsidRPr="00391D84">
        <w:rPr>
          <w:sz w:val="24"/>
          <w:szCs w:val="24"/>
          <w:lang w:val="en-GB"/>
        </w:rPr>
        <w:t xml:space="preserve">and their (co)variance matrix  </w:t>
      </w:r>
      <m:oMath>
        <m:sSub>
          <m:sSubPr>
            <m:ctrlPr>
              <w:rPr>
                <w:rFonts w:ascii="Cambria Math" w:hAnsi="Cambria Math"/>
                <w:sz w:val="24"/>
                <w:szCs w:val="24"/>
              </w:rPr>
            </m:ctrlPr>
          </m:sSubPr>
          <m:e>
            <m:r>
              <m:rPr>
                <m:sty m:val="bi"/>
              </m:rPr>
              <w:rPr>
                <w:rFonts w:ascii="Cambria Math" w:hAnsi="Cambria Math"/>
                <w:sz w:val="24"/>
                <w:szCs w:val="24"/>
              </w:rPr>
              <m:t>S</m:t>
            </m:r>
          </m:e>
          <m:sub>
            <m:r>
              <w:rPr>
                <w:rFonts w:ascii="Cambria Math" w:hAnsi="Cambria Math"/>
                <w:sz w:val="24"/>
                <w:szCs w:val="24"/>
              </w:rPr>
              <m:t>i</m:t>
            </m:r>
          </m:sub>
        </m:sSub>
      </m:oMath>
      <w:r w:rsidRPr="00391D84">
        <w:rPr>
          <w:rFonts w:eastAsiaTheme="minorEastAsia"/>
          <w:sz w:val="24"/>
          <w:szCs w:val="24"/>
          <w:lang w:val="en-GB"/>
        </w:rPr>
        <w:t xml:space="preserve"> </w:t>
      </w:r>
      <w:r w:rsidRPr="00391D84">
        <w:rPr>
          <w:position w:val="-10"/>
          <w:sz w:val="24"/>
          <w:szCs w:val="24"/>
          <w:lang w:val="en-GB"/>
        </w:rPr>
        <w:object w:dxaOrig="660" w:dyaOrig="320">
          <v:shape id="_x0000_i1026" type="#_x0000_t75" style="width:33pt;height:16.5pt" o:ole="">
            <v:imagedata r:id="rId6" o:title=""/>
          </v:shape>
          <o:OLEObject Type="Embed" ProgID="Equation.DSMT4" ShapeID="_x0000_i1026" DrawAspect="Content" ObjectID="_1709725151" r:id="rId7"/>
        </w:object>
      </w:r>
      <w:r w:rsidRPr="00391D84">
        <w:rPr>
          <w:sz w:val="24"/>
          <w:szCs w:val="24"/>
          <w:lang w:val="en-GB"/>
        </w:rPr>
        <w:t xml:space="preserve"> for each of the 108 cities</w:t>
      </w:r>
      <w:r>
        <w:rPr>
          <w:sz w:val="24"/>
          <w:szCs w:val="24"/>
          <w:lang w:val="en-GB"/>
        </w:rPr>
        <w:t xml:space="preserve"> </w:t>
      </w:r>
      <w:r>
        <w:rPr>
          <w:noProof/>
          <w:sz w:val="24"/>
          <w:szCs w:val="24"/>
          <w:lang w:val="en-GB"/>
        </w:rPr>
        <w:t>(3)</w:t>
      </w:r>
      <w:r w:rsidRPr="00391D84">
        <w:rPr>
          <w:sz w:val="24"/>
          <w:szCs w:val="24"/>
          <w:lang w:val="en-GB"/>
        </w:rPr>
        <w:t>. The confounding effect of long-term trends</w:t>
      </w:r>
      <w:r>
        <w:rPr>
          <w:sz w:val="24"/>
          <w:szCs w:val="24"/>
          <w:lang w:val="en-GB"/>
        </w:rPr>
        <w:t xml:space="preserve"> and seasonality</w:t>
      </w:r>
      <w:r w:rsidRPr="00391D84">
        <w:rPr>
          <w:sz w:val="24"/>
          <w:szCs w:val="24"/>
          <w:lang w:val="en-GB"/>
        </w:rPr>
        <w:t xml:space="preserve"> was modelled through interaction of a smooth function of day of the year (natural splines with four degrees of freedom) and year.</w:t>
      </w:r>
    </w:p>
    <w:p w:rsidR="00BD38BA" w:rsidRPr="00391D84" w:rsidRDefault="00BD38BA" w:rsidP="00DC3149">
      <w:pPr>
        <w:spacing w:line="480" w:lineRule="auto"/>
        <w:rPr>
          <w:sz w:val="24"/>
          <w:szCs w:val="24"/>
          <w:lang w:val="en-GB"/>
        </w:rPr>
      </w:pPr>
      <w:r w:rsidRPr="00391D84">
        <w:rPr>
          <w:sz w:val="24"/>
          <w:szCs w:val="24"/>
          <w:lang w:val="en-GB"/>
        </w:rPr>
        <w:t>In the second-stage, the extended random</w:t>
      </w:r>
      <w:r>
        <w:rPr>
          <w:sz w:val="24"/>
          <w:szCs w:val="24"/>
          <w:lang w:val="en-GB"/>
        </w:rPr>
        <w:t>-</w:t>
      </w:r>
      <w:r w:rsidRPr="00391D84">
        <w:rPr>
          <w:sz w:val="24"/>
          <w:szCs w:val="24"/>
          <w:lang w:val="en-GB"/>
        </w:rPr>
        <w:t>effect</w:t>
      </w:r>
      <w:r>
        <w:rPr>
          <w:sz w:val="24"/>
          <w:szCs w:val="24"/>
          <w:lang w:val="en-GB"/>
        </w:rPr>
        <w:t>s</w:t>
      </w:r>
      <w:r w:rsidRPr="00391D84">
        <w:rPr>
          <w:sz w:val="24"/>
          <w:szCs w:val="24"/>
          <w:lang w:val="en-GB"/>
        </w:rPr>
        <w:t xml:space="preserve"> meta-analysis can be used to obtain the pooled set of coefficients taking into account the dependencies and uncertainty of the coefficients as measured by the covariance matrix of the coefficient set for each city. </w:t>
      </w:r>
    </w:p>
    <w:p w:rsidR="00BD38BA" w:rsidRPr="00391D84" w:rsidRDefault="00BD38BA" w:rsidP="00DC3149">
      <w:pPr>
        <w:spacing w:line="480" w:lineRule="auto"/>
        <w:rPr>
          <w:rFonts w:eastAsiaTheme="minorEastAsia"/>
          <w:sz w:val="24"/>
          <w:szCs w:val="24"/>
          <w:lang w:val="en-GB"/>
        </w:rPr>
      </w:pPr>
      <w:r w:rsidRPr="00391D84">
        <w:rPr>
          <w:sz w:val="24"/>
          <w:szCs w:val="24"/>
          <w:lang w:val="en-GB"/>
        </w:rPr>
        <w:t xml:space="preserve">In terms of the extended framework, this represents an example of multivariate meta-analysis, where the design matrices of the fixed and random effects are identity matrices with dimensions equal to the number of coefficients: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lang w:val="en-GB"/>
          </w:rPr>
          <m:t>=</m:t>
        </m:r>
        <m:sSub>
          <m:sSubPr>
            <m:ctrlPr>
              <w:rPr>
                <w:rFonts w:ascii="Cambria Math" w:hAnsi="Cambria Math"/>
                <w:i/>
                <w:sz w:val="24"/>
                <w:szCs w:val="24"/>
              </w:rPr>
            </m:ctrlPr>
          </m:sSubPr>
          <m:e>
            <m:r>
              <m:rPr>
                <m:sty m:val="bi"/>
              </m:rPr>
              <w:rPr>
                <w:rFonts w:ascii="Cambria Math" w:hAnsi="Cambria Math"/>
                <w:sz w:val="24"/>
                <w:szCs w:val="24"/>
              </w:rPr>
              <m:t>Z</m:t>
            </m:r>
          </m:e>
          <m:sub>
            <m:r>
              <w:rPr>
                <w:rFonts w:ascii="Cambria Math" w:hAnsi="Cambria Math"/>
                <w:sz w:val="24"/>
                <w:szCs w:val="24"/>
              </w:rPr>
              <m:t>i</m:t>
            </m:r>
          </m:sub>
        </m:sSub>
        <m:r>
          <w:rPr>
            <w:rFonts w:ascii="Cambria Math" w:hAnsi="Cambria Math"/>
            <w:sz w:val="24"/>
            <w:szCs w:val="24"/>
            <w:lang w:val="en-GB"/>
          </w:rPr>
          <m:t>=</m:t>
        </m:r>
        <m:sSub>
          <m:sSubPr>
            <m:ctrlPr>
              <w:rPr>
                <w:rFonts w:ascii="Cambria Math" w:hAnsi="Cambria Math"/>
                <w:i/>
                <w:sz w:val="24"/>
                <w:szCs w:val="24"/>
              </w:rPr>
            </m:ctrlPr>
          </m:sSubPr>
          <m:e>
            <m:r>
              <m:rPr>
                <m:sty m:val="bi"/>
              </m:rPr>
              <w:rPr>
                <w:rFonts w:ascii="Cambria Math" w:hAnsi="Cambria Math"/>
                <w:sz w:val="24"/>
                <w:szCs w:val="24"/>
              </w:rPr>
              <m:t>I</m:t>
            </m:r>
          </m:e>
          <m:sub>
            <m:r>
              <w:rPr>
                <w:rFonts w:ascii="Cambria Math" w:hAnsi="Cambria Math"/>
                <w:sz w:val="24"/>
                <w:szCs w:val="24"/>
                <w:lang w:val="en-GB"/>
              </w:rPr>
              <m:t>4</m:t>
            </m:r>
          </m:sub>
        </m:sSub>
      </m:oMath>
      <w:r w:rsidRPr="00391D84">
        <w:rPr>
          <w:rFonts w:eastAsiaTheme="minorEastAsia"/>
          <w:sz w:val="24"/>
          <w:szCs w:val="24"/>
          <w:lang w:val="en-GB"/>
        </w:rPr>
        <w:t xml:space="preserve">. Note that the random coefficient vector </w:t>
      </w:r>
      <m:oMath>
        <m:sSub>
          <m:sSubPr>
            <m:ctrlPr>
              <w:rPr>
                <w:rFonts w:ascii="Cambria Math" w:hAnsi="Cambria Math"/>
                <w:b/>
                <w:i/>
                <w:sz w:val="24"/>
                <w:szCs w:val="24"/>
              </w:rPr>
            </m:ctrlPr>
          </m:sSubPr>
          <m:e>
            <m:r>
              <m:rPr>
                <m:sty m:val="bi"/>
              </m:rPr>
              <w:rPr>
                <w:rFonts w:ascii="Cambria Math" w:hAnsi="Cambria Math"/>
                <w:sz w:val="24"/>
                <w:szCs w:val="24"/>
              </w:rPr>
              <m:t>b</m:t>
            </m:r>
          </m:e>
          <m:sub>
            <m:r>
              <w:rPr>
                <w:rFonts w:ascii="Cambria Math" w:hAnsi="Cambria Math"/>
                <w:sz w:val="24"/>
                <w:szCs w:val="24"/>
              </w:rPr>
              <m:t>i</m:t>
            </m:r>
          </m:sub>
        </m:sSub>
      </m:oMath>
      <w:r w:rsidRPr="004D74D0">
        <w:rPr>
          <w:rFonts w:eastAsiaTheme="minorEastAsia"/>
          <w:sz w:val="24"/>
          <w:szCs w:val="24"/>
          <w:lang w:val="en-GB"/>
        </w:rPr>
        <w:t xml:space="preserve"> is a </w:t>
      </w:r>
      <m:oMath>
        <m:r>
          <w:rPr>
            <w:rFonts w:ascii="Cambria Math" w:eastAsiaTheme="minorEastAsia" w:hAnsi="Cambria Math"/>
            <w:sz w:val="24"/>
            <w:szCs w:val="24"/>
            <w:lang w:val="en-GB"/>
          </w:rPr>
          <m:t>(4×1)</m:t>
        </m:r>
      </m:oMath>
      <w:r w:rsidRPr="004D74D0">
        <w:rPr>
          <w:rFonts w:eastAsiaTheme="minorEastAsia"/>
          <w:sz w:val="24"/>
          <w:szCs w:val="24"/>
          <w:lang w:val="en-GB"/>
        </w:rPr>
        <w:t xml:space="preserve"> row vector.</w:t>
      </w:r>
    </w:p>
    <w:p w:rsidR="00BD38BA" w:rsidRPr="00391D84" w:rsidRDefault="00BD38BA" w:rsidP="00DC3149">
      <w:pPr>
        <w:spacing w:line="480" w:lineRule="auto"/>
        <w:rPr>
          <w:rFonts w:eastAsiaTheme="minorEastAsia"/>
          <w:sz w:val="24"/>
          <w:szCs w:val="24"/>
          <w:lang w:val="en-GB"/>
        </w:rPr>
      </w:pPr>
      <w:r w:rsidRPr="00391D84">
        <w:rPr>
          <w:rFonts w:eastAsiaTheme="minorEastAsia"/>
          <w:sz w:val="24"/>
          <w:szCs w:val="24"/>
          <w:lang w:val="en-GB"/>
        </w:rPr>
        <w:t xml:space="preserve">We then fitted meta-regression models to identify contextual factors that could explain a quota of the heterogeneity. Among </w:t>
      </w:r>
      <w:r>
        <w:rPr>
          <w:rFonts w:eastAsiaTheme="minorEastAsia"/>
          <w:sz w:val="24"/>
          <w:szCs w:val="24"/>
          <w:lang w:val="en-GB"/>
        </w:rPr>
        <w:t>several potential</w:t>
      </w:r>
      <w:r w:rsidRPr="00391D84">
        <w:rPr>
          <w:rFonts w:eastAsiaTheme="minorEastAsia"/>
          <w:sz w:val="24"/>
          <w:szCs w:val="24"/>
          <w:lang w:val="en-GB"/>
        </w:rPr>
        <w:t xml:space="preserve"> factors, we considered population size, percentage of people with high-school degree, and percentage of unemployment. These variables will be included in the fixed-effects part of the meta-analytic model by setting  </w:t>
      </w:r>
      <m:oMath>
        <m:sSub>
          <m:sSubPr>
            <m:ctrlPr>
              <w:rPr>
                <w:rFonts w:ascii="Cambria Math" w:eastAsiaTheme="minorEastAsia" w:hAnsi="Cambria Math"/>
                <w:b/>
                <w:i/>
                <w:sz w:val="24"/>
                <w:szCs w:val="24"/>
                <w:lang w:val="en-GB"/>
              </w:rPr>
            </m:ctrlPr>
          </m:sSub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m:t>
            </m:r>
          </m:sub>
        </m:sSub>
        <m:r>
          <w:rPr>
            <w:rFonts w:ascii="Cambria Math" w:eastAsiaTheme="minorEastAsia" w:hAnsi="Cambria Math"/>
            <w:sz w:val="24"/>
            <w:szCs w:val="24"/>
            <w:lang w:val="en-GB"/>
          </w:rPr>
          <m:t>=</m:t>
        </m:r>
        <m:sSubSup>
          <m:sSubSupPr>
            <m:ctrlPr>
              <w:rPr>
                <w:rFonts w:ascii="Cambria Math" w:eastAsiaTheme="minorEastAsia" w:hAnsi="Cambria Math"/>
                <w:i/>
                <w:sz w:val="24"/>
                <w:szCs w:val="24"/>
                <w:lang w:val="en-GB"/>
              </w:rPr>
            </m:ctrlPr>
          </m:sSubSup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m:t>
            </m:r>
          </m:sub>
          <m:sup>
            <m:r>
              <w:rPr>
                <w:rFonts w:ascii="Cambria Math" w:eastAsiaTheme="minorEastAsia" w:hAnsi="Cambria Math"/>
                <w:sz w:val="24"/>
                <w:szCs w:val="24"/>
                <w:lang w:val="en-GB"/>
              </w:rPr>
              <m:t>T</m:t>
            </m:r>
          </m:sup>
        </m:sSubSup>
        <m:r>
          <w:rPr>
            <w:rFonts w:ascii="Cambria Math" w:eastAsiaTheme="minorEastAsia" w:hAnsi="Cambria Math"/>
            <w:sz w:val="24"/>
            <w:szCs w:val="24"/>
            <w:lang w:val="en-GB"/>
          </w:rPr>
          <m:t>⊗</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I</m:t>
            </m:r>
          </m:e>
          <m:sub>
            <m:r>
              <w:rPr>
                <w:rFonts w:ascii="Cambria Math" w:eastAsiaTheme="minorEastAsia" w:hAnsi="Cambria Math"/>
                <w:sz w:val="24"/>
                <w:szCs w:val="24"/>
                <w:lang w:val="en-GB"/>
              </w:rPr>
              <m:t>4</m:t>
            </m:r>
          </m:sub>
        </m:sSub>
      </m:oMath>
      <w:r w:rsidRPr="00391D84">
        <w:rPr>
          <w:rFonts w:eastAsiaTheme="minorEastAsia"/>
          <w:sz w:val="24"/>
          <w:szCs w:val="24"/>
          <w:lang w:val="en-GB"/>
        </w:rPr>
        <w:t xml:space="preserve"> , with </w:t>
      </w:r>
      <m:oMath>
        <m:r>
          <w:rPr>
            <w:rFonts w:ascii="Cambria Math" w:eastAsiaTheme="minorEastAsia" w:hAnsi="Cambria Math"/>
            <w:sz w:val="24"/>
            <w:szCs w:val="24"/>
            <w:lang w:val="en-GB"/>
          </w:rPr>
          <m:t>⊗</m:t>
        </m:r>
      </m:oMath>
      <w:r w:rsidRPr="00391D84">
        <w:rPr>
          <w:rFonts w:eastAsiaTheme="minorEastAsia"/>
          <w:sz w:val="24"/>
          <w:szCs w:val="24"/>
          <w:lang w:val="en-GB"/>
        </w:rPr>
        <w:t xml:space="preserve"> is the Kronecker product operator, where </w:t>
      </w:r>
      <m:oMath>
        <m:sSubSup>
          <m:sSubSupPr>
            <m:ctrlPr>
              <w:rPr>
                <w:rFonts w:ascii="Cambria Math" w:eastAsiaTheme="minorEastAsia" w:hAnsi="Cambria Math"/>
                <w:i/>
                <w:sz w:val="24"/>
                <w:szCs w:val="24"/>
                <w:lang w:val="en-GB"/>
              </w:rPr>
            </m:ctrlPr>
          </m:sSubSup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m:t>
            </m:r>
          </m:sub>
          <m:sup>
            <m:r>
              <w:rPr>
                <w:rFonts w:ascii="Cambria Math" w:eastAsiaTheme="minorEastAsia" w:hAnsi="Cambria Math"/>
                <w:sz w:val="24"/>
                <w:szCs w:val="24"/>
                <w:lang w:val="en-GB"/>
              </w:rPr>
              <m:t>T</m:t>
            </m:r>
          </m:sup>
        </m:sSubSup>
      </m:oMath>
      <w:r w:rsidRPr="00391D84">
        <w:rPr>
          <w:rFonts w:eastAsiaTheme="minorEastAsia"/>
          <w:sz w:val="24"/>
          <w:szCs w:val="24"/>
          <w:lang w:val="en-GB"/>
        </w:rPr>
        <w:t xml:space="preserve">are the variable values measured in first-level unit </w:t>
      </w:r>
      <w:proofErr w:type="spellStart"/>
      <w:r w:rsidRPr="00391D84">
        <w:rPr>
          <w:rFonts w:eastAsiaTheme="minorEastAsia"/>
          <w:i/>
          <w:sz w:val="24"/>
          <w:szCs w:val="24"/>
          <w:lang w:val="en-GB"/>
        </w:rPr>
        <w:t>i</w:t>
      </w:r>
      <w:proofErr w:type="spellEnd"/>
      <w:r w:rsidRPr="00391D84">
        <w:rPr>
          <w:rFonts w:eastAsiaTheme="minorEastAsia"/>
          <w:sz w:val="24"/>
          <w:szCs w:val="24"/>
          <w:lang w:val="en-GB"/>
        </w:rPr>
        <w:t xml:space="preserve">. With this parametrisation, in equation (1), </w:t>
      </w:r>
      <m:oMath>
        <m:r>
          <m:rPr>
            <m:sty m:val="bi"/>
          </m:rPr>
          <w:rPr>
            <w:rFonts w:ascii="Cambria Math" w:eastAsiaTheme="minorEastAsia" w:hAnsi="Cambria Math"/>
            <w:sz w:val="24"/>
            <w:szCs w:val="24"/>
            <w:lang w:val="en-GB"/>
          </w:rPr>
          <m:t>β</m:t>
        </m:r>
      </m:oMath>
      <w:r w:rsidRPr="00391D84">
        <w:rPr>
          <w:rFonts w:eastAsiaTheme="minorEastAsia"/>
          <w:sz w:val="24"/>
          <w:szCs w:val="24"/>
          <w:lang w:val="en-GB"/>
        </w:rPr>
        <w:t xml:space="preserve"> is the (12 X 1) </w:t>
      </w:r>
      <w:r w:rsidRPr="00391D84">
        <w:rPr>
          <w:rFonts w:eastAsiaTheme="minorEastAsia"/>
          <w:sz w:val="24"/>
          <w:szCs w:val="24"/>
          <w:lang w:val="en-GB"/>
        </w:rPr>
        <w:lastRenderedPageBreak/>
        <w:t>dimensional coefficient vector that defines the association of the 4 outcomes with the 3 predictors.</w:t>
      </w:r>
    </w:p>
    <w:p w:rsidR="00BD38BA" w:rsidRPr="00391D84" w:rsidRDefault="00BD38BA" w:rsidP="00391D84">
      <w:pPr>
        <w:spacing w:line="480" w:lineRule="auto"/>
        <w:rPr>
          <w:b/>
          <w:sz w:val="24"/>
          <w:szCs w:val="24"/>
          <w:lang w:val="en-GB"/>
        </w:rPr>
      </w:pPr>
      <w:r>
        <w:rPr>
          <w:b/>
          <w:sz w:val="24"/>
          <w:szCs w:val="24"/>
          <w:lang w:val="en-GB"/>
        </w:rPr>
        <w:t>B</w:t>
      </w:r>
      <w:r w:rsidRPr="00391D84">
        <w:rPr>
          <w:b/>
          <w:sz w:val="24"/>
          <w:szCs w:val="24"/>
          <w:lang w:val="en-GB"/>
        </w:rPr>
        <w:t>2. More complex hierarchical structure</w:t>
      </w:r>
    </w:p>
    <w:p w:rsidR="00BD38BA" w:rsidRDefault="00BD38BA" w:rsidP="00391D84">
      <w:pPr>
        <w:spacing w:line="480" w:lineRule="auto"/>
        <w:rPr>
          <w:sz w:val="24"/>
          <w:szCs w:val="24"/>
          <w:lang w:val="en-GB"/>
        </w:rPr>
      </w:pPr>
      <w:r w:rsidRPr="00391D84">
        <w:rPr>
          <w:sz w:val="24"/>
          <w:szCs w:val="24"/>
          <w:lang w:val="en-GB"/>
        </w:rPr>
        <w:t xml:space="preserve">In the first-stage, we fitted  quasi-Poisson time-series models for each of the </w:t>
      </w:r>
      <w:r>
        <w:rPr>
          <w:sz w:val="24"/>
          <w:szCs w:val="24"/>
          <w:lang w:val="en-GB"/>
        </w:rPr>
        <w:t>85</w:t>
      </w:r>
      <w:r w:rsidRPr="00391D84">
        <w:rPr>
          <w:sz w:val="24"/>
          <w:szCs w:val="24"/>
          <w:lang w:val="en-GB"/>
        </w:rPr>
        <w:t xml:space="preserve"> US cities</w:t>
      </w:r>
      <w:r>
        <w:rPr>
          <w:sz w:val="24"/>
          <w:szCs w:val="24"/>
          <w:lang w:val="en-GB"/>
        </w:rPr>
        <w:t xml:space="preserve"> with available data</w:t>
      </w:r>
      <w:r w:rsidRPr="00391D84">
        <w:rPr>
          <w:sz w:val="24"/>
          <w:szCs w:val="24"/>
          <w:lang w:val="en-GB"/>
        </w:rPr>
        <w:t xml:space="preserve"> in order to estimate the association between ozone and non-accidental mortality. Ozone was modelled linearly over the moving average of 0-1 lags. The parameters of the DLM model were “reduced” over the lag dimension, </w:t>
      </w:r>
      <w:r>
        <w:rPr>
          <w:sz w:val="24"/>
          <w:szCs w:val="24"/>
          <w:lang w:val="en-GB"/>
        </w:rPr>
        <w:t xml:space="preserve">similarly to the previous case </w:t>
      </w:r>
      <w:proofErr w:type="spellStart"/>
      <w:r>
        <w:rPr>
          <w:sz w:val="24"/>
          <w:szCs w:val="24"/>
          <w:lang w:val="en-GB"/>
        </w:rPr>
        <w:t>stury</w:t>
      </w:r>
      <w:proofErr w:type="spellEnd"/>
      <w:r>
        <w:rPr>
          <w:sz w:val="24"/>
          <w:szCs w:val="24"/>
          <w:lang w:val="en-GB"/>
        </w:rPr>
        <w:t>,</w:t>
      </w:r>
      <w:r w:rsidRPr="00391D84">
        <w:rPr>
          <w:sz w:val="24"/>
          <w:szCs w:val="24"/>
          <w:lang w:val="en-GB"/>
        </w:rPr>
        <w:t xml:space="preserve"> obtaining a single coefficient (log-RR</w:t>
      </w:r>
      <w:r w:rsidRPr="00DC3149">
        <w:rPr>
          <w:rFonts w:eastAsiaTheme="minorEastAsia"/>
          <w:sz w:val="24"/>
          <w:szCs w:val="24"/>
          <w:lang w:val="en-GB"/>
        </w:rPr>
        <w:t xml:space="preserve"> </w:t>
      </w:r>
      <w:r w:rsidRPr="00391D84">
        <w:rPr>
          <w:rFonts w:eastAsiaTheme="minorEastAsia"/>
          <w:sz w:val="24"/>
          <w:szCs w:val="24"/>
          <w:lang w:val="en-GB"/>
        </w:rPr>
        <w:t xml:space="preserve">for an increase of 10 </w:t>
      </w:r>
      <w:r w:rsidRPr="00391D84">
        <w:rPr>
          <w:rFonts w:eastAsiaTheme="minorEastAsia" w:cstheme="minorHAnsi"/>
          <w:sz w:val="24"/>
          <w:szCs w:val="24"/>
          <w:lang w:val="en-GB"/>
        </w:rPr>
        <w:t>µ</w:t>
      </w:r>
      <w:r w:rsidRPr="00391D84">
        <w:rPr>
          <w:rFonts w:eastAsiaTheme="minorEastAsia"/>
          <w:sz w:val="24"/>
          <w:szCs w:val="24"/>
          <w:lang w:val="en-GB"/>
        </w:rPr>
        <w:t>g/m3</w:t>
      </w:r>
      <w:r w:rsidRPr="00391D84">
        <w:rPr>
          <w:sz w:val="24"/>
          <w:szCs w:val="24"/>
          <w:lang w:val="en-GB"/>
        </w:rPr>
        <w:t xml:space="preserve">) and its variance for each of the </w:t>
      </w:r>
      <w:r>
        <w:rPr>
          <w:sz w:val="24"/>
          <w:szCs w:val="24"/>
          <w:lang w:val="en-GB"/>
        </w:rPr>
        <w:t>85</w:t>
      </w:r>
      <w:r w:rsidRPr="00391D84">
        <w:rPr>
          <w:sz w:val="24"/>
          <w:szCs w:val="24"/>
          <w:lang w:val="en-GB"/>
        </w:rPr>
        <w:t xml:space="preserve"> cities. We considered the confounding effect of temperature and long-term trend/seasonality. Briefly, </w:t>
      </w:r>
      <w:r>
        <w:rPr>
          <w:sz w:val="24"/>
          <w:szCs w:val="24"/>
          <w:lang w:val="en-GB"/>
        </w:rPr>
        <w:t xml:space="preserve">temperature was modelled using </w:t>
      </w:r>
      <w:r w:rsidRPr="00391D84">
        <w:rPr>
          <w:sz w:val="24"/>
          <w:szCs w:val="24"/>
          <w:lang w:val="en-GB"/>
        </w:rPr>
        <w:t>a</w:t>
      </w:r>
      <w:r>
        <w:rPr>
          <w:sz w:val="24"/>
          <w:szCs w:val="24"/>
          <w:lang w:val="en-GB"/>
        </w:rPr>
        <w:t xml:space="preserve"> cross-basis composed of</w:t>
      </w:r>
      <w:r w:rsidRPr="00391D84">
        <w:rPr>
          <w:sz w:val="24"/>
          <w:szCs w:val="24"/>
          <w:lang w:val="en-GB"/>
        </w:rPr>
        <w:t xml:space="preserve"> quadratic B-spline </w:t>
      </w:r>
      <w:r>
        <w:rPr>
          <w:sz w:val="24"/>
          <w:szCs w:val="24"/>
          <w:lang w:val="en-GB"/>
        </w:rPr>
        <w:t>function</w:t>
      </w:r>
      <w:r w:rsidRPr="00391D84">
        <w:rPr>
          <w:sz w:val="24"/>
          <w:szCs w:val="24"/>
          <w:lang w:val="en-GB"/>
        </w:rPr>
        <w:t xml:space="preserve"> with </w:t>
      </w:r>
      <w:r>
        <w:rPr>
          <w:sz w:val="24"/>
          <w:szCs w:val="24"/>
          <w:lang w:val="en-GB"/>
        </w:rPr>
        <w:t>three</w:t>
      </w:r>
      <w:r w:rsidRPr="00391D84">
        <w:rPr>
          <w:sz w:val="24"/>
          <w:szCs w:val="24"/>
          <w:lang w:val="en-GB"/>
        </w:rPr>
        <w:t xml:space="preserve"> internal knots </w:t>
      </w:r>
      <w:r>
        <w:rPr>
          <w:sz w:val="24"/>
          <w:szCs w:val="24"/>
          <w:lang w:val="en-GB"/>
        </w:rPr>
        <w:t>(at the 10</w:t>
      </w:r>
      <w:r w:rsidRPr="004D74D0">
        <w:rPr>
          <w:sz w:val="24"/>
          <w:szCs w:val="24"/>
          <w:vertAlign w:val="superscript"/>
          <w:lang w:val="en-GB"/>
        </w:rPr>
        <w:t>th</w:t>
      </w:r>
      <w:r>
        <w:rPr>
          <w:sz w:val="24"/>
          <w:szCs w:val="24"/>
          <w:lang w:val="en-GB"/>
        </w:rPr>
        <w:t>, 75</w:t>
      </w:r>
      <w:r w:rsidRPr="004D74D0">
        <w:rPr>
          <w:sz w:val="24"/>
          <w:szCs w:val="24"/>
          <w:vertAlign w:val="superscript"/>
          <w:lang w:val="en-GB"/>
        </w:rPr>
        <w:t>th</w:t>
      </w:r>
      <w:r>
        <w:rPr>
          <w:sz w:val="24"/>
          <w:szCs w:val="24"/>
          <w:lang w:val="en-GB"/>
        </w:rPr>
        <w:t>, and 90</w:t>
      </w:r>
      <w:r w:rsidRPr="004D74D0">
        <w:rPr>
          <w:sz w:val="24"/>
          <w:szCs w:val="24"/>
          <w:vertAlign w:val="superscript"/>
          <w:lang w:val="en-GB"/>
        </w:rPr>
        <w:t>th</w:t>
      </w:r>
      <w:r>
        <w:rPr>
          <w:sz w:val="24"/>
          <w:szCs w:val="24"/>
          <w:lang w:val="en-GB"/>
        </w:rPr>
        <w:t xml:space="preserve"> percentiles) </w:t>
      </w:r>
      <w:r w:rsidRPr="00391D84">
        <w:rPr>
          <w:sz w:val="24"/>
          <w:szCs w:val="24"/>
          <w:lang w:val="en-GB"/>
        </w:rPr>
        <w:t xml:space="preserve">to represent non-linear </w:t>
      </w:r>
      <w:r>
        <w:rPr>
          <w:sz w:val="24"/>
          <w:szCs w:val="24"/>
          <w:lang w:val="en-GB"/>
        </w:rPr>
        <w:t>exposure-response relationships</w:t>
      </w:r>
      <w:r w:rsidRPr="00391D84">
        <w:rPr>
          <w:sz w:val="24"/>
          <w:szCs w:val="24"/>
          <w:lang w:val="en-GB"/>
        </w:rPr>
        <w:t xml:space="preserve">, </w:t>
      </w:r>
      <w:r>
        <w:rPr>
          <w:sz w:val="24"/>
          <w:szCs w:val="24"/>
          <w:lang w:val="en-GB"/>
        </w:rPr>
        <w:t xml:space="preserve">and </w:t>
      </w:r>
      <w:proofErr w:type="spellStart"/>
      <w:r>
        <w:rPr>
          <w:sz w:val="24"/>
          <w:szCs w:val="24"/>
          <w:lang w:val="en-GB"/>
        </w:rPr>
        <w:t>and</w:t>
      </w:r>
      <w:proofErr w:type="spellEnd"/>
      <w:r w:rsidRPr="00391D84">
        <w:rPr>
          <w:sz w:val="24"/>
          <w:szCs w:val="24"/>
          <w:lang w:val="en-GB"/>
        </w:rPr>
        <w:t xml:space="preserve"> unconstrained </w:t>
      </w:r>
      <w:r>
        <w:rPr>
          <w:sz w:val="24"/>
          <w:szCs w:val="24"/>
          <w:lang w:val="en-GB"/>
        </w:rPr>
        <w:t>parametrisation</w:t>
      </w:r>
      <w:r w:rsidRPr="00391D84">
        <w:rPr>
          <w:sz w:val="24"/>
          <w:szCs w:val="24"/>
          <w:lang w:val="en-GB"/>
        </w:rPr>
        <w:t xml:space="preserve"> within </w:t>
      </w:r>
      <w:r>
        <w:rPr>
          <w:sz w:val="24"/>
          <w:szCs w:val="24"/>
          <w:lang w:val="en-GB"/>
        </w:rPr>
        <w:t>0-</w:t>
      </w:r>
      <w:r w:rsidRPr="00391D84">
        <w:rPr>
          <w:sz w:val="24"/>
          <w:szCs w:val="24"/>
          <w:lang w:val="en-GB"/>
        </w:rPr>
        <w:t>3 days</w:t>
      </w:r>
      <w:r>
        <w:rPr>
          <w:sz w:val="24"/>
          <w:szCs w:val="24"/>
          <w:lang w:val="en-GB"/>
        </w:rPr>
        <w:t xml:space="preserve"> to model the lag-response shape</w:t>
      </w:r>
      <w:r w:rsidRPr="00391D84">
        <w:rPr>
          <w:sz w:val="24"/>
          <w:szCs w:val="24"/>
          <w:lang w:val="en-GB"/>
        </w:rPr>
        <w:t>. The confounding effect of long-term trends was modelled with a smooth function of day of the year (natural splines with four 7 degrees of freedom per year).</w:t>
      </w:r>
    </w:p>
    <w:p w:rsidR="00BD38BA" w:rsidRPr="00391D84" w:rsidRDefault="00BD38BA" w:rsidP="00DC3149">
      <w:pPr>
        <w:spacing w:line="480" w:lineRule="auto"/>
        <w:rPr>
          <w:rFonts w:eastAsiaTheme="minorEastAsia"/>
          <w:sz w:val="24"/>
          <w:szCs w:val="24"/>
          <w:lang w:val="en-GB"/>
        </w:rPr>
      </w:pPr>
      <w:r>
        <w:rPr>
          <w:rFonts w:eastAsiaTheme="minorEastAsia"/>
          <w:sz w:val="24"/>
          <w:szCs w:val="24"/>
          <w:lang w:val="en-GB"/>
        </w:rPr>
        <w:t>W</w:t>
      </w:r>
      <w:r w:rsidRPr="00391D84">
        <w:rPr>
          <w:rFonts w:eastAsiaTheme="minorEastAsia"/>
          <w:sz w:val="24"/>
          <w:szCs w:val="24"/>
          <w:lang w:val="en-GB"/>
        </w:rPr>
        <w:t xml:space="preserve">e estimated the log-RR for an increase of 10 </w:t>
      </w:r>
      <w:r w:rsidRPr="00391D84">
        <w:rPr>
          <w:rFonts w:eastAsiaTheme="minorEastAsia" w:cstheme="minorHAnsi"/>
          <w:sz w:val="24"/>
          <w:szCs w:val="24"/>
          <w:lang w:val="en-GB"/>
        </w:rPr>
        <w:t>µ</w:t>
      </w:r>
      <w:r w:rsidRPr="00391D84">
        <w:rPr>
          <w:rFonts w:eastAsiaTheme="minorEastAsia"/>
          <w:sz w:val="24"/>
          <w:szCs w:val="24"/>
          <w:lang w:val="en-GB"/>
        </w:rPr>
        <w:t>g/m3</w:t>
      </w:r>
      <w:r>
        <w:rPr>
          <w:rFonts w:eastAsiaTheme="minorEastAsia"/>
          <w:sz w:val="24"/>
          <w:szCs w:val="24"/>
          <w:lang w:val="en-GB"/>
        </w:rPr>
        <w:t xml:space="preserve"> in each of the 85 cities</w:t>
      </w:r>
      <w:r w:rsidRPr="00391D84">
        <w:rPr>
          <w:rFonts w:eastAsiaTheme="minorEastAsia"/>
          <w:sz w:val="24"/>
          <w:szCs w:val="24"/>
          <w:lang w:val="en-GB"/>
        </w:rPr>
        <w:t>, along with its variance as a measure</w:t>
      </w:r>
      <w:r>
        <w:rPr>
          <w:rFonts w:eastAsiaTheme="minorEastAsia"/>
          <w:sz w:val="24"/>
          <w:szCs w:val="24"/>
          <w:lang w:val="en-GB"/>
        </w:rPr>
        <w:t xml:space="preserve"> of the precision (uncertainty). </w:t>
      </w:r>
      <w:r w:rsidRPr="00391D84">
        <w:rPr>
          <w:rFonts w:eastAsiaTheme="minorEastAsia"/>
          <w:sz w:val="24"/>
          <w:szCs w:val="24"/>
          <w:lang w:val="en-GB"/>
        </w:rPr>
        <w:t>These estimates are nested within 35 states.</w:t>
      </w:r>
    </w:p>
    <w:p w:rsidR="00BD38BA" w:rsidRPr="00391D84" w:rsidRDefault="00BD38BA" w:rsidP="00DC3149">
      <w:pPr>
        <w:spacing w:line="480" w:lineRule="auto"/>
        <w:rPr>
          <w:sz w:val="24"/>
          <w:szCs w:val="24"/>
          <w:lang w:val="en-GB"/>
        </w:rPr>
      </w:pPr>
      <w:r w:rsidRPr="00391D84">
        <w:rPr>
          <w:sz w:val="24"/>
          <w:szCs w:val="24"/>
          <w:lang w:val="en-GB"/>
        </w:rPr>
        <w:t>Within the extended meta-analytic framework, we structured the first stage estimate</w:t>
      </w:r>
      <w:r>
        <w:rPr>
          <w:sz w:val="24"/>
          <w:szCs w:val="24"/>
          <w:lang w:val="en-GB"/>
        </w:rPr>
        <w:t>d coefficients</w:t>
      </w:r>
      <w:r w:rsidRPr="00391D84">
        <w:rPr>
          <w:sz w:val="24"/>
          <w:szCs w:val="24"/>
          <w:lang w:val="en-GB"/>
        </w:rPr>
        <w:t xml:space="preserve">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θ</m:t>
                </m:r>
              </m:e>
            </m:acc>
          </m:e>
          <m:sub>
            <m:r>
              <w:rPr>
                <w:rFonts w:ascii="Cambria Math" w:hAnsi="Cambria Math"/>
                <w:sz w:val="24"/>
                <w:szCs w:val="24"/>
              </w:rPr>
              <m:t>i</m:t>
            </m:r>
          </m:sub>
        </m:sSub>
      </m:oMath>
      <w:r w:rsidRPr="00391D84">
        <w:rPr>
          <w:sz w:val="24"/>
          <w:szCs w:val="24"/>
          <w:lang w:val="en-GB"/>
        </w:rPr>
        <w:t xml:space="preserve"> </w:t>
      </w:r>
      <w:r w:rsidRPr="00391D84">
        <w:rPr>
          <w:position w:val="-12"/>
          <w:sz w:val="24"/>
          <w:szCs w:val="24"/>
          <w:lang w:val="en-GB"/>
        </w:rPr>
        <w:object w:dxaOrig="660" w:dyaOrig="360">
          <v:shape id="_x0000_i1027" type="#_x0000_t75" style="width:33pt;height:19pt" o:ole="">
            <v:imagedata r:id="rId8" o:title=""/>
          </v:shape>
          <o:OLEObject Type="Embed" ProgID="Equation.DSMT4" ShapeID="_x0000_i1027" DrawAspect="Content" ObjectID="_1709725152" r:id="rId9"/>
        </w:object>
      </w:r>
      <w:r w:rsidRPr="00391D84">
        <w:rPr>
          <w:sz w:val="24"/>
          <w:szCs w:val="24"/>
          <w:lang w:val="en-GB"/>
        </w:rPr>
        <w:t xml:space="preserve">considering two hierarchical levels </w:t>
      </w:r>
      <m:oMath>
        <m:r>
          <w:rPr>
            <w:rFonts w:ascii="Cambria Math" w:hAnsi="Cambria Math"/>
            <w:sz w:val="24"/>
            <w:szCs w:val="24"/>
          </w:rPr>
          <m:t>L</m:t>
        </m:r>
        <m:r>
          <w:rPr>
            <w:rFonts w:ascii="Cambria Math" w:hAnsi="Cambria Math"/>
            <w:sz w:val="24"/>
            <w:szCs w:val="24"/>
            <w:lang w:val="en-GB"/>
          </w:rPr>
          <m:t>=2</m:t>
        </m:r>
      </m:oMath>
      <w:r>
        <w:rPr>
          <w:rFonts w:eastAsiaTheme="minorEastAsia"/>
          <w:sz w:val="24"/>
          <w:szCs w:val="24"/>
          <w:lang w:val="en-GB"/>
        </w:rPr>
        <w:t>,</w:t>
      </w:r>
      <w:r w:rsidRPr="00391D84">
        <w:rPr>
          <w:sz w:val="24"/>
          <w:szCs w:val="24"/>
          <w:lang w:val="en-GB"/>
        </w:rPr>
        <w:t xml:space="preserve"> with cities nested within US states. Note that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θ</m:t>
                </m:r>
              </m:e>
            </m:acc>
          </m:e>
          <m:sub>
            <m:r>
              <w:rPr>
                <w:rFonts w:ascii="Cambria Math" w:hAnsi="Cambria Math"/>
                <w:sz w:val="24"/>
                <w:szCs w:val="24"/>
              </w:rPr>
              <m:t>i</m:t>
            </m:r>
          </m:sub>
        </m:sSub>
      </m:oMath>
      <w:r w:rsidRPr="00391D84">
        <w:rPr>
          <w:rFonts w:eastAsiaTheme="minorEastAsia"/>
          <w:sz w:val="24"/>
          <w:szCs w:val="24"/>
          <w:lang w:val="en-GB"/>
        </w:rPr>
        <w:t xml:space="preserve"> is defined at the highest hierarchical level (US states) with </w:t>
      </w:r>
      <w:r w:rsidRPr="00391D84">
        <w:rPr>
          <w:rFonts w:eastAsiaTheme="minorEastAsia"/>
          <w:position w:val="-12"/>
          <w:sz w:val="24"/>
          <w:szCs w:val="24"/>
          <w:lang w:val="en-GB"/>
        </w:rPr>
        <w:object w:dxaOrig="240" w:dyaOrig="360">
          <v:shape id="_x0000_i1028" type="#_x0000_t75" style="width:12pt;height:19pt" o:ole="">
            <v:imagedata r:id="rId10" o:title=""/>
          </v:shape>
          <o:OLEObject Type="Embed" ProgID="Equation.DSMT4" ShapeID="_x0000_i1028" DrawAspect="Content" ObjectID="_1709725153" r:id="rId11"/>
        </w:object>
      </w:r>
      <w:r w:rsidRPr="00391D84">
        <w:rPr>
          <w:rFonts w:eastAsiaTheme="minorEastAsia"/>
          <w:sz w:val="24"/>
          <w:szCs w:val="24"/>
          <w:lang w:val="en-GB"/>
        </w:rPr>
        <w:t xml:space="preserve"> cities, and that cities and US states have specific random effects (e.g. random intercepts)</w:t>
      </w:r>
      <m:oMath>
        <m:r>
          <w:rPr>
            <w:rFonts w:ascii="Cambria Math" w:eastAsiaTheme="minorEastAsia" w:hAnsi="Cambria Math"/>
            <w:sz w:val="24"/>
            <w:szCs w:val="24"/>
            <w:lang w:val="en-GB"/>
          </w:rPr>
          <m:t xml:space="preserve"> </m:t>
        </m:r>
        <m:sSubSup>
          <m:sSubSupPr>
            <m:ctrlPr>
              <w:rPr>
                <w:rFonts w:ascii="Cambria Math" w:hAnsi="Cambria Math"/>
                <w:i/>
                <w:sz w:val="24"/>
                <w:szCs w:val="24"/>
              </w:rPr>
            </m:ctrlPr>
          </m:sSubSupPr>
          <m:e>
            <m:r>
              <w:rPr>
                <w:rFonts w:ascii="Cambria Math" w:hAnsi="Cambria Math"/>
                <w:sz w:val="24"/>
                <w:szCs w:val="24"/>
                <w:lang w:val="en-GB"/>
              </w:rPr>
              <m:t xml:space="preserve"> </m:t>
            </m:r>
            <m:r>
              <m:rPr>
                <m:sty m:val="bi"/>
              </m:rPr>
              <w:rPr>
                <w:rFonts w:ascii="Cambria Math" w:hAnsi="Cambria Math"/>
                <w:sz w:val="24"/>
                <w:szCs w:val="24"/>
              </w:rPr>
              <m:t>b</m:t>
            </m:r>
          </m:e>
          <m:sub>
            <m:r>
              <w:rPr>
                <w:rFonts w:ascii="Cambria Math" w:hAnsi="Cambria Math"/>
                <w:sz w:val="24"/>
                <w:szCs w:val="24"/>
              </w:rPr>
              <m:t>i</m:t>
            </m:r>
            <m:r>
              <w:rPr>
                <w:rFonts w:ascii="Cambria Math" w:hAnsi="Cambria Math"/>
                <w:sz w:val="24"/>
                <w:szCs w:val="24"/>
                <w:lang w:val="en-GB"/>
              </w:rPr>
              <m:t>1</m:t>
            </m:r>
          </m:sub>
          <m:sup>
            <m:r>
              <w:rPr>
                <w:rFonts w:ascii="Cambria Math" w:hAnsi="Cambria Math"/>
                <w:sz w:val="24"/>
                <w:szCs w:val="24"/>
              </w:rPr>
              <m:t>T</m:t>
            </m:r>
          </m:sup>
        </m:sSubSup>
        <m:r>
          <w:rPr>
            <w:rFonts w:ascii="Cambria Math" w:hAnsi="Cambria Math"/>
            <w:sz w:val="24"/>
            <w:szCs w:val="24"/>
            <w:lang w:val="en-GB"/>
          </w:rPr>
          <m:t>,</m:t>
        </m:r>
        <m:sSubSup>
          <m:sSubSupPr>
            <m:ctrlPr>
              <w:rPr>
                <w:rFonts w:ascii="Cambria Math" w:hAnsi="Cambria Math"/>
                <w:i/>
                <w:sz w:val="24"/>
                <w:szCs w:val="24"/>
              </w:rPr>
            </m:ctrlPr>
          </m:sSubSupPr>
          <m:e>
            <m:r>
              <m:rPr>
                <m:sty m:val="bi"/>
              </m:rPr>
              <w:rPr>
                <w:rFonts w:ascii="Cambria Math" w:hAnsi="Cambria Math"/>
                <w:sz w:val="24"/>
                <w:szCs w:val="24"/>
              </w:rPr>
              <m:t>b</m:t>
            </m:r>
          </m:e>
          <m:sub>
            <m:r>
              <w:rPr>
                <w:rFonts w:ascii="Cambria Math" w:hAnsi="Cambria Math"/>
                <w:sz w:val="24"/>
                <w:szCs w:val="24"/>
              </w:rPr>
              <m:t>i</m:t>
            </m:r>
            <m:r>
              <w:rPr>
                <w:rFonts w:ascii="Cambria Math" w:hAnsi="Cambria Math"/>
                <w:sz w:val="24"/>
                <w:szCs w:val="24"/>
                <w:lang w:val="en-GB"/>
              </w:rPr>
              <m:t>2</m:t>
            </m:r>
          </m:sub>
          <m:sup>
            <m:r>
              <w:rPr>
                <w:rFonts w:ascii="Cambria Math" w:hAnsi="Cambria Math"/>
                <w:sz w:val="24"/>
                <w:szCs w:val="24"/>
              </w:rPr>
              <m:t>T</m:t>
            </m:r>
          </m:sup>
        </m:sSubSup>
      </m:oMath>
      <w:r w:rsidRPr="00391D84">
        <w:rPr>
          <w:rFonts w:eastAsiaTheme="minorEastAsia"/>
          <w:sz w:val="24"/>
          <w:szCs w:val="24"/>
          <w:lang w:val="en-GB"/>
        </w:rPr>
        <w:t xml:space="preserve"> with </w:t>
      </w:r>
      <w:r w:rsidRPr="00391D84">
        <w:rPr>
          <w:rFonts w:eastAsiaTheme="minorEastAsia"/>
          <w:sz w:val="24"/>
          <w:szCs w:val="24"/>
          <w:lang w:val="en-GB"/>
        </w:rPr>
        <w:lastRenderedPageBreak/>
        <w:t xml:space="preserve">design matrices </w:t>
      </w:r>
      <m:oMath>
        <m:sSub>
          <m:sSubPr>
            <m:ctrlPr>
              <w:rPr>
                <w:rFonts w:ascii="Cambria Math" w:hAnsi="Cambria Math"/>
                <w:i/>
                <w:sz w:val="24"/>
                <w:szCs w:val="24"/>
              </w:rPr>
            </m:ctrlPr>
          </m:sSubPr>
          <m:e>
            <m:r>
              <m:rPr>
                <m:sty m:val="bi"/>
              </m:rPr>
              <w:rPr>
                <w:rFonts w:ascii="Cambria Math" w:hAnsi="Cambria Math"/>
                <w:sz w:val="24"/>
                <w:szCs w:val="24"/>
              </w:rPr>
              <m:t>Z</m:t>
            </m:r>
          </m:e>
          <m:sub>
            <m:r>
              <w:rPr>
                <w:rFonts w:ascii="Cambria Math" w:hAnsi="Cambria Math"/>
                <w:sz w:val="24"/>
                <w:szCs w:val="24"/>
              </w:rPr>
              <m:t>i</m:t>
            </m:r>
            <m:r>
              <w:rPr>
                <w:rFonts w:ascii="Cambria Math" w:hAnsi="Cambria Math"/>
                <w:sz w:val="24"/>
                <w:szCs w:val="24"/>
                <w:lang w:val="en-GB"/>
              </w:rPr>
              <m:t>1</m:t>
            </m:r>
          </m:sub>
        </m:sSub>
      </m:oMath>
      <w:r w:rsidRPr="00391D84">
        <w:rPr>
          <w:rFonts w:eastAsiaTheme="minorEastAsia"/>
          <w:sz w:val="24"/>
          <w:szCs w:val="24"/>
          <w:lang w:val="en-GB"/>
        </w:rPr>
        <w:t xml:space="preserve"> </w:t>
      </w:r>
      <w:r w:rsidRPr="00391D84">
        <w:rPr>
          <w:position w:val="-14"/>
          <w:sz w:val="24"/>
          <w:szCs w:val="24"/>
          <w:lang w:val="en-GB"/>
        </w:rPr>
        <w:object w:dxaOrig="700" w:dyaOrig="400">
          <v:shape id="_x0000_i1029" type="#_x0000_t75" style="width:35pt;height:20.5pt" o:ole="">
            <v:imagedata r:id="rId12" o:title=""/>
          </v:shape>
          <o:OLEObject Type="Embed" ProgID="Equation.DSMT4" ShapeID="_x0000_i1029" DrawAspect="Content" ObjectID="_1709725154" r:id="rId13"/>
        </w:object>
      </w:r>
      <w:r w:rsidRPr="00391D84">
        <w:rPr>
          <w:sz w:val="24"/>
          <w:szCs w:val="24"/>
          <w:lang w:val="en-GB"/>
        </w:rPr>
        <w:t>, a column of ones,</w:t>
      </w:r>
      <w:r w:rsidRPr="00391D84">
        <w:rPr>
          <w:rFonts w:eastAsiaTheme="minorEastAsia"/>
          <w:sz w:val="24"/>
          <w:szCs w:val="24"/>
          <w:lang w:val="en-GB"/>
        </w:rPr>
        <w:t xml:space="preserve"> and  </w:t>
      </w:r>
      <m:oMath>
        <m:sSub>
          <m:sSubPr>
            <m:ctrlPr>
              <w:rPr>
                <w:rFonts w:ascii="Cambria Math" w:hAnsi="Cambria Math"/>
                <w:i/>
                <w:sz w:val="24"/>
                <w:szCs w:val="24"/>
              </w:rPr>
            </m:ctrlPr>
          </m:sSubPr>
          <m:e>
            <m:r>
              <m:rPr>
                <m:sty m:val="bi"/>
              </m:rPr>
              <w:rPr>
                <w:rFonts w:ascii="Cambria Math" w:hAnsi="Cambria Math"/>
                <w:sz w:val="24"/>
                <w:szCs w:val="24"/>
              </w:rPr>
              <m:t>Z</m:t>
            </m:r>
          </m:e>
          <m:sub>
            <m:r>
              <w:rPr>
                <w:rFonts w:ascii="Cambria Math" w:hAnsi="Cambria Math"/>
                <w:sz w:val="24"/>
                <w:szCs w:val="24"/>
              </w:rPr>
              <m:t>i</m:t>
            </m:r>
            <m:r>
              <w:rPr>
                <w:rFonts w:ascii="Cambria Math" w:hAnsi="Cambria Math"/>
                <w:sz w:val="24"/>
                <w:szCs w:val="24"/>
                <w:lang w:val="en-GB"/>
              </w:rPr>
              <m:t>2</m:t>
            </m:r>
          </m:sub>
        </m:sSub>
      </m:oMath>
      <w:r w:rsidRPr="00391D84">
        <w:rPr>
          <w:rFonts w:eastAsiaTheme="minorEastAsia"/>
          <w:sz w:val="24"/>
          <w:szCs w:val="24"/>
          <w:lang w:val="en-GB"/>
        </w:rPr>
        <w:t xml:space="preserve"> </w:t>
      </w:r>
      <w:r w:rsidRPr="00391D84">
        <w:rPr>
          <w:position w:val="-14"/>
          <w:sz w:val="24"/>
          <w:szCs w:val="24"/>
          <w:lang w:val="en-GB"/>
        </w:rPr>
        <w:object w:dxaOrig="800" w:dyaOrig="400">
          <v:shape id="_x0000_i1030" type="#_x0000_t75" style="width:40pt;height:20.5pt" o:ole="">
            <v:imagedata r:id="rId14" o:title=""/>
          </v:shape>
          <o:OLEObject Type="Embed" ProgID="Equation.DSMT4" ShapeID="_x0000_i1030" DrawAspect="Content" ObjectID="_1709725155" r:id="rId15"/>
        </w:object>
      </w:r>
      <w:r w:rsidRPr="00391D84">
        <w:rPr>
          <w:rFonts w:eastAsiaTheme="minorEastAsia"/>
          <w:sz w:val="24"/>
          <w:szCs w:val="24"/>
          <w:lang w:val="en-GB"/>
        </w:rPr>
        <w:t xml:space="preserve">with ones on the specific row and column identifying the city. Here </w:t>
      </w:r>
      <m:oMath>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m:t>
            </m:r>
          </m:sub>
        </m:sSub>
        <m:r>
          <w:rPr>
            <w:rFonts w:ascii="Cambria Math" w:eastAsiaTheme="minorEastAsia" w:hAnsi="Cambria Math"/>
            <w:sz w:val="24"/>
            <w:szCs w:val="24"/>
            <w:lang w:val="en-GB"/>
          </w:rPr>
          <m:t>=</m:t>
        </m:r>
        <m:r>
          <m:rPr>
            <m:sty m:val="b"/>
          </m:rPr>
          <w:rPr>
            <w:rFonts w:ascii="Cambria Math" w:eastAsiaTheme="minorEastAsia" w:hAnsi="Cambria Math"/>
            <w:sz w:val="24"/>
            <w:szCs w:val="24"/>
            <w:lang w:val="en-GB"/>
          </w:rPr>
          <m:t>1</m:t>
        </m:r>
      </m:oMath>
      <w:r w:rsidRPr="00391D84">
        <w:rPr>
          <w:rFonts w:eastAsiaTheme="minorEastAsia"/>
          <w:sz w:val="24"/>
          <w:szCs w:val="24"/>
          <w:lang w:val="en-GB"/>
        </w:rPr>
        <w:t xml:space="preserve"> , </w:t>
      </w:r>
      <w:r w:rsidRPr="00391D84">
        <w:rPr>
          <w:position w:val="-14"/>
          <w:sz w:val="24"/>
          <w:szCs w:val="24"/>
          <w:lang w:val="en-GB"/>
        </w:rPr>
        <w:object w:dxaOrig="700" w:dyaOrig="400">
          <v:shape id="_x0000_i1031" type="#_x0000_t75" style="width:35pt;height:20.5pt" o:ole="">
            <v:imagedata r:id="rId12" o:title=""/>
          </v:shape>
          <o:OLEObject Type="Embed" ProgID="Equation.DSMT4" ShapeID="_x0000_i1031" DrawAspect="Content" ObjectID="_1709725156" r:id="rId16"/>
        </w:object>
      </w:r>
      <w:r w:rsidRPr="00391D84">
        <w:rPr>
          <w:sz w:val="24"/>
          <w:szCs w:val="24"/>
          <w:lang w:val="en-GB"/>
        </w:rPr>
        <w:t>, a column of ones</w:t>
      </w:r>
      <w:r w:rsidRPr="00391D84">
        <w:rPr>
          <w:rFonts w:eastAsiaTheme="minorEastAsia"/>
          <w:sz w:val="24"/>
          <w:szCs w:val="24"/>
          <w:lang w:val="en-GB"/>
        </w:rPr>
        <w:t xml:space="preserve"> and specifies the intercept term. This is an example of multilevel meta-analytic model.</w:t>
      </w:r>
    </w:p>
    <w:p w:rsidR="00BD38BA" w:rsidRPr="00391D84" w:rsidRDefault="00BD38BA" w:rsidP="00391D84">
      <w:pPr>
        <w:spacing w:line="480" w:lineRule="auto"/>
        <w:rPr>
          <w:b/>
          <w:sz w:val="24"/>
          <w:szCs w:val="24"/>
          <w:lang w:val="en-GB"/>
        </w:rPr>
      </w:pPr>
      <w:r>
        <w:rPr>
          <w:b/>
          <w:sz w:val="24"/>
          <w:szCs w:val="24"/>
          <w:lang w:val="en-GB"/>
        </w:rPr>
        <w:t>B</w:t>
      </w:r>
      <w:r w:rsidRPr="00391D84">
        <w:rPr>
          <w:b/>
          <w:sz w:val="24"/>
          <w:szCs w:val="24"/>
          <w:lang w:val="en-GB"/>
        </w:rPr>
        <w:t xml:space="preserve">3. </w:t>
      </w:r>
      <w:r>
        <w:rPr>
          <w:b/>
          <w:sz w:val="24"/>
          <w:szCs w:val="24"/>
          <w:lang w:val="en-GB"/>
        </w:rPr>
        <w:t>Sub-group</w:t>
      </w:r>
      <w:r w:rsidRPr="00391D84">
        <w:rPr>
          <w:b/>
          <w:sz w:val="24"/>
          <w:szCs w:val="24"/>
          <w:lang w:val="en-GB"/>
        </w:rPr>
        <w:t xml:space="preserve"> analysis</w:t>
      </w:r>
      <w:r>
        <w:rPr>
          <w:b/>
          <w:sz w:val="24"/>
          <w:szCs w:val="24"/>
          <w:lang w:val="en-GB"/>
        </w:rPr>
        <w:t>, modelling dependencies</w:t>
      </w:r>
      <w:r w:rsidRPr="00391D84">
        <w:rPr>
          <w:b/>
          <w:sz w:val="24"/>
          <w:szCs w:val="24"/>
          <w:lang w:val="en-GB"/>
        </w:rPr>
        <w:t xml:space="preserve"> and dose-response</w:t>
      </w:r>
      <w:r>
        <w:rPr>
          <w:b/>
          <w:sz w:val="24"/>
          <w:szCs w:val="24"/>
          <w:lang w:val="en-GB"/>
        </w:rPr>
        <w:t xml:space="preserve"> relationship</w:t>
      </w:r>
    </w:p>
    <w:p w:rsidR="00BD38BA" w:rsidRDefault="00BD38BA" w:rsidP="00391D84">
      <w:pPr>
        <w:spacing w:line="480" w:lineRule="auto"/>
        <w:rPr>
          <w:sz w:val="24"/>
          <w:szCs w:val="24"/>
          <w:lang w:val="en-GB"/>
        </w:rPr>
      </w:pPr>
      <w:r w:rsidRPr="00391D84">
        <w:rPr>
          <w:sz w:val="24"/>
          <w:szCs w:val="24"/>
          <w:lang w:val="en-GB"/>
        </w:rPr>
        <w:t>The NMMAPS dataset provides daily time-series of overall mortality data for three age classes</w:t>
      </w:r>
      <w:r>
        <w:rPr>
          <w:sz w:val="24"/>
          <w:szCs w:val="24"/>
          <w:lang w:val="en-GB"/>
        </w:rPr>
        <w:t>:</w:t>
      </w:r>
      <w:r w:rsidRPr="00391D84">
        <w:rPr>
          <w:sz w:val="24"/>
          <w:szCs w:val="24"/>
          <w:lang w:val="en-GB"/>
        </w:rPr>
        <w:t xml:space="preserve"> [0, 65), [65, 75), </w:t>
      </w:r>
      <w:r>
        <w:rPr>
          <w:sz w:val="24"/>
          <w:szCs w:val="24"/>
          <w:lang w:val="en-GB"/>
        </w:rPr>
        <w:t xml:space="preserve">and </w:t>
      </w:r>
      <w:r w:rsidRPr="00391D84">
        <w:rPr>
          <w:sz w:val="24"/>
          <w:szCs w:val="24"/>
          <w:lang w:val="en-GB"/>
        </w:rPr>
        <w:t xml:space="preserve">[75+) for each of the 108 US cities. The analysis follows the same scheme as in Section </w:t>
      </w:r>
      <w:r>
        <w:rPr>
          <w:sz w:val="24"/>
          <w:szCs w:val="24"/>
          <w:lang w:val="en-GB"/>
        </w:rPr>
        <w:t>B</w:t>
      </w:r>
      <w:r w:rsidRPr="00391D84">
        <w:rPr>
          <w:sz w:val="24"/>
          <w:szCs w:val="24"/>
          <w:lang w:val="en-GB"/>
        </w:rPr>
        <w:t>1, only repeated by each age class. Thus, we obtained 324 sets of coefficients and associated (co)variance matrix describing the age-specific temperature mortality association nested within 108 cities</w:t>
      </w:r>
      <w:r>
        <w:rPr>
          <w:sz w:val="24"/>
          <w:szCs w:val="24"/>
          <w:lang w:val="en-GB"/>
        </w:rPr>
        <w:t xml:space="preserve"> </w:t>
      </w:r>
      <w:r w:rsidRPr="00391D84">
        <w:rPr>
          <w:rFonts w:eastAsiaTheme="minorEastAsia"/>
          <w:sz w:val="24"/>
          <w:szCs w:val="24"/>
          <w:lang w:val="en-GB"/>
        </w:rPr>
        <w:t>(</w:t>
      </w:r>
      <w:r>
        <w:rPr>
          <w:rFonts w:eastAsiaTheme="minorEastAsia"/>
          <w:sz w:val="24"/>
          <w:szCs w:val="24"/>
          <w:lang w:val="en-GB"/>
        </w:rPr>
        <w:t>i.e.,</w:t>
      </w:r>
      <w:r w:rsidRPr="00391D84">
        <w:rPr>
          <w:rFonts w:eastAsiaTheme="minorEastAsia"/>
          <w:sz w:val="24"/>
          <w:szCs w:val="24"/>
          <w:lang w:val="en-GB"/>
        </w:rPr>
        <w:t xml:space="preserve"> each city has </w:t>
      </w:r>
      <w:r>
        <w:rPr>
          <w:rFonts w:eastAsiaTheme="minorEastAsia"/>
          <w:sz w:val="24"/>
          <w:szCs w:val="24"/>
          <w:lang w:val="en-GB"/>
        </w:rPr>
        <w:t>three</w:t>
      </w:r>
      <w:r w:rsidRPr="00391D84">
        <w:rPr>
          <w:rFonts w:eastAsiaTheme="minorEastAsia"/>
          <w:sz w:val="24"/>
          <w:szCs w:val="24"/>
          <w:lang w:val="en-GB"/>
        </w:rPr>
        <w:t xml:space="preserve"> coefficients)</w:t>
      </w:r>
      <w:r>
        <w:rPr>
          <w:rFonts w:eastAsiaTheme="minorEastAsia"/>
          <w:sz w:val="24"/>
          <w:szCs w:val="24"/>
          <w:lang w:val="en-GB"/>
        </w:rPr>
        <w:t>.</w:t>
      </w:r>
    </w:p>
    <w:p w:rsidR="00BD38BA" w:rsidRDefault="00BD38BA" w:rsidP="00391D84">
      <w:pPr>
        <w:spacing w:line="480" w:lineRule="auto"/>
        <w:rPr>
          <w:rFonts w:eastAsiaTheme="minorEastAsia"/>
          <w:sz w:val="24"/>
          <w:szCs w:val="24"/>
          <w:lang w:val="en-GB"/>
        </w:rPr>
      </w:pPr>
      <w:r w:rsidRPr="00391D84">
        <w:rPr>
          <w:rFonts w:eastAsiaTheme="minorEastAsia"/>
          <w:sz w:val="24"/>
          <w:szCs w:val="24"/>
          <w:lang w:val="en-GB"/>
        </w:rPr>
        <w:t xml:space="preserve">When considering the clustering effect of cities, the </w:t>
      </w:r>
      <w:r w:rsidRPr="00391D84">
        <w:rPr>
          <w:sz w:val="24"/>
          <w:szCs w:val="24"/>
          <w:lang w:val="en-GB"/>
        </w:rPr>
        <w:t xml:space="preserve">first stage estimates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θ</m:t>
                </m:r>
              </m:e>
            </m:acc>
          </m:e>
          <m:sub>
            <m:r>
              <w:rPr>
                <w:rFonts w:ascii="Cambria Math" w:hAnsi="Cambria Math"/>
                <w:sz w:val="24"/>
                <w:szCs w:val="24"/>
              </w:rPr>
              <m:t>i</m:t>
            </m:r>
          </m:sub>
        </m:sSub>
      </m:oMath>
      <w:r w:rsidRPr="00391D84">
        <w:rPr>
          <w:rFonts w:eastAsiaTheme="minorEastAsia"/>
          <w:sz w:val="24"/>
          <w:szCs w:val="24"/>
          <w:lang w:val="en-GB"/>
        </w:rPr>
        <w:t xml:space="preserve"> is a </w:t>
      </w:r>
      <w:r w:rsidRPr="00391D84">
        <w:rPr>
          <w:position w:val="-10"/>
          <w:sz w:val="24"/>
          <w:szCs w:val="24"/>
          <w:lang w:val="en-GB"/>
        </w:rPr>
        <w:object w:dxaOrig="720" w:dyaOrig="320">
          <v:shape id="_x0000_i1032" type="#_x0000_t75" style="width:36pt;height:16.5pt" o:ole="">
            <v:imagedata r:id="rId17" o:title=""/>
          </v:shape>
          <o:OLEObject Type="Embed" ProgID="Equation.DSMT4" ShapeID="_x0000_i1032" DrawAspect="Content" ObjectID="_1709725157" r:id="rId18"/>
        </w:object>
      </w:r>
      <w:r w:rsidRPr="00391D84">
        <w:rPr>
          <w:sz w:val="24"/>
          <w:szCs w:val="24"/>
          <w:lang w:val="en-GB"/>
        </w:rPr>
        <w:t xml:space="preserve"> vector (4 splines coefficients estimated for the three age classes) and the within-location (co)variance matrix </w:t>
      </w:r>
      <m:oMath>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m:t>
            </m:r>
          </m:e>
          <m:sub>
            <m:r>
              <w:rPr>
                <w:rFonts w:ascii="Cambria Math" w:hAnsi="Cambria Math"/>
                <w:sz w:val="24"/>
                <w:szCs w:val="24"/>
                <w:lang w:val="en-GB"/>
              </w:rPr>
              <m:t>a</m:t>
            </m:r>
          </m:sub>
        </m:sSub>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i,a</m:t>
            </m:r>
          </m:sub>
        </m:sSub>
      </m:oMath>
      <w:r w:rsidRPr="00391D84">
        <w:rPr>
          <w:rFonts w:eastAsiaTheme="minorEastAsia"/>
          <w:sz w:val="24"/>
          <w:szCs w:val="24"/>
          <w:lang w:val="en-GB"/>
        </w:rPr>
        <w:t xml:space="preserve"> is a block diagonal matrix where diagonal blocks </w:t>
      </w:r>
      <m:oMath>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i,a</m:t>
            </m:r>
          </m:sub>
        </m:sSub>
      </m:oMath>
      <w:r w:rsidRPr="00391D84">
        <w:rPr>
          <w:rFonts w:eastAsiaTheme="minorEastAsia"/>
          <w:sz w:val="24"/>
          <w:szCs w:val="24"/>
          <w:lang w:val="en-GB"/>
        </w:rPr>
        <w:t xml:space="preserve"> are the covariance matrices of the coefficients calculated in each age class (a). We modelled age as a fixed-effects variable by stacking by rows the matrices </w:t>
      </w:r>
      <m:oMath>
        <m:sSub>
          <m:sSubPr>
            <m:ctrlPr>
              <w:rPr>
                <w:rFonts w:ascii="Cambria Math" w:hAnsi="Cambria Math"/>
                <w:i/>
                <w:sz w:val="24"/>
                <w:szCs w:val="24"/>
                <w:lang w:val="en-GB"/>
              </w:rPr>
            </m:ctrlPr>
          </m:sSubPr>
          <m:e>
            <m:r>
              <m:rPr>
                <m:sty m:val="bi"/>
              </m:rPr>
              <w:rPr>
                <w:rFonts w:ascii="Cambria Math" w:hAnsi="Cambria Math"/>
                <w:sz w:val="24"/>
                <w:szCs w:val="24"/>
                <w:lang w:val="en-GB"/>
              </w:rPr>
              <m:t>X</m:t>
            </m:r>
          </m:e>
          <m:sub>
            <m:r>
              <w:rPr>
                <w:rFonts w:ascii="Cambria Math" w:hAnsi="Cambria Math"/>
                <w:sz w:val="24"/>
                <w:szCs w:val="24"/>
                <w:lang w:val="en-GB"/>
              </w:rPr>
              <m:t>i,a</m:t>
            </m:r>
          </m:sub>
        </m:sSub>
      </m:oMath>
      <w:r w:rsidRPr="00391D84">
        <w:rPr>
          <w:rFonts w:eastAsiaTheme="minorEastAsia"/>
          <w:sz w:val="24"/>
          <w:szCs w:val="24"/>
          <w:lang w:val="en-GB"/>
        </w:rPr>
        <w:t xml:space="preserve">, with  </w:t>
      </w:r>
      <m:oMath>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i,a</m:t>
            </m:r>
          </m:sub>
        </m:sSub>
        <m:r>
          <w:rPr>
            <w:rFonts w:ascii="Cambria Math" w:eastAsiaTheme="minorEastAsia" w:hAnsi="Cambria Math"/>
            <w:sz w:val="24"/>
            <w:szCs w:val="24"/>
            <w:lang w:val="en-GB"/>
          </w:rPr>
          <m:t>=</m:t>
        </m:r>
        <m:sSubSup>
          <m:sSubSupPr>
            <m:ctrlPr>
              <w:rPr>
                <w:rFonts w:ascii="Cambria Math" w:eastAsiaTheme="minorEastAsia" w:hAnsi="Cambria Math"/>
                <w:i/>
                <w:sz w:val="24"/>
                <w:szCs w:val="24"/>
                <w:lang w:val="en-GB"/>
              </w:rPr>
            </m:ctrlPr>
          </m:sSubSup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i,a</m:t>
            </m:r>
          </m:sub>
          <m:sup>
            <m:r>
              <w:rPr>
                <w:rFonts w:ascii="Cambria Math" w:eastAsiaTheme="minorEastAsia" w:hAnsi="Cambria Math"/>
                <w:sz w:val="24"/>
                <w:szCs w:val="24"/>
                <w:lang w:val="en-GB"/>
              </w:rPr>
              <m:t>T</m:t>
            </m:r>
          </m:sup>
        </m:sSubSup>
        <m:r>
          <w:rPr>
            <w:rFonts w:ascii="Cambria Math" w:eastAsiaTheme="minorEastAsia" w:hAnsi="Cambria Math"/>
            <w:sz w:val="24"/>
            <w:szCs w:val="24"/>
            <w:lang w:val="en-GB"/>
          </w:rPr>
          <m:t>⊗</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I</m:t>
            </m:r>
          </m:e>
          <m:sub>
            <m:r>
              <w:rPr>
                <w:rFonts w:ascii="Cambria Math" w:eastAsiaTheme="minorEastAsia" w:hAnsi="Cambria Math"/>
                <w:sz w:val="24"/>
                <w:szCs w:val="24"/>
                <w:lang w:val="en-GB"/>
              </w:rPr>
              <m:t>4</m:t>
            </m:r>
          </m:sub>
        </m:sSub>
      </m:oMath>
      <w:r w:rsidRPr="00391D84">
        <w:rPr>
          <w:rFonts w:eastAsiaTheme="minorEastAsia"/>
          <w:sz w:val="24"/>
          <w:szCs w:val="24"/>
          <w:lang w:val="en-GB"/>
        </w:rPr>
        <w:t xml:space="preserve"> , where </w:t>
      </w:r>
      <m:oMath>
        <m:sSubSup>
          <m:sSubSupPr>
            <m:ctrlPr>
              <w:rPr>
                <w:rFonts w:ascii="Cambria Math" w:eastAsiaTheme="minorEastAsia" w:hAnsi="Cambria Math"/>
                <w:i/>
                <w:sz w:val="24"/>
                <w:szCs w:val="24"/>
                <w:lang w:val="en-GB"/>
              </w:rPr>
            </m:ctrlPr>
          </m:sSubSupPr>
          <m:e>
            <m:r>
              <w:rPr>
                <w:rFonts w:ascii="Cambria Math" w:eastAsiaTheme="minorEastAsia" w:hAnsi="Cambria Math"/>
                <w:sz w:val="24"/>
                <w:szCs w:val="24"/>
                <w:lang w:val="en-GB"/>
              </w:rPr>
              <m:t>x</m:t>
            </m:r>
          </m:e>
          <m:sub>
            <m:r>
              <w:rPr>
                <w:rFonts w:ascii="Cambria Math" w:eastAsiaTheme="minorEastAsia" w:hAnsi="Cambria Math"/>
                <w:sz w:val="24"/>
                <w:szCs w:val="24"/>
                <w:lang w:val="en-GB"/>
              </w:rPr>
              <m:t>i,a</m:t>
            </m:r>
          </m:sub>
          <m:sup>
            <m:r>
              <w:rPr>
                <w:rFonts w:ascii="Cambria Math" w:eastAsiaTheme="minorEastAsia" w:hAnsi="Cambria Math"/>
                <w:sz w:val="24"/>
                <w:szCs w:val="24"/>
                <w:lang w:val="en-GB"/>
              </w:rPr>
              <m:t>T</m:t>
            </m:r>
          </m:sup>
        </m:sSubSup>
      </m:oMath>
      <w:r w:rsidRPr="00391D84">
        <w:rPr>
          <w:rFonts w:eastAsiaTheme="minorEastAsia"/>
          <w:sz w:val="24"/>
          <w:szCs w:val="24"/>
          <w:lang w:val="en-GB"/>
        </w:rPr>
        <w:t xml:space="preserve"> is the vector representing the age class (a) in the different parametrisations: (categorical; 2 dummies variables), (linear; 1 variable), (non-linear; natural splines with two degree</w:t>
      </w:r>
      <w:r>
        <w:rPr>
          <w:rFonts w:eastAsiaTheme="minorEastAsia"/>
          <w:sz w:val="24"/>
          <w:szCs w:val="24"/>
          <w:lang w:val="en-GB"/>
        </w:rPr>
        <w:t>s</w:t>
      </w:r>
      <w:r w:rsidRPr="00391D84">
        <w:rPr>
          <w:rFonts w:eastAsiaTheme="minorEastAsia"/>
          <w:sz w:val="24"/>
          <w:szCs w:val="24"/>
          <w:lang w:val="en-GB"/>
        </w:rPr>
        <w:t xml:space="preserve"> of freedom). Note that</w:t>
      </w:r>
      <w:r>
        <w:rPr>
          <w:rFonts w:eastAsiaTheme="minorEastAsia"/>
          <w:sz w:val="24"/>
          <w:szCs w:val="24"/>
          <w:lang w:val="en-GB"/>
        </w:rPr>
        <w:t xml:space="preserve"> in this case</w:t>
      </w:r>
      <w:r w:rsidRPr="00391D84">
        <w:rPr>
          <w:rFonts w:eastAsiaTheme="minorEastAsia"/>
          <w:sz w:val="24"/>
          <w:szCs w:val="24"/>
          <w:lang w:val="en-GB"/>
        </w:rPr>
        <w:t xml:space="preserve"> the parametrisation of age as categorical and non-linear with the chosen cut-offs of 70 years are equivalent</w:t>
      </w:r>
      <w:r>
        <w:rPr>
          <w:rFonts w:eastAsiaTheme="minorEastAsia"/>
          <w:sz w:val="24"/>
          <w:szCs w:val="24"/>
          <w:lang w:val="en-GB"/>
        </w:rPr>
        <w:t>, as there are three age groups. However, the two model would be different with a higher number of categories</w:t>
      </w:r>
      <w:r w:rsidRPr="00391D84">
        <w:rPr>
          <w:rFonts w:eastAsiaTheme="minorEastAsia"/>
          <w:sz w:val="24"/>
          <w:szCs w:val="24"/>
          <w:lang w:val="en-GB"/>
        </w:rPr>
        <w:t xml:space="preserve">. The design matrix of the random terms can be defined by stacking by rows the three matrices  </w:t>
      </w:r>
      <m:oMath>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Z</m:t>
            </m:r>
          </m:e>
          <m:sub>
            <m:r>
              <w:rPr>
                <w:rFonts w:ascii="Cambria Math" w:eastAsiaTheme="minorEastAsia" w:hAnsi="Cambria Math"/>
                <w:sz w:val="24"/>
                <w:szCs w:val="24"/>
                <w:lang w:val="en-GB"/>
              </w:rPr>
              <m:t>i,a</m:t>
            </m:r>
          </m:sub>
        </m:sSub>
        <m:r>
          <w:rPr>
            <w:rFonts w:ascii="Cambria Math" w:eastAsiaTheme="minorEastAsia" w:hAnsi="Cambria Math"/>
            <w:sz w:val="24"/>
            <w:szCs w:val="24"/>
            <w:lang w:val="en-GB"/>
          </w:rPr>
          <m:t>=</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I</m:t>
            </m:r>
          </m:e>
          <m:sub>
            <m:r>
              <w:rPr>
                <w:rFonts w:ascii="Cambria Math" w:eastAsiaTheme="minorEastAsia" w:hAnsi="Cambria Math"/>
                <w:sz w:val="24"/>
                <w:szCs w:val="24"/>
                <w:lang w:val="en-GB"/>
              </w:rPr>
              <m:t>4</m:t>
            </m:r>
          </m:sub>
        </m:sSub>
      </m:oMath>
      <w:r w:rsidRPr="00391D84">
        <w:rPr>
          <w:rFonts w:eastAsiaTheme="minorEastAsia"/>
          <w:sz w:val="24"/>
          <w:szCs w:val="24"/>
          <w:lang w:val="en-GB"/>
        </w:rPr>
        <w:t>.</w:t>
      </w:r>
    </w:p>
    <w:p w:rsidR="00BD38BA" w:rsidRPr="00587113" w:rsidRDefault="00BD38BA" w:rsidP="00391D84">
      <w:pPr>
        <w:spacing w:line="480" w:lineRule="auto"/>
        <w:rPr>
          <w:rFonts w:eastAsiaTheme="minorEastAsia"/>
          <w:sz w:val="24"/>
          <w:szCs w:val="24"/>
          <w:lang w:val="en-GB"/>
        </w:rPr>
      </w:pPr>
      <w:r>
        <w:rPr>
          <w:b/>
          <w:sz w:val="24"/>
          <w:szCs w:val="24"/>
          <w:lang w:val="en-GB"/>
        </w:rPr>
        <w:t>B</w:t>
      </w:r>
      <w:r w:rsidRPr="00391D84">
        <w:rPr>
          <w:b/>
          <w:sz w:val="24"/>
          <w:szCs w:val="24"/>
          <w:lang w:val="en-GB"/>
        </w:rPr>
        <w:t>4. Longitudinal</w:t>
      </w:r>
    </w:p>
    <w:p w:rsidR="00BD38BA" w:rsidRPr="00391D84" w:rsidRDefault="00BD38BA" w:rsidP="00391D84">
      <w:pPr>
        <w:spacing w:line="480" w:lineRule="auto"/>
        <w:rPr>
          <w:sz w:val="24"/>
          <w:szCs w:val="24"/>
          <w:lang w:val="en-GB"/>
        </w:rPr>
      </w:pPr>
      <w:r w:rsidRPr="00391D84">
        <w:rPr>
          <w:sz w:val="24"/>
          <w:szCs w:val="24"/>
          <w:lang w:val="en-GB"/>
        </w:rPr>
        <w:lastRenderedPageBreak/>
        <w:t>For each of the 108 US cities the study interval (1987-2000) was split into five periods</w:t>
      </w:r>
      <w:r>
        <w:rPr>
          <w:sz w:val="24"/>
          <w:szCs w:val="24"/>
          <w:lang w:val="en-GB"/>
        </w:rPr>
        <w:t>:</w:t>
      </w:r>
      <w:r w:rsidRPr="00391D84">
        <w:rPr>
          <w:sz w:val="24"/>
          <w:szCs w:val="24"/>
          <w:lang w:val="en-GB"/>
        </w:rPr>
        <w:t xml:space="preserve"> [1987, 1989], [1990, 1992], [1993, 1995], [1996, 1998] and [1999, 2000]</w:t>
      </w:r>
      <w:r>
        <w:rPr>
          <w:sz w:val="24"/>
          <w:szCs w:val="24"/>
          <w:lang w:val="en-GB"/>
        </w:rPr>
        <w:t>.</w:t>
      </w:r>
      <w:r w:rsidRPr="00391D84">
        <w:rPr>
          <w:sz w:val="24"/>
          <w:szCs w:val="24"/>
          <w:lang w:val="en-GB"/>
        </w:rPr>
        <w:t xml:space="preserve"> </w:t>
      </w:r>
      <w:r>
        <w:rPr>
          <w:sz w:val="24"/>
          <w:szCs w:val="24"/>
          <w:lang w:val="en-GB"/>
        </w:rPr>
        <w:t>For</w:t>
      </w:r>
      <w:r w:rsidRPr="00391D84">
        <w:rPr>
          <w:sz w:val="24"/>
          <w:szCs w:val="24"/>
          <w:lang w:val="en-GB"/>
        </w:rPr>
        <w:t xml:space="preserve"> each period</w:t>
      </w:r>
      <w:r>
        <w:rPr>
          <w:sz w:val="24"/>
          <w:szCs w:val="24"/>
          <w:lang w:val="en-GB"/>
        </w:rPr>
        <w:t>,</w:t>
      </w:r>
      <w:r w:rsidRPr="00391D84">
        <w:rPr>
          <w:sz w:val="24"/>
          <w:szCs w:val="24"/>
          <w:lang w:val="en-GB"/>
        </w:rPr>
        <w:t xml:space="preserve"> we fitted distributed lag non-linear time-series models during summer months (June to September). The analysis follows the same scheme as in Section </w:t>
      </w:r>
      <w:r>
        <w:rPr>
          <w:sz w:val="24"/>
          <w:szCs w:val="24"/>
          <w:lang w:val="en-GB"/>
        </w:rPr>
        <w:t>B</w:t>
      </w:r>
      <w:r w:rsidRPr="00391D84">
        <w:rPr>
          <w:sz w:val="24"/>
          <w:szCs w:val="24"/>
          <w:lang w:val="en-GB"/>
        </w:rPr>
        <w:t xml:space="preserve">1, only repeated by period. Thus, we obtained </w:t>
      </w:r>
      <w:r>
        <w:rPr>
          <w:sz w:val="24"/>
          <w:szCs w:val="24"/>
          <w:lang w:val="en-GB"/>
        </w:rPr>
        <w:t>540</w:t>
      </w:r>
      <w:r w:rsidRPr="00391D84">
        <w:rPr>
          <w:sz w:val="24"/>
          <w:szCs w:val="24"/>
          <w:lang w:val="en-GB"/>
        </w:rPr>
        <w:t xml:space="preserve"> sets of coefficients and associated (co)variance matrix describing the period-specific temperature mortality association nested within 108 cities.</w:t>
      </w:r>
    </w:p>
    <w:p w:rsidR="00BD38BA" w:rsidRPr="00391D84" w:rsidRDefault="00BD38BA" w:rsidP="00391D84">
      <w:pPr>
        <w:spacing w:line="480" w:lineRule="auto"/>
        <w:rPr>
          <w:rFonts w:eastAsiaTheme="minorEastAsia"/>
          <w:sz w:val="24"/>
          <w:szCs w:val="24"/>
          <w:lang w:val="en-GB"/>
        </w:rPr>
      </w:pPr>
      <w:r w:rsidRPr="00391D84">
        <w:rPr>
          <w:sz w:val="24"/>
          <w:szCs w:val="24"/>
          <w:lang w:val="en-GB"/>
        </w:rPr>
        <w:t xml:space="preserve">Here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θ</m:t>
                </m:r>
              </m:e>
            </m:acc>
          </m:e>
          <m:sub>
            <m:r>
              <w:rPr>
                <w:rFonts w:ascii="Cambria Math" w:hAnsi="Cambria Math"/>
                <w:sz w:val="24"/>
                <w:szCs w:val="24"/>
              </w:rPr>
              <m:t>i</m:t>
            </m:r>
          </m:sub>
        </m:sSub>
      </m:oMath>
      <w:r w:rsidRPr="00391D84">
        <w:rPr>
          <w:rFonts w:eastAsiaTheme="minorEastAsia"/>
          <w:sz w:val="24"/>
          <w:szCs w:val="24"/>
          <w:lang w:val="en-GB"/>
        </w:rPr>
        <w:t xml:space="preserve"> is a </w:t>
      </w:r>
      <w:r w:rsidRPr="00391D84">
        <w:rPr>
          <w:position w:val="-10"/>
          <w:sz w:val="24"/>
          <w:szCs w:val="24"/>
          <w:lang w:val="en-GB"/>
        </w:rPr>
        <w:object w:dxaOrig="740" w:dyaOrig="320">
          <v:shape id="_x0000_i1033" type="#_x0000_t75" style="width:36.5pt;height:16.5pt" o:ole="">
            <v:imagedata r:id="rId19" o:title=""/>
          </v:shape>
          <o:OLEObject Type="Embed" ProgID="Equation.DSMT4" ShapeID="_x0000_i1033" DrawAspect="Content" ObjectID="_1709725158" r:id="rId20"/>
        </w:object>
      </w:r>
      <w:r w:rsidRPr="00391D84">
        <w:rPr>
          <w:sz w:val="24"/>
          <w:szCs w:val="24"/>
          <w:lang w:val="en-GB"/>
        </w:rPr>
        <w:t xml:space="preserve"> vector (</w:t>
      </w:r>
      <w:r>
        <w:rPr>
          <w:sz w:val="24"/>
          <w:szCs w:val="24"/>
          <w:lang w:val="en-GB"/>
        </w:rPr>
        <w:t>four</w:t>
      </w:r>
      <w:r w:rsidRPr="00391D84">
        <w:rPr>
          <w:sz w:val="24"/>
          <w:szCs w:val="24"/>
          <w:lang w:val="en-GB"/>
        </w:rPr>
        <w:t xml:space="preserve"> splines coefficients estimated in the five periods) and the within</w:t>
      </w:r>
      <w:r>
        <w:rPr>
          <w:sz w:val="24"/>
          <w:szCs w:val="24"/>
          <w:lang w:val="en-GB"/>
        </w:rPr>
        <w:t xml:space="preserve"> </w:t>
      </w:r>
      <w:r w:rsidRPr="00391D84">
        <w:rPr>
          <w:sz w:val="24"/>
          <w:szCs w:val="24"/>
          <w:lang w:val="en-GB"/>
        </w:rPr>
        <w:t xml:space="preserve">location (co)variance matrix </w:t>
      </w:r>
      <m:oMath>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m:t>
            </m:r>
          </m:e>
          <m:sub>
            <m:r>
              <w:rPr>
                <w:rFonts w:ascii="Cambria Math" w:hAnsi="Cambria Math"/>
                <w:sz w:val="24"/>
                <w:szCs w:val="24"/>
                <w:lang w:val="en-GB"/>
              </w:rPr>
              <m:t>p</m:t>
            </m:r>
          </m:sub>
        </m:sSub>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i,p</m:t>
            </m:r>
          </m:sub>
        </m:sSub>
      </m:oMath>
      <w:r w:rsidRPr="00391D84">
        <w:rPr>
          <w:rFonts w:eastAsiaTheme="minorEastAsia"/>
          <w:sz w:val="24"/>
          <w:szCs w:val="24"/>
          <w:lang w:val="en-GB"/>
        </w:rPr>
        <w:t xml:space="preserve"> is a block diagonal matrix where diagonal blocks </w:t>
      </w:r>
      <m:oMath>
        <m:sSub>
          <m:sSubPr>
            <m:ctrlPr>
              <w:rPr>
                <w:rFonts w:ascii="Cambria Math" w:hAnsi="Cambria Math"/>
                <w:i/>
                <w:sz w:val="24"/>
                <w:szCs w:val="24"/>
                <w:lang w:val="en-GB"/>
              </w:rPr>
            </m:ctrlPr>
          </m:sSubPr>
          <m:e>
            <m:r>
              <m:rPr>
                <m:sty m:val="bi"/>
              </m:rPr>
              <w:rPr>
                <w:rFonts w:ascii="Cambria Math" w:hAnsi="Cambria Math"/>
                <w:sz w:val="24"/>
                <w:szCs w:val="24"/>
                <w:lang w:val="en-GB"/>
              </w:rPr>
              <m:t>S</m:t>
            </m:r>
          </m:e>
          <m:sub>
            <m:r>
              <w:rPr>
                <w:rFonts w:ascii="Cambria Math" w:hAnsi="Cambria Math"/>
                <w:sz w:val="24"/>
                <w:szCs w:val="24"/>
                <w:lang w:val="en-GB"/>
              </w:rPr>
              <m:t>i,p</m:t>
            </m:r>
          </m:sub>
        </m:sSub>
      </m:oMath>
      <w:r w:rsidRPr="00391D84">
        <w:rPr>
          <w:rFonts w:eastAsiaTheme="minorEastAsia"/>
          <w:sz w:val="24"/>
          <w:szCs w:val="24"/>
          <w:lang w:val="en-GB"/>
        </w:rPr>
        <w:t xml:space="preserve"> are the (co)variance matrices of the coefficients calculated in each period (p).</w:t>
      </w:r>
    </w:p>
    <w:p w:rsidR="00BD38BA" w:rsidRPr="00391D84" w:rsidRDefault="00BD38BA" w:rsidP="00391D84">
      <w:pPr>
        <w:spacing w:line="480" w:lineRule="auto"/>
        <w:rPr>
          <w:rFonts w:eastAsiaTheme="minorEastAsia"/>
          <w:sz w:val="24"/>
          <w:szCs w:val="24"/>
          <w:lang w:val="en-GB"/>
        </w:rPr>
      </w:pPr>
      <w:r w:rsidRPr="00391D84">
        <w:rPr>
          <w:rFonts w:eastAsiaTheme="minorEastAsia"/>
          <w:sz w:val="24"/>
          <w:szCs w:val="24"/>
          <w:lang w:val="en-GB"/>
        </w:rPr>
        <w:t>In addition, we reconstructed location-specific AC air conditioning trends and assigned AC prevalence estimates to each location/period unit</w:t>
      </w:r>
      <w:r>
        <w:rPr>
          <w:rFonts w:eastAsiaTheme="minorEastAsia"/>
          <w:sz w:val="24"/>
          <w:szCs w:val="24"/>
          <w:lang w:val="en-GB"/>
        </w:rPr>
        <w:t xml:space="preserve"> </w:t>
      </w:r>
      <w:r>
        <w:rPr>
          <w:rFonts w:eastAsiaTheme="minorEastAsia"/>
          <w:noProof/>
          <w:sz w:val="24"/>
          <w:szCs w:val="24"/>
          <w:lang w:val="en-GB"/>
        </w:rPr>
        <w:t>(4)</w:t>
      </w:r>
      <w:r w:rsidRPr="00391D84">
        <w:rPr>
          <w:rFonts w:eastAsiaTheme="minorEastAsia"/>
          <w:sz w:val="24"/>
          <w:szCs w:val="24"/>
          <w:lang w:val="en-GB"/>
        </w:rPr>
        <w:t>.</w:t>
      </w:r>
    </w:p>
    <w:p w:rsidR="00BD38BA" w:rsidRDefault="00BD38BA" w:rsidP="00391D84">
      <w:pPr>
        <w:spacing w:line="480" w:lineRule="auto"/>
        <w:rPr>
          <w:rFonts w:eastAsiaTheme="minorEastAsia"/>
          <w:sz w:val="24"/>
          <w:szCs w:val="24"/>
          <w:lang w:val="en-GB"/>
        </w:rPr>
      </w:pPr>
      <w:r w:rsidRPr="00391D84">
        <w:rPr>
          <w:rFonts w:eastAsiaTheme="minorEastAsia"/>
          <w:sz w:val="24"/>
          <w:szCs w:val="24"/>
          <w:lang w:val="en-GB"/>
        </w:rPr>
        <w:t xml:space="preserve">We modelled AC prevalence and calendar year as fixed-effects variables by stacking by rows the matrices </w:t>
      </w:r>
      <m:oMath>
        <m:sSub>
          <m:sSubPr>
            <m:ctrlPr>
              <w:rPr>
                <w:rFonts w:ascii="Cambria Math" w:hAnsi="Cambria Math"/>
                <w:i/>
                <w:sz w:val="24"/>
                <w:szCs w:val="24"/>
                <w:lang w:val="en-GB"/>
              </w:rPr>
            </m:ctrlPr>
          </m:sSubPr>
          <m:e>
            <m:r>
              <m:rPr>
                <m:sty m:val="bi"/>
              </m:rPr>
              <w:rPr>
                <w:rFonts w:ascii="Cambria Math" w:hAnsi="Cambria Math"/>
                <w:sz w:val="24"/>
                <w:szCs w:val="24"/>
                <w:lang w:val="en-GB"/>
              </w:rPr>
              <m:t>X</m:t>
            </m:r>
          </m:e>
          <m:sub>
            <m:r>
              <w:rPr>
                <w:rFonts w:ascii="Cambria Math" w:hAnsi="Cambria Math"/>
                <w:sz w:val="24"/>
                <w:szCs w:val="24"/>
                <w:lang w:val="en-GB"/>
              </w:rPr>
              <m:t>i,p</m:t>
            </m:r>
          </m:sub>
        </m:sSub>
      </m:oMath>
      <w:r w:rsidRPr="00391D84">
        <w:rPr>
          <w:rFonts w:eastAsiaTheme="minorEastAsia"/>
          <w:sz w:val="24"/>
          <w:szCs w:val="24"/>
          <w:lang w:val="en-GB"/>
        </w:rPr>
        <w:t xml:space="preserve">, with  </w:t>
      </w:r>
      <m:oMath>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i,p</m:t>
            </m:r>
          </m:sub>
        </m:sSub>
        <m:r>
          <w:rPr>
            <w:rFonts w:ascii="Cambria Math" w:eastAsiaTheme="minorEastAsia" w:hAnsi="Cambria Math"/>
            <w:sz w:val="24"/>
            <w:szCs w:val="24"/>
            <w:lang w:val="en-GB"/>
          </w:rPr>
          <m:t>=</m:t>
        </m:r>
        <m:sSubSup>
          <m:sSubSupPr>
            <m:ctrlPr>
              <w:rPr>
                <w:rFonts w:ascii="Cambria Math" w:eastAsiaTheme="minorEastAsia" w:hAnsi="Cambria Math"/>
                <w:i/>
                <w:sz w:val="24"/>
                <w:szCs w:val="24"/>
                <w:lang w:val="en-GB"/>
              </w:rPr>
            </m:ctrlPr>
          </m:sSubSup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i,p</m:t>
            </m:r>
          </m:sub>
          <m:sup>
            <m:r>
              <w:rPr>
                <w:rFonts w:ascii="Cambria Math" w:eastAsiaTheme="minorEastAsia" w:hAnsi="Cambria Math"/>
                <w:sz w:val="24"/>
                <w:szCs w:val="24"/>
                <w:lang w:val="en-GB"/>
              </w:rPr>
              <m:t>T</m:t>
            </m:r>
          </m:sup>
        </m:sSubSup>
        <m:r>
          <w:rPr>
            <w:rFonts w:ascii="Cambria Math" w:eastAsiaTheme="minorEastAsia" w:hAnsi="Cambria Math"/>
            <w:sz w:val="24"/>
            <w:szCs w:val="24"/>
            <w:lang w:val="en-GB"/>
          </w:rPr>
          <m:t>⊗</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I</m:t>
            </m:r>
          </m:e>
          <m:sub>
            <m:r>
              <w:rPr>
                <w:rFonts w:ascii="Cambria Math" w:eastAsiaTheme="minorEastAsia" w:hAnsi="Cambria Math"/>
                <w:sz w:val="24"/>
                <w:szCs w:val="24"/>
                <w:lang w:val="en-GB"/>
              </w:rPr>
              <m:t>4</m:t>
            </m:r>
          </m:sub>
        </m:sSub>
      </m:oMath>
      <w:r w:rsidRPr="00391D84">
        <w:rPr>
          <w:rFonts w:eastAsiaTheme="minorEastAsia"/>
          <w:sz w:val="24"/>
          <w:szCs w:val="24"/>
          <w:lang w:val="en-GB"/>
        </w:rPr>
        <w:t xml:space="preserve"> , where </w:t>
      </w:r>
      <m:oMath>
        <m:sSubSup>
          <m:sSubSupPr>
            <m:ctrlPr>
              <w:rPr>
                <w:rFonts w:ascii="Cambria Math" w:eastAsiaTheme="minorEastAsia" w:hAnsi="Cambria Math"/>
                <w:i/>
                <w:sz w:val="24"/>
                <w:szCs w:val="24"/>
                <w:lang w:val="en-GB"/>
              </w:rPr>
            </m:ctrlPr>
          </m:sSubSupPr>
          <m:e>
            <m:r>
              <m:rPr>
                <m:sty m:val="bi"/>
              </m:rPr>
              <w:rPr>
                <w:rFonts w:ascii="Cambria Math" w:eastAsiaTheme="minorEastAsia" w:hAnsi="Cambria Math"/>
                <w:sz w:val="24"/>
                <w:szCs w:val="24"/>
                <w:lang w:val="en-GB"/>
              </w:rPr>
              <m:t>x</m:t>
            </m:r>
          </m:e>
          <m:sub>
            <m:r>
              <w:rPr>
                <w:rFonts w:ascii="Cambria Math" w:eastAsiaTheme="minorEastAsia" w:hAnsi="Cambria Math"/>
                <w:sz w:val="24"/>
                <w:szCs w:val="24"/>
                <w:lang w:val="en-GB"/>
              </w:rPr>
              <m:t>i,p</m:t>
            </m:r>
          </m:sub>
          <m:sup>
            <m:r>
              <w:rPr>
                <w:rFonts w:ascii="Cambria Math" w:eastAsiaTheme="minorEastAsia" w:hAnsi="Cambria Math"/>
                <w:sz w:val="24"/>
                <w:szCs w:val="24"/>
                <w:lang w:val="en-GB"/>
              </w:rPr>
              <m:t>T</m:t>
            </m:r>
          </m:sup>
        </m:sSubSup>
      </m:oMath>
      <w:r w:rsidRPr="00391D84">
        <w:rPr>
          <w:rFonts w:eastAsiaTheme="minorEastAsia"/>
          <w:sz w:val="24"/>
          <w:szCs w:val="24"/>
          <w:lang w:val="en-GB"/>
        </w:rPr>
        <w:t xml:space="preserve"> is the vector representing the AC prevalence (linear term) and calendar year (natural spline with one internal knot) in period (p). The design matrix of the random terms can be defined by stacking by rows the five matrices</w:t>
      </w:r>
      <m:oMath>
        <m:r>
          <w:rPr>
            <w:rFonts w:ascii="Cambria Math" w:eastAsiaTheme="minorEastAsia" w:hAnsi="Cambria Math"/>
            <w:sz w:val="24"/>
            <w:szCs w:val="24"/>
            <w:lang w:val="en-GB"/>
          </w:rPr>
          <m:t xml:space="preserve"> </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Z</m:t>
            </m:r>
          </m:e>
          <m:sub>
            <m:r>
              <w:rPr>
                <w:rFonts w:ascii="Cambria Math" w:eastAsiaTheme="minorEastAsia" w:hAnsi="Cambria Math"/>
                <w:sz w:val="24"/>
                <w:szCs w:val="24"/>
                <w:lang w:val="en-GB"/>
              </w:rPr>
              <m:t>i,p</m:t>
            </m:r>
          </m:sub>
        </m:sSub>
        <m:r>
          <w:rPr>
            <w:rFonts w:ascii="Cambria Math" w:eastAsiaTheme="minorEastAsia" w:hAnsi="Cambria Math"/>
            <w:sz w:val="24"/>
            <w:szCs w:val="24"/>
            <w:lang w:val="en-GB"/>
          </w:rPr>
          <m:t>=</m:t>
        </m:r>
        <m:sSub>
          <m:sSubPr>
            <m:ctrlPr>
              <w:rPr>
                <w:rFonts w:ascii="Cambria Math" w:eastAsiaTheme="minorEastAsia" w:hAnsi="Cambria Math"/>
                <w:i/>
                <w:sz w:val="24"/>
                <w:szCs w:val="24"/>
                <w:lang w:val="en-GB"/>
              </w:rPr>
            </m:ctrlPr>
          </m:sSubPr>
          <m:e>
            <m:r>
              <m:rPr>
                <m:sty m:val="bi"/>
              </m:rPr>
              <w:rPr>
                <w:rFonts w:ascii="Cambria Math" w:eastAsiaTheme="minorEastAsia" w:hAnsi="Cambria Math"/>
                <w:sz w:val="24"/>
                <w:szCs w:val="24"/>
                <w:lang w:val="en-GB"/>
              </w:rPr>
              <m:t>I</m:t>
            </m:r>
          </m:e>
          <m:sub>
            <m:r>
              <w:rPr>
                <w:rFonts w:ascii="Cambria Math" w:eastAsiaTheme="minorEastAsia" w:hAnsi="Cambria Math"/>
                <w:sz w:val="24"/>
                <w:szCs w:val="24"/>
                <w:lang w:val="en-GB"/>
              </w:rPr>
              <m:t>4</m:t>
            </m:r>
          </m:sub>
        </m:sSub>
      </m:oMath>
      <w:r w:rsidRPr="00391D84">
        <w:rPr>
          <w:rFonts w:eastAsiaTheme="minorEastAsia"/>
          <w:sz w:val="24"/>
          <w:szCs w:val="24"/>
          <w:lang w:val="en-GB"/>
        </w:rPr>
        <w:t>.</w:t>
      </w:r>
    </w:p>
    <w:p w:rsidR="00BD38BA" w:rsidRPr="00391D84" w:rsidRDefault="00BD38BA" w:rsidP="00391D84">
      <w:pPr>
        <w:spacing w:line="480" w:lineRule="auto"/>
        <w:rPr>
          <w:rFonts w:eastAsiaTheme="minorEastAsia"/>
          <w:sz w:val="24"/>
          <w:szCs w:val="24"/>
          <w:lang w:val="en-GB"/>
        </w:rPr>
      </w:pPr>
    </w:p>
    <w:p w:rsidR="00BD38BA" w:rsidRPr="004D74D0" w:rsidRDefault="00BD38BA" w:rsidP="00391D84">
      <w:pPr>
        <w:spacing w:line="480" w:lineRule="auto"/>
        <w:rPr>
          <w:b/>
          <w:sz w:val="28"/>
          <w:szCs w:val="28"/>
          <w:lang w:val="en-GB"/>
        </w:rPr>
      </w:pPr>
      <w:r w:rsidRPr="004D74D0">
        <w:rPr>
          <w:b/>
          <w:sz w:val="28"/>
          <w:szCs w:val="28"/>
          <w:lang w:val="en-GB"/>
        </w:rPr>
        <w:t>C. Backward or step-forward procedures</w:t>
      </w:r>
    </w:p>
    <w:p w:rsidR="00BD38BA" w:rsidRDefault="00BD38BA" w:rsidP="00391D84">
      <w:pPr>
        <w:spacing w:line="480" w:lineRule="auto"/>
        <w:rPr>
          <w:sz w:val="24"/>
          <w:szCs w:val="24"/>
          <w:lang w:val="en-GB"/>
        </w:rPr>
      </w:pPr>
      <w:r w:rsidRPr="00391D84">
        <w:rPr>
          <w:sz w:val="24"/>
          <w:szCs w:val="24"/>
          <w:lang w:val="en-GB"/>
        </w:rPr>
        <w:t xml:space="preserve">The analyst could use different procedures to select relevant predictors (e.g. backward or forward stepwise). The backward selection approach starts from the full model (with the 3 predictors), and </w:t>
      </w:r>
      <w:r>
        <w:rPr>
          <w:sz w:val="24"/>
          <w:szCs w:val="24"/>
          <w:lang w:val="en-GB"/>
        </w:rPr>
        <w:t xml:space="preserve">a </w:t>
      </w:r>
      <w:r w:rsidRPr="00391D84">
        <w:rPr>
          <w:sz w:val="24"/>
          <w:szCs w:val="24"/>
          <w:lang w:val="en-GB"/>
        </w:rPr>
        <w:t xml:space="preserve">likelihood ratio test </w:t>
      </w:r>
      <w:r>
        <w:rPr>
          <w:sz w:val="24"/>
          <w:szCs w:val="24"/>
          <w:lang w:val="en-GB"/>
        </w:rPr>
        <w:t>is</w:t>
      </w:r>
      <w:r w:rsidRPr="00391D84">
        <w:rPr>
          <w:sz w:val="24"/>
          <w:szCs w:val="24"/>
          <w:lang w:val="en-GB"/>
        </w:rPr>
        <w:t xml:space="preserve"> performed </w:t>
      </w:r>
      <w:r>
        <w:rPr>
          <w:sz w:val="24"/>
          <w:szCs w:val="24"/>
          <w:lang w:val="en-GB"/>
        </w:rPr>
        <w:t>to</w:t>
      </w:r>
      <w:r w:rsidRPr="00391D84">
        <w:rPr>
          <w:sz w:val="24"/>
          <w:szCs w:val="24"/>
          <w:lang w:val="en-GB"/>
        </w:rPr>
        <w:t xml:space="preserve"> </w:t>
      </w:r>
      <w:r>
        <w:rPr>
          <w:sz w:val="24"/>
          <w:szCs w:val="24"/>
          <w:lang w:val="en-GB"/>
        </w:rPr>
        <w:t>compare</w:t>
      </w:r>
      <w:r w:rsidRPr="00391D84">
        <w:rPr>
          <w:sz w:val="24"/>
          <w:szCs w:val="24"/>
          <w:lang w:val="en-GB"/>
        </w:rPr>
        <w:t xml:space="preserve"> the full model and the models without each predictor. </w:t>
      </w:r>
      <w:r>
        <w:rPr>
          <w:sz w:val="24"/>
          <w:szCs w:val="24"/>
          <w:lang w:val="en-GB"/>
        </w:rPr>
        <w:t>T</w:t>
      </w:r>
      <w:r w:rsidRPr="00391D84">
        <w:rPr>
          <w:sz w:val="24"/>
          <w:szCs w:val="24"/>
          <w:lang w:val="en-GB"/>
        </w:rPr>
        <w:t>he step-forward approach start</w:t>
      </w:r>
      <w:r>
        <w:rPr>
          <w:sz w:val="24"/>
          <w:szCs w:val="24"/>
          <w:lang w:val="en-GB"/>
        </w:rPr>
        <w:t>s instead</w:t>
      </w:r>
      <w:r w:rsidRPr="00391D84">
        <w:rPr>
          <w:sz w:val="24"/>
          <w:szCs w:val="24"/>
          <w:lang w:val="en-GB"/>
        </w:rPr>
        <w:t xml:space="preserve"> from the model </w:t>
      </w:r>
      <w:r w:rsidRPr="00391D84">
        <w:rPr>
          <w:sz w:val="24"/>
          <w:szCs w:val="24"/>
          <w:lang w:val="en-GB"/>
        </w:rPr>
        <w:lastRenderedPageBreak/>
        <w:t xml:space="preserve">containing only the intercept (Model 0), </w:t>
      </w:r>
      <w:r>
        <w:rPr>
          <w:sz w:val="24"/>
          <w:szCs w:val="24"/>
          <w:lang w:val="en-GB"/>
        </w:rPr>
        <w:t xml:space="preserve">and </w:t>
      </w:r>
      <w:r w:rsidRPr="00391D84">
        <w:rPr>
          <w:sz w:val="24"/>
          <w:szCs w:val="24"/>
          <w:lang w:val="en-GB"/>
        </w:rPr>
        <w:t xml:space="preserve">at each step the predictor with highest reduction of the </w:t>
      </w:r>
      <w:r>
        <w:rPr>
          <w:sz w:val="24"/>
          <w:szCs w:val="24"/>
          <w:lang w:val="en-GB"/>
        </w:rPr>
        <w:t>Akaike information criterion (</w:t>
      </w:r>
      <w:r w:rsidRPr="00391D84">
        <w:rPr>
          <w:sz w:val="24"/>
          <w:szCs w:val="24"/>
          <w:lang w:val="en-GB"/>
        </w:rPr>
        <w:t>AIC</w:t>
      </w:r>
      <w:r>
        <w:rPr>
          <w:sz w:val="24"/>
          <w:szCs w:val="24"/>
          <w:lang w:val="en-GB"/>
        </w:rPr>
        <w:t>)</w:t>
      </w:r>
      <w:r w:rsidRPr="00391D84">
        <w:rPr>
          <w:sz w:val="24"/>
          <w:szCs w:val="24"/>
          <w:lang w:val="en-GB"/>
        </w:rPr>
        <w:t xml:space="preserve"> is included.</w:t>
      </w:r>
    </w:p>
    <w:p w:rsidR="00BD38BA" w:rsidRPr="00391D84" w:rsidRDefault="00BD38BA" w:rsidP="00391D84">
      <w:pPr>
        <w:spacing w:line="480" w:lineRule="auto"/>
        <w:rPr>
          <w:sz w:val="24"/>
          <w:szCs w:val="24"/>
          <w:lang w:val="en-GB"/>
        </w:rPr>
      </w:pPr>
    </w:p>
    <w:p w:rsidR="00BD38BA" w:rsidRPr="004D74D0" w:rsidRDefault="00BD38BA" w:rsidP="00391D84">
      <w:pPr>
        <w:spacing w:line="480" w:lineRule="auto"/>
        <w:rPr>
          <w:b/>
          <w:sz w:val="28"/>
          <w:szCs w:val="28"/>
          <w:lang w:val="en-GB"/>
        </w:rPr>
      </w:pPr>
      <w:r w:rsidRPr="004D74D0">
        <w:rPr>
          <w:b/>
          <w:sz w:val="28"/>
          <w:szCs w:val="28"/>
          <w:lang w:val="en-GB"/>
        </w:rPr>
        <w:t>References</w:t>
      </w:r>
    </w:p>
    <w:p w:rsidR="00BD38BA" w:rsidRPr="00D900D5" w:rsidRDefault="00BD38BA" w:rsidP="00D900D5">
      <w:pPr>
        <w:pStyle w:val="EndNoteBibliography"/>
        <w:spacing w:after="0"/>
      </w:pPr>
      <w:r w:rsidRPr="00D900D5">
        <w:t>1.</w:t>
      </w:r>
      <w:r w:rsidRPr="00D900D5">
        <w:tab/>
        <w:t>Bhaskaran K, Gasparrini A, Hajat S, Smeeth L, Armstrong B. Time series regression studies in environmental epidemiology. International Journal of Epidemiology. 2013;42(4):1187-95.</w:t>
      </w:r>
    </w:p>
    <w:p w:rsidR="00BD38BA" w:rsidRPr="00D900D5" w:rsidRDefault="00BD38BA" w:rsidP="00D900D5">
      <w:pPr>
        <w:pStyle w:val="EndNoteBibliography"/>
        <w:spacing w:after="0"/>
      </w:pPr>
      <w:r w:rsidRPr="00D900D5">
        <w:t>2.</w:t>
      </w:r>
      <w:r w:rsidRPr="00D900D5">
        <w:tab/>
        <w:t>Gasparrini A. Modeling exposure-lag-response associations with distributed lag non-linear models. Statistics in Medicine. 2014;33(5):881-99.</w:t>
      </w:r>
    </w:p>
    <w:p w:rsidR="00BD38BA" w:rsidRPr="00D900D5" w:rsidRDefault="00BD38BA" w:rsidP="00D900D5">
      <w:pPr>
        <w:pStyle w:val="EndNoteBibliography"/>
        <w:spacing w:after="0"/>
      </w:pPr>
      <w:r w:rsidRPr="00D900D5">
        <w:t>3.</w:t>
      </w:r>
      <w:r w:rsidRPr="00D900D5">
        <w:tab/>
        <w:t>Gasparrini A, Armstrong B. Reducing and meta-analysing estimates from distributed lag non-linear models. Bmc Medical Research Methodology. 2013;13.</w:t>
      </w:r>
    </w:p>
    <w:p w:rsidR="00BD38BA" w:rsidRPr="00D900D5" w:rsidRDefault="00BD38BA" w:rsidP="00D900D5">
      <w:pPr>
        <w:pStyle w:val="EndNoteBibliography"/>
      </w:pPr>
      <w:r w:rsidRPr="00D900D5">
        <w:t>4.</w:t>
      </w:r>
      <w:r w:rsidRPr="00D900D5">
        <w:tab/>
        <w:t>Sera F, Hashizume M, Honda Y, Lavigne E, Schwartz J, Zanobetti A, et al. Air Conditioning and Heat-related Mortality A Multi-country Longitudinal Study. Epidemiology. 2020;31(6):779-87.</w:t>
      </w:r>
    </w:p>
    <w:p w:rsidR="00BD38BA" w:rsidRDefault="00BD38BA" w:rsidP="00391D84">
      <w:pPr>
        <w:spacing w:line="480" w:lineRule="auto"/>
      </w:pPr>
    </w:p>
    <w:p w:rsidR="00097CA1" w:rsidRDefault="00BD38BA">
      <w:bookmarkStart w:id="2" w:name="_GoBack"/>
      <w:bookmarkEnd w:id="2"/>
    </w:p>
    <w:sectPr w:rsidR="00097CA1">
      <w:footerReference w:type="default" r:id="rI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200416"/>
      <w:docPartObj>
        <w:docPartGallery w:val="Page Numbers (Bottom of Page)"/>
        <w:docPartUnique/>
      </w:docPartObj>
    </w:sdtPr>
    <w:sdtEndPr>
      <w:rPr>
        <w:noProof/>
      </w:rPr>
    </w:sdtEndPr>
    <w:sdtContent>
      <w:p w:rsidR="00391D84" w:rsidRDefault="00BD38BA">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391D84" w:rsidRDefault="00BD38B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D38BA"/>
    <w:rsid w:val="00BD38BA"/>
    <w:rsid w:val="00C77D5D"/>
    <w:rsid w:val="00FE7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90AB0-3ACB-4408-B43F-D2DBFF42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8BA"/>
    <w:rPr>
      <w:lang w:val="it-IT"/>
    </w:rPr>
  </w:style>
  <w:style w:type="character" w:default="1" w:styleId="DefaultParagraphFont">
    <w:name w:val="Default Paragraph Font"/>
    <w:uiPriority w:val="1"/>
    <w:semiHidden/>
    <w:unhideWhenUsed/>
    <w:rsid w:val="00BD3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8BA"/>
  </w:style>
  <w:style w:type="character" w:styleId="CommentReference">
    <w:name w:val="annotation reference"/>
    <w:basedOn w:val="DefaultParagraphFont"/>
    <w:uiPriority w:val="99"/>
    <w:semiHidden/>
    <w:unhideWhenUsed/>
    <w:rsid w:val="00BD38BA"/>
    <w:rPr>
      <w:sz w:val="16"/>
      <w:szCs w:val="16"/>
    </w:rPr>
  </w:style>
  <w:style w:type="paragraph" w:styleId="CommentText">
    <w:name w:val="annotation text"/>
    <w:basedOn w:val="Normal"/>
    <w:link w:val="CommentTextChar"/>
    <w:uiPriority w:val="99"/>
    <w:semiHidden/>
    <w:unhideWhenUsed/>
    <w:rsid w:val="00BD38BA"/>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BD38BA"/>
    <w:rPr>
      <w:sz w:val="20"/>
      <w:szCs w:val="20"/>
    </w:rPr>
  </w:style>
  <w:style w:type="table" w:styleId="TableGridLight">
    <w:name w:val="Grid Table Light"/>
    <w:basedOn w:val="TableNormal"/>
    <w:uiPriority w:val="40"/>
    <w:rsid w:val="00BD38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BD3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38BA"/>
    <w:rPr>
      <w:rFonts w:ascii="Segoe UI" w:hAnsi="Segoe UI" w:cs="Segoe UI"/>
      <w:sz w:val="18"/>
      <w:szCs w:val="18"/>
      <w:lang w:val="it-IT"/>
    </w:rPr>
  </w:style>
  <w:style w:type="character" w:customStyle="1" w:styleId="citation-doi">
    <w:name w:val="citation-doi"/>
    <w:basedOn w:val="DefaultParagraphFont"/>
    <w:rsid w:val="00BD38BA"/>
  </w:style>
  <w:style w:type="character" w:styleId="PlaceholderText">
    <w:name w:val="Placeholder Text"/>
    <w:basedOn w:val="DefaultParagraphFont"/>
    <w:uiPriority w:val="99"/>
    <w:semiHidden/>
    <w:rsid w:val="00BD38BA"/>
    <w:rPr>
      <w:color w:val="808080"/>
    </w:rPr>
  </w:style>
  <w:style w:type="paragraph" w:customStyle="1" w:styleId="EndNoteBibliographyTitle">
    <w:name w:val="EndNote Bibliography Title"/>
    <w:basedOn w:val="Normal"/>
    <w:link w:val="EndNoteBibliographyTitleChar"/>
    <w:rsid w:val="00BD38B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D38BA"/>
    <w:rPr>
      <w:rFonts w:ascii="Calibri" w:hAnsi="Calibri" w:cs="Calibri"/>
      <w:noProof/>
      <w:lang w:val="en-US"/>
    </w:rPr>
  </w:style>
  <w:style w:type="paragraph" w:customStyle="1" w:styleId="EndNoteBibliography">
    <w:name w:val="EndNote Bibliography"/>
    <w:basedOn w:val="Normal"/>
    <w:link w:val="EndNoteBibliographyChar"/>
    <w:rsid w:val="00BD38B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D38BA"/>
    <w:rPr>
      <w:rFonts w:ascii="Calibri" w:hAnsi="Calibri" w:cs="Calibri"/>
      <w:noProof/>
      <w:lang w:val="en-US"/>
    </w:rPr>
  </w:style>
  <w:style w:type="paragraph" w:styleId="CommentSubject">
    <w:name w:val="annotation subject"/>
    <w:basedOn w:val="CommentText"/>
    <w:next w:val="CommentText"/>
    <w:link w:val="CommentSubjectChar"/>
    <w:uiPriority w:val="99"/>
    <w:semiHidden/>
    <w:unhideWhenUsed/>
    <w:rsid w:val="00BD38BA"/>
    <w:rPr>
      <w:b/>
      <w:bCs/>
      <w:lang w:val="it-IT"/>
    </w:rPr>
  </w:style>
  <w:style w:type="character" w:customStyle="1" w:styleId="CommentSubjectChar">
    <w:name w:val="Comment Subject Char"/>
    <w:basedOn w:val="CommentTextChar"/>
    <w:link w:val="CommentSubject"/>
    <w:uiPriority w:val="99"/>
    <w:semiHidden/>
    <w:rsid w:val="00BD38BA"/>
    <w:rPr>
      <w:b/>
      <w:bCs/>
      <w:sz w:val="20"/>
      <w:szCs w:val="20"/>
      <w:lang w:val="it-IT"/>
    </w:rPr>
  </w:style>
  <w:style w:type="paragraph" w:styleId="Header">
    <w:name w:val="header"/>
    <w:basedOn w:val="Normal"/>
    <w:link w:val="HeaderChar"/>
    <w:uiPriority w:val="99"/>
    <w:unhideWhenUsed/>
    <w:rsid w:val="00BD38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38BA"/>
    <w:rPr>
      <w:lang w:val="it-IT"/>
    </w:rPr>
  </w:style>
  <w:style w:type="paragraph" w:styleId="Footer">
    <w:name w:val="footer"/>
    <w:basedOn w:val="Normal"/>
    <w:link w:val="FooterChar"/>
    <w:uiPriority w:val="99"/>
    <w:unhideWhenUsed/>
    <w:rsid w:val="00BD38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38BA"/>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oleObject" Target="embeddings/oleObject8.bin"/><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image" Target="media/image7.wmf"/><Relationship Id="rId2" Type="http://schemas.openxmlformats.org/officeDocument/2006/relationships/settings" Target="settings.xml"/><Relationship Id="rId16" Type="http://schemas.openxmlformats.org/officeDocument/2006/relationships/oleObject" Target="embeddings/oleObject7.bin"/><Relationship Id="rId20" Type="http://schemas.openxmlformats.org/officeDocument/2006/relationships/oleObject" Target="embeddings/oleObject9.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8.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London School of Hygiene and Tropical Medicine</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Sera</dc:creator>
  <cp:keywords/>
  <dc:description/>
  <cp:lastModifiedBy>Francesco Sera</cp:lastModifiedBy>
  <cp:revision>1</cp:revision>
  <dcterms:created xsi:type="dcterms:W3CDTF">2022-03-25T14:52:00Z</dcterms:created>
  <dcterms:modified xsi:type="dcterms:W3CDTF">2022-03-25T14:53:00Z</dcterms:modified>
</cp:coreProperties>
</file>