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F4" w:rsidRDefault="00A736F4" w:rsidP="00A736F4">
      <w:pPr>
        <w:spacing w:line="360" w:lineRule="auto"/>
        <w:jc w:val="both"/>
        <w:rPr>
          <w:lang w:val="en-GB"/>
        </w:rPr>
      </w:pPr>
      <w:r>
        <w:rPr>
          <w:b/>
          <w:bCs/>
          <w:lang w:val="en-GB"/>
        </w:rPr>
        <w:t>Additional file</w:t>
      </w:r>
      <w:r w:rsidRPr="00FF35E7">
        <w:rPr>
          <w:b/>
          <w:bCs/>
          <w:lang w:val="en-GB"/>
        </w:rPr>
        <w:t xml:space="preserve"> 4.</w:t>
      </w:r>
      <w:r w:rsidRPr="00FF35E7">
        <w:rPr>
          <w:lang w:val="en-GB"/>
        </w:rPr>
        <w:t xml:space="preserve"> </w:t>
      </w:r>
      <w:r w:rsidRPr="00581CCC">
        <w:rPr>
          <w:lang w:val="en-GB"/>
        </w:rPr>
        <w:t xml:space="preserve">Risk of lymphoma and its most represented subtypes </w:t>
      </w:r>
      <w:r>
        <w:rPr>
          <w:lang w:val="en-GB"/>
        </w:rPr>
        <w:t>by</w:t>
      </w:r>
      <w:r w:rsidRPr="00581CCC">
        <w:rPr>
          <w:lang w:val="en-GB"/>
        </w:rPr>
        <w:t xml:space="preserve"> </w:t>
      </w:r>
      <w:r>
        <w:rPr>
          <w:lang w:val="en-GB"/>
        </w:rPr>
        <w:t>top intensity of exposure to formaldehyde</w:t>
      </w:r>
      <w:r w:rsidRPr="00581CCC">
        <w:rPr>
          <w:lang w:val="en-GB"/>
        </w:rPr>
        <w:t xml:space="preserve">. </w:t>
      </w:r>
      <w:r w:rsidRPr="00781968">
        <w:rPr>
          <w:lang w:val="en-GB"/>
        </w:rPr>
        <w:t xml:space="preserve">Covariates in the logistic regression model include age, sex, </w:t>
      </w:r>
      <w:r>
        <w:rPr>
          <w:lang w:val="en-GB"/>
        </w:rPr>
        <w:t xml:space="preserve">study </w:t>
      </w:r>
      <w:r w:rsidRPr="00781968">
        <w:rPr>
          <w:lang w:val="en-GB"/>
        </w:rPr>
        <w:t>centre</w:t>
      </w:r>
      <w:r>
        <w:rPr>
          <w:lang w:val="en-GB"/>
        </w:rPr>
        <w:t xml:space="preserve">, </w:t>
      </w:r>
      <w:r w:rsidR="003F65CE">
        <w:rPr>
          <w:lang w:val="en-GB"/>
        </w:rPr>
        <w:t xml:space="preserve">and </w:t>
      </w:r>
      <w:r>
        <w:rPr>
          <w:lang w:val="en-GB"/>
        </w:rPr>
        <w:t xml:space="preserve">education. </w:t>
      </w:r>
    </w:p>
    <w:p w:rsidR="00A736F4" w:rsidRDefault="00A736F4" w:rsidP="00A736F4">
      <w:pPr>
        <w:spacing w:line="360" w:lineRule="auto"/>
        <w:jc w:val="both"/>
      </w:pPr>
      <w:r>
        <w:t>.</w:t>
      </w:r>
    </w:p>
    <w:p w:rsidR="00A736F4" w:rsidRDefault="00A736F4" w:rsidP="00A736F4">
      <w:pPr>
        <w:spacing w:line="360" w:lineRule="auto"/>
        <w:jc w:val="both"/>
      </w:pPr>
    </w:p>
    <w:tbl>
      <w:tblPr>
        <w:tblStyle w:val="Tabellasemplice-31"/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1"/>
        <w:gridCol w:w="1466"/>
        <w:gridCol w:w="2234"/>
        <w:gridCol w:w="2302"/>
        <w:gridCol w:w="2347"/>
        <w:gridCol w:w="1276"/>
      </w:tblGrid>
      <w:tr w:rsidR="00A736F4" w:rsidRPr="00370AF6" w:rsidTr="00554FC6">
        <w:trPr>
          <w:cnfStyle w:val="100000000000"/>
          <w:trHeight w:val="390"/>
          <w:jc w:val="center"/>
        </w:trPr>
        <w:tc>
          <w:tcPr>
            <w:cnfStyle w:val="001000000100"/>
            <w:tcW w:w="2561" w:type="dxa"/>
            <w:vMerge w:val="restart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Case  Subset</w:t>
            </w:r>
          </w:p>
        </w:tc>
        <w:tc>
          <w:tcPr>
            <w:tcW w:w="1466" w:type="dxa"/>
            <w:vMerge w:val="restart"/>
            <w:vAlign w:val="center"/>
          </w:tcPr>
          <w:p w:rsidR="00A736F4" w:rsidRPr="00B46A4E" w:rsidRDefault="00A736F4" w:rsidP="00554FC6">
            <w:pPr>
              <w:jc w:val="center"/>
              <w:cnfStyle w:val="100000000000"/>
              <w:rPr>
                <w:b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caps w:val="0"/>
                <w:color w:val="000000" w:themeColor="text1"/>
                <w:sz w:val="21"/>
                <w:szCs w:val="21"/>
              </w:rPr>
              <w:t>Unexposed</w:t>
            </w:r>
            <w:proofErr w:type="spellEnd"/>
          </w:p>
        </w:tc>
        <w:tc>
          <w:tcPr>
            <w:tcW w:w="8159" w:type="dxa"/>
            <w:gridSpan w:val="4"/>
          </w:tcPr>
          <w:p w:rsidR="00A736F4" w:rsidRPr="00370AF6" w:rsidRDefault="00A736F4" w:rsidP="00554FC6">
            <w:pPr>
              <w:jc w:val="center"/>
              <w:cnfStyle w:val="100000000000"/>
            </w:pPr>
            <w:r>
              <w:rPr>
                <w:b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Top </w:t>
            </w:r>
            <w:proofErr w:type="spellStart"/>
            <w:r>
              <w:rPr>
                <w:b w:val="0"/>
                <w:i/>
                <w:iCs/>
                <w:caps w:val="0"/>
                <w:color w:val="000000" w:themeColor="text1"/>
                <w:sz w:val="21"/>
                <w:szCs w:val="21"/>
              </w:rPr>
              <w:t>intensity</w:t>
            </w:r>
            <w:proofErr w:type="spellEnd"/>
          </w:p>
        </w:tc>
      </w:tr>
      <w:tr w:rsidR="00A736F4" w:rsidRPr="00370AF6" w:rsidTr="00554FC6">
        <w:trPr>
          <w:cnfStyle w:val="000000100000"/>
          <w:trHeight w:val="390"/>
          <w:jc w:val="center"/>
        </w:trPr>
        <w:tc>
          <w:tcPr>
            <w:cnfStyle w:val="001000000000"/>
            <w:tcW w:w="2561" w:type="dxa"/>
            <w:vMerge/>
            <w:vAlign w:val="center"/>
          </w:tcPr>
          <w:p w:rsidR="00A736F4" w:rsidRDefault="00A736F4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:rsidR="00A736F4" w:rsidRDefault="00A736F4" w:rsidP="00554FC6">
            <w:pPr>
              <w:jc w:val="center"/>
              <w:cnfStyle w:val="000000100000"/>
              <w:rPr>
                <w:b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Low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ind w:right="-124"/>
              <w:jc w:val="center"/>
              <w:cnfStyle w:val="000000100000"/>
              <w:rPr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i/>
                <w:iCs/>
                <w:color w:val="000000" w:themeColor="text1"/>
                <w:sz w:val="21"/>
                <w:szCs w:val="21"/>
              </w:rPr>
              <w:t>Medium</w:t>
            </w:r>
          </w:p>
        </w:tc>
        <w:tc>
          <w:tcPr>
            <w:tcW w:w="2347" w:type="dxa"/>
            <w:vAlign w:val="center"/>
          </w:tcPr>
          <w:p w:rsidR="00A736F4" w:rsidRPr="00581CCC" w:rsidRDefault="00A736F4" w:rsidP="00554FC6">
            <w:pPr>
              <w:jc w:val="center"/>
              <w:cnfStyle w:val="000000100000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  <w:sz w:val="21"/>
                <w:szCs w:val="21"/>
              </w:rPr>
              <w:t>High</w:t>
            </w:r>
          </w:p>
        </w:tc>
        <w:tc>
          <w:tcPr>
            <w:tcW w:w="1276" w:type="dxa"/>
            <w:vMerge w:val="restart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</w:pPr>
            <w:r w:rsidRPr="00581CCC">
              <w:rPr>
                <w:i/>
                <w:iCs/>
              </w:rPr>
              <w:t>p</w:t>
            </w:r>
            <w:r>
              <w:t xml:space="preserve"> test </w:t>
            </w:r>
            <w:proofErr w:type="spellStart"/>
            <w:r>
              <w:t>for</w:t>
            </w:r>
            <w:proofErr w:type="spellEnd"/>
            <w:r>
              <w:t xml:space="preserve"> trend</w:t>
            </w:r>
          </w:p>
        </w:tc>
      </w:tr>
      <w:tr w:rsidR="00A736F4" w:rsidRPr="00370AF6" w:rsidTr="00554FC6">
        <w:trPr>
          <w:trHeight w:val="138"/>
          <w:jc w:val="center"/>
        </w:trPr>
        <w:tc>
          <w:tcPr>
            <w:cnfStyle w:val="001000000000"/>
            <w:tcW w:w="2561" w:type="dxa"/>
            <w:vMerge/>
          </w:tcPr>
          <w:p w:rsidR="00A736F4" w:rsidRPr="00B46A4E" w:rsidRDefault="00A736F4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736F4" w:rsidRDefault="00A736F4" w:rsidP="00554FC6">
            <w:pPr>
              <w:jc w:val="center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ses/controls</w:t>
            </w:r>
          </w:p>
        </w:tc>
        <w:tc>
          <w:tcPr>
            <w:tcW w:w="2234" w:type="dxa"/>
            <w:vAlign w:val="center"/>
          </w:tcPr>
          <w:p w:rsidR="00A736F4" w:rsidRDefault="00A736F4" w:rsidP="00554FC6">
            <w:pPr>
              <w:ind w:right="-124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OR  95%CI</w:t>
            </w:r>
          </w:p>
        </w:tc>
        <w:tc>
          <w:tcPr>
            <w:tcW w:w="2302" w:type="dxa"/>
            <w:vAlign w:val="center"/>
          </w:tcPr>
          <w:p w:rsidR="00A736F4" w:rsidRDefault="00A736F4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Cases/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OR  95%CI</w:t>
            </w:r>
          </w:p>
        </w:tc>
        <w:tc>
          <w:tcPr>
            <w:tcW w:w="2347" w:type="dxa"/>
            <w:vAlign w:val="center"/>
          </w:tcPr>
          <w:p w:rsidR="00A736F4" w:rsidRPr="00370AF6" w:rsidRDefault="00A736F4" w:rsidP="00554FC6">
            <w:pPr>
              <w:cnfStyle w:val="000000000000"/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Cases/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OR  95%CI</w:t>
            </w:r>
          </w:p>
        </w:tc>
        <w:tc>
          <w:tcPr>
            <w:tcW w:w="1276" w:type="dxa"/>
            <w:vMerge/>
            <w:vAlign w:val="center"/>
          </w:tcPr>
          <w:p w:rsidR="00A736F4" w:rsidRPr="00370AF6" w:rsidRDefault="00A736F4" w:rsidP="00554FC6">
            <w:pPr>
              <w:cnfStyle w:val="000000000000"/>
            </w:pPr>
          </w:p>
        </w:tc>
      </w:tr>
      <w:tr w:rsidR="00A736F4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All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lymphomas</w:t>
            </w:r>
            <w:proofErr w:type="spellEnd"/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6/640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ind w:right="-142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38/29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63</w:t>
            </w:r>
            <w:r w:rsidRPr="00370AF6">
              <w:rPr>
                <w:color w:val="000000" w:themeColor="text1"/>
                <w:sz w:val="21"/>
                <w:szCs w:val="21"/>
              </w:rPr>
              <w:t>-1.</w:t>
            </w:r>
            <w:r>
              <w:rPr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ind w:right="-55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105/75 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2  0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88-1.68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100000"/>
            </w:pPr>
            <w:r>
              <w:rPr>
                <w:color w:val="000000" w:themeColor="text1"/>
                <w:sz w:val="21"/>
                <w:szCs w:val="21"/>
              </w:rPr>
              <w:t xml:space="preserve">   38/30 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66-1.77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</w:pPr>
            <w:r>
              <w:t>0.074</w:t>
            </w:r>
          </w:p>
        </w:tc>
      </w:tr>
      <w:tr w:rsidR="00A736F4" w:rsidRPr="00370AF6" w:rsidTr="00554FC6">
        <w:trPr>
          <w:trHeight w:val="514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Non-Hodgkin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’s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391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20/29  1.0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54</w:t>
            </w:r>
            <w:r w:rsidRPr="00370AF6">
              <w:rPr>
                <w:color w:val="000000" w:themeColor="text1"/>
                <w:sz w:val="21"/>
                <w:szCs w:val="21"/>
              </w:rPr>
              <w:t>-1.</w:t>
            </w:r>
            <w:r>
              <w:rPr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49/75 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73</w:t>
            </w:r>
            <w:r w:rsidRPr="00370AF6">
              <w:rPr>
                <w:color w:val="000000" w:themeColor="text1"/>
                <w:sz w:val="21"/>
                <w:szCs w:val="21"/>
              </w:rPr>
              <w:t>-</w:t>
            </w:r>
            <w:r>
              <w:rPr>
                <w:color w:val="000000" w:themeColor="text1"/>
                <w:sz w:val="21"/>
                <w:szCs w:val="21"/>
              </w:rPr>
              <w:t>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000000"/>
            </w:pPr>
            <w:r>
              <w:rPr>
                <w:color w:val="000000" w:themeColor="text1"/>
                <w:sz w:val="21"/>
                <w:szCs w:val="21"/>
              </w:rPr>
              <w:t xml:space="preserve">   20/30   1.0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56</w:t>
            </w:r>
            <w:r w:rsidRPr="00370AF6">
              <w:rPr>
                <w:color w:val="000000" w:themeColor="text1"/>
                <w:sz w:val="21"/>
                <w:szCs w:val="21"/>
              </w:rPr>
              <w:t>-</w:t>
            </w:r>
            <w:r>
              <w:rPr>
                <w:color w:val="000000" w:themeColor="text1"/>
                <w:sz w:val="21"/>
                <w:szCs w:val="21"/>
              </w:rPr>
              <w:t>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</w:pPr>
            <w:r>
              <w:t>0.133</w:t>
            </w:r>
          </w:p>
        </w:tc>
      </w:tr>
      <w:tr w:rsidR="00A736F4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B-cell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378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23/29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59-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50/75 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72-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100000"/>
            </w:pPr>
            <w:r>
              <w:rPr>
                <w:color w:val="000000" w:themeColor="text1"/>
                <w:sz w:val="21"/>
                <w:szCs w:val="21"/>
              </w:rPr>
              <w:t xml:space="preserve">   16/30 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 xml:space="preserve">8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43-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</w:pPr>
            <w:r>
              <w:t>0.337</w:t>
            </w:r>
          </w:p>
        </w:tc>
      </w:tr>
      <w:tr w:rsidR="00A736F4" w:rsidRPr="00370AF6" w:rsidTr="00554FC6">
        <w:trPr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  <w:lang w:val="en-GB"/>
              </w:rPr>
            </w:pP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  <w:lang w:val="en-GB"/>
              </w:rPr>
              <w:t xml:space="preserve">Diffuse Large B-cell 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  <w:lang w:val="en-GB"/>
              </w:rPr>
              <w:t>lymphoma</w:t>
            </w:r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B46A4E">
              <w:rPr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84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6/29  1.3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50-3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10/75   1.0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46-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95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000000"/>
            </w:pPr>
            <w:r>
              <w:rPr>
                <w:color w:val="000000" w:themeColor="text1"/>
                <w:sz w:val="21"/>
                <w:szCs w:val="21"/>
              </w:rPr>
              <w:t xml:space="preserve">     5/30   1.0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39-2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82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</w:pPr>
            <w:r>
              <w:t>0.208</w:t>
            </w:r>
          </w:p>
        </w:tc>
      </w:tr>
      <w:tr w:rsidR="00A736F4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Follicular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75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4/29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36-3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5/75 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 xml:space="preserve">6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22-1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100000"/>
            </w:pPr>
            <w:r>
              <w:rPr>
                <w:color w:val="000000" w:themeColor="text1"/>
                <w:sz w:val="21"/>
                <w:szCs w:val="21"/>
              </w:rPr>
              <w:t xml:space="preserve">     3/30 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 xml:space="preserve">8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23-2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</w:pPr>
            <w:r>
              <w:t>0.340</w:t>
            </w:r>
          </w:p>
        </w:tc>
      </w:tr>
      <w:tr w:rsidR="00A736F4" w:rsidRPr="00370AF6" w:rsidTr="00554FC6">
        <w:trPr>
          <w:trHeight w:val="514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Chronic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Lymphocytic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Leukaemia</w:t>
            </w:r>
            <w:proofErr w:type="spellEnd"/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3/29  0.7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19-2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7/75   0.9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39-2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000000"/>
            </w:pPr>
            <w:r>
              <w:rPr>
                <w:color w:val="000000" w:themeColor="text1"/>
                <w:sz w:val="21"/>
                <w:szCs w:val="21"/>
              </w:rPr>
              <w:t xml:space="preserve">     3/30   0.9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26-3.07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</w:pPr>
            <w:r>
              <w:t>0.369</w:t>
            </w:r>
          </w:p>
        </w:tc>
      </w:tr>
      <w:tr w:rsidR="00A736F4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Multipl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e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M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y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eloma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65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ind w:left="-108" w:right="-149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  8/29  1.9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77-4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21/75   2.8  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51-5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100000"/>
            </w:pPr>
            <w:r>
              <w:rPr>
                <w:color w:val="000000" w:themeColor="text1"/>
                <w:sz w:val="21"/>
                <w:szCs w:val="21"/>
              </w:rPr>
              <w:t xml:space="preserve">     1/30 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 xml:space="preserve">4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05-2.62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100000"/>
            </w:pPr>
            <w:r>
              <w:t>0.045</w:t>
            </w:r>
          </w:p>
        </w:tc>
      </w:tr>
      <w:tr w:rsidR="00A736F4" w:rsidRPr="00370AF6" w:rsidTr="00554FC6">
        <w:trPr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A736F4" w:rsidRPr="00B46A4E" w:rsidRDefault="00A736F4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Hodgkin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’s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140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A736F4" w:rsidRPr="00370AF6" w:rsidRDefault="00A736F4" w:rsidP="00554FC6">
            <w:pPr>
              <w:ind w:left="-108" w:right="-149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  7/29  1.4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54-3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2302" w:type="dxa"/>
            <w:vAlign w:val="center"/>
          </w:tcPr>
          <w:p w:rsidR="00A736F4" w:rsidRPr="00370AF6" w:rsidRDefault="00A736F4" w:rsidP="00554FC6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23/75   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2  0.69-2.12</w:t>
            </w:r>
          </w:p>
        </w:tc>
        <w:tc>
          <w:tcPr>
            <w:tcW w:w="2347" w:type="dxa"/>
            <w:vAlign w:val="center"/>
          </w:tcPr>
          <w:p w:rsidR="00A736F4" w:rsidRDefault="00A736F4" w:rsidP="00554FC6">
            <w:pPr>
              <w:cnfStyle w:val="000000000000"/>
            </w:pPr>
            <w:r>
              <w:rPr>
                <w:color w:val="000000" w:themeColor="text1"/>
                <w:sz w:val="21"/>
                <w:szCs w:val="21"/>
              </w:rPr>
              <w:t xml:space="preserve">   11/30   1.8  0.82-4.10</w:t>
            </w:r>
          </w:p>
        </w:tc>
        <w:tc>
          <w:tcPr>
            <w:tcW w:w="1276" w:type="dxa"/>
            <w:vAlign w:val="center"/>
          </w:tcPr>
          <w:p w:rsidR="00A736F4" w:rsidRPr="00370AF6" w:rsidRDefault="00A736F4" w:rsidP="00554FC6">
            <w:pPr>
              <w:jc w:val="center"/>
              <w:cnfStyle w:val="000000000000"/>
            </w:pPr>
            <w:r>
              <w:t>0.161</w:t>
            </w:r>
          </w:p>
        </w:tc>
      </w:tr>
    </w:tbl>
    <w:p w:rsidR="00A736F4" w:rsidRDefault="00A736F4" w:rsidP="00A736F4">
      <w:pPr>
        <w:spacing w:line="360" w:lineRule="auto"/>
        <w:jc w:val="both"/>
        <w:rPr>
          <w:i/>
        </w:rPr>
      </w:pPr>
    </w:p>
    <w:p w:rsidR="008627BA" w:rsidRDefault="008627BA"/>
    <w:sectPr w:rsidR="008627BA" w:rsidSect="00A736F4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A736F4"/>
    <w:rsid w:val="000E7F93"/>
    <w:rsid w:val="003F65CE"/>
    <w:rsid w:val="00413FA8"/>
    <w:rsid w:val="008627BA"/>
    <w:rsid w:val="00A736F4"/>
    <w:rsid w:val="00C45A70"/>
    <w:rsid w:val="00CD3190"/>
    <w:rsid w:val="00FA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3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uiPriority w:val="43"/>
    <w:rsid w:val="00A736F4"/>
    <w:pPr>
      <w:spacing w:after="0" w:line="240" w:lineRule="auto"/>
    </w:pPr>
    <w:rPr>
      <w:kern w:val="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GigiC</cp:lastModifiedBy>
  <cp:revision>2</cp:revision>
  <dcterms:created xsi:type="dcterms:W3CDTF">2025-08-27T12:10:00Z</dcterms:created>
  <dcterms:modified xsi:type="dcterms:W3CDTF">2025-08-27T12:10:00Z</dcterms:modified>
</cp:coreProperties>
</file>