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38126" w14:textId="4263AF5B" w:rsidR="0062291E" w:rsidRDefault="00731E3B" w:rsidP="00731E3B">
      <w:pPr>
        <w:jc w:val="center"/>
        <w:rPr>
          <w:rFonts w:asciiTheme="majorBidi" w:hAnsiTheme="majorBidi" w:cstheme="majorBidi"/>
          <w:b/>
          <w:bCs/>
          <w:sz w:val="72"/>
          <w:szCs w:val="72"/>
        </w:rPr>
      </w:pPr>
      <w:r w:rsidRPr="00731E3B">
        <w:rPr>
          <w:rFonts w:asciiTheme="majorBidi" w:hAnsiTheme="majorBidi" w:cstheme="majorBidi"/>
          <w:b/>
          <w:bCs/>
          <w:sz w:val="72"/>
          <w:szCs w:val="72"/>
        </w:rPr>
        <w:t>Supplemental materials</w:t>
      </w:r>
    </w:p>
    <w:p w14:paraId="3DBFB584" w14:textId="10EAA737" w:rsidR="00AC1CA8" w:rsidRDefault="00AC1CA8" w:rsidP="00731E3B">
      <w:pPr>
        <w:jc w:val="center"/>
        <w:rPr>
          <w:rFonts w:asciiTheme="majorBidi" w:hAnsiTheme="majorBidi" w:cstheme="majorBidi"/>
          <w:b/>
          <w:bCs/>
          <w:sz w:val="72"/>
          <w:szCs w:val="72"/>
        </w:rPr>
      </w:pPr>
    </w:p>
    <w:p w14:paraId="2A759848" w14:textId="5F7B64A5" w:rsidR="00AC1CA8" w:rsidRPr="00AC1CA8" w:rsidRDefault="00AC1CA8" w:rsidP="00731E3B">
      <w:pPr>
        <w:jc w:val="center"/>
        <w:rPr>
          <w:rFonts w:asciiTheme="majorBidi" w:hAnsiTheme="majorBidi" w:cstheme="majorBidi"/>
          <w:b/>
          <w:bCs/>
        </w:rPr>
      </w:pPr>
      <w:r>
        <w:rPr>
          <w:rFonts w:asciiTheme="majorBidi" w:hAnsiTheme="majorBidi" w:cstheme="majorBidi"/>
          <w:b/>
          <w:bCs/>
        </w:rPr>
        <w:t>Figure S1………………………………………………………… Page 2</w:t>
      </w:r>
    </w:p>
    <w:p w14:paraId="10552232" w14:textId="7089D8D6" w:rsidR="00AC1CA8" w:rsidRPr="00AC1CA8" w:rsidRDefault="00AC1CA8" w:rsidP="00AC1CA8">
      <w:pPr>
        <w:jc w:val="center"/>
        <w:rPr>
          <w:rFonts w:asciiTheme="majorBidi" w:hAnsiTheme="majorBidi" w:cstheme="majorBidi"/>
          <w:b/>
          <w:bCs/>
        </w:rPr>
      </w:pPr>
      <w:r>
        <w:rPr>
          <w:rFonts w:asciiTheme="majorBidi" w:hAnsiTheme="majorBidi" w:cstheme="majorBidi"/>
          <w:b/>
          <w:bCs/>
        </w:rPr>
        <w:t>Figure S2………………………………………………………… Page</w:t>
      </w:r>
      <w:r w:rsidR="00EF7ACD">
        <w:rPr>
          <w:rFonts w:asciiTheme="majorBidi" w:hAnsiTheme="majorBidi" w:cstheme="majorBidi"/>
          <w:b/>
          <w:bCs/>
        </w:rPr>
        <w:t xml:space="preserve"> </w:t>
      </w:r>
      <w:r>
        <w:rPr>
          <w:rFonts w:asciiTheme="majorBidi" w:hAnsiTheme="majorBidi" w:cstheme="majorBidi"/>
          <w:b/>
          <w:bCs/>
        </w:rPr>
        <w:t>3</w:t>
      </w:r>
    </w:p>
    <w:p w14:paraId="5D4F277A" w14:textId="672C0B34" w:rsidR="00AC1CA8" w:rsidRPr="00AC1CA8" w:rsidRDefault="00AC1CA8" w:rsidP="00AC1CA8">
      <w:pPr>
        <w:jc w:val="center"/>
        <w:rPr>
          <w:rFonts w:asciiTheme="majorBidi" w:hAnsiTheme="majorBidi" w:cstheme="majorBidi"/>
          <w:b/>
          <w:bCs/>
        </w:rPr>
      </w:pPr>
      <w:r>
        <w:rPr>
          <w:rFonts w:asciiTheme="majorBidi" w:hAnsiTheme="majorBidi" w:cstheme="majorBidi"/>
          <w:b/>
          <w:bCs/>
        </w:rPr>
        <w:t>Figure S3………………………………………………………… Page 4</w:t>
      </w:r>
    </w:p>
    <w:p w14:paraId="094FFBF4" w14:textId="54DE55AE" w:rsidR="00AC1CA8" w:rsidRPr="00AC1CA8" w:rsidRDefault="00AC1CA8" w:rsidP="00AC1CA8">
      <w:pPr>
        <w:jc w:val="center"/>
        <w:rPr>
          <w:rFonts w:asciiTheme="majorBidi" w:hAnsiTheme="majorBidi" w:cstheme="majorBidi"/>
          <w:b/>
          <w:bCs/>
        </w:rPr>
      </w:pPr>
      <w:r>
        <w:rPr>
          <w:rFonts w:asciiTheme="majorBidi" w:hAnsiTheme="majorBidi" w:cstheme="majorBidi"/>
          <w:b/>
          <w:bCs/>
        </w:rPr>
        <w:t>Figure S4………………………………………………………… Page</w:t>
      </w:r>
      <w:r w:rsidR="00EF7ACD">
        <w:rPr>
          <w:rFonts w:asciiTheme="majorBidi" w:hAnsiTheme="majorBidi" w:cstheme="majorBidi"/>
          <w:b/>
          <w:bCs/>
        </w:rPr>
        <w:t xml:space="preserve"> </w:t>
      </w:r>
      <w:r>
        <w:rPr>
          <w:rFonts w:asciiTheme="majorBidi" w:hAnsiTheme="majorBidi" w:cstheme="majorBidi"/>
          <w:b/>
          <w:bCs/>
        </w:rPr>
        <w:t>5</w:t>
      </w:r>
    </w:p>
    <w:p w14:paraId="13E4175E" w14:textId="77777777" w:rsidR="00AC1CA8" w:rsidRDefault="00AC1CA8" w:rsidP="00731E3B">
      <w:pPr>
        <w:jc w:val="center"/>
        <w:rPr>
          <w:rFonts w:asciiTheme="majorBidi" w:hAnsiTheme="majorBidi" w:cstheme="majorBidi"/>
          <w:b/>
          <w:bCs/>
          <w:sz w:val="72"/>
          <w:szCs w:val="72"/>
        </w:rPr>
        <w:sectPr w:rsidR="00AC1CA8">
          <w:pgSz w:w="12240" w:h="15840"/>
          <w:pgMar w:top="1440" w:right="1440" w:bottom="1440" w:left="1440" w:header="720" w:footer="720" w:gutter="0"/>
          <w:cols w:space="720"/>
          <w:docGrid w:linePitch="360"/>
        </w:sectPr>
      </w:pPr>
    </w:p>
    <w:p w14:paraId="2C1A89D0" w14:textId="77777777" w:rsidR="002D4E04" w:rsidRDefault="002D4E04" w:rsidP="00731E3B">
      <w:pPr>
        <w:jc w:val="center"/>
        <w:rPr>
          <w:rFonts w:asciiTheme="majorBidi" w:hAnsiTheme="majorBidi" w:cstheme="majorBidi"/>
          <w:b/>
          <w:bCs/>
          <w:sz w:val="72"/>
          <w:szCs w:val="72"/>
        </w:rPr>
      </w:pPr>
    </w:p>
    <w:p w14:paraId="70BBCFA2" w14:textId="77777777" w:rsidR="002D4E04" w:rsidRDefault="002D4E04" w:rsidP="00731E3B">
      <w:pPr>
        <w:jc w:val="center"/>
        <w:rPr>
          <w:rFonts w:asciiTheme="majorBidi" w:hAnsiTheme="majorBidi" w:cstheme="majorBidi"/>
          <w:b/>
          <w:bCs/>
          <w:sz w:val="72"/>
          <w:szCs w:val="72"/>
        </w:rPr>
      </w:pPr>
    </w:p>
    <w:p w14:paraId="37FB2D6E" w14:textId="1969DEDB" w:rsidR="00731E3B" w:rsidRDefault="00220F42" w:rsidP="00731E3B">
      <w:pPr>
        <w:jc w:val="center"/>
        <w:rPr>
          <w:rFonts w:asciiTheme="majorBidi" w:hAnsiTheme="majorBidi" w:cstheme="majorBidi"/>
          <w:b/>
          <w:bCs/>
          <w:sz w:val="72"/>
          <w:szCs w:val="72"/>
        </w:rPr>
      </w:pPr>
      <w:r>
        <w:rPr>
          <w:noProof/>
        </w:rPr>
        <w:drawing>
          <wp:inline distT="0" distB="0" distL="0" distR="0" wp14:anchorId="33F772D6" wp14:editId="4B364385">
            <wp:extent cx="5044440" cy="504444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4440" cy="5044440"/>
                    </a:xfrm>
                    <a:prstGeom prst="rect">
                      <a:avLst/>
                    </a:prstGeom>
                    <a:noFill/>
                    <a:ln>
                      <a:noFill/>
                    </a:ln>
                  </pic:spPr>
                </pic:pic>
              </a:graphicData>
            </a:graphic>
          </wp:inline>
        </w:drawing>
      </w:r>
    </w:p>
    <w:p w14:paraId="651960ED" w14:textId="48A54F61" w:rsidR="00A9234B" w:rsidRDefault="00220F42" w:rsidP="00731E3B">
      <w:pPr>
        <w:jc w:val="center"/>
        <w:rPr>
          <w:rFonts w:asciiTheme="majorBidi" w:hAnsiTheme="majorBidi" w:cstheme="majorBidi"/>
          <w:sz w:val="20"/>
          <w:szCs w:val="20"/>
        </w:rPr>
        <w:sectPr w:rsidR="00A9234B">
          <w:pgSz w:w="12240" w:h="15840"/>
          <w:pgMar w:top="1440" w:right="1440" w:bottom="1440" w:left="1440" w:header="720" w:footer="720" w:gutter="0"/>
          <w:cols w:space="720"/>
          <w:docGrid w:linePitch="360"/>
        </w:sectPr>
      </w:pPr>
      <w:r w:rsidRPr="003E10B4">
        <w:rPr>
          <w:rFonts w:asciiTheme="majorBidi" w:hAnsiTheme="majorBidi" w:cstheme="majorBidi"/>
          <w:b/>
          <w:bCs/>
          <w:sz w:val="20"/>
          <w:szCs w:val="20"/>
        </w:rPr>
        <w:t>Fig S</w:t>
      </w:r>
      <w:r w:rsidR="00BB3B11">
        <w:rPr>
          <w:rFonts w:asciiTheme="majorBidi" w:hAnsiTheme="majorBidi" w:cstheme="majorBidi"/>
          <w:b/>
          <w:bCs/>
          <w:sz w:val="20"/>
          <w:szCs w:val="20"/>
        </w:rPr>
        <w:t>1</w:t>
      </w:r>
      <w:r w:rsidR="003E10B4" w:rsidRPr="003E10B4">
        <w:rPr>
          <w:rFonts w:asciiTheme="majorBidi" w:hAnsiTheme="majorBidi" w:cstheme="majorBidi"/>
          <w:b/>
          <w:bCs/>
          <w:sz w:val="20"/>
          <w:szCs w:val="20"/>
        </w:rPr>
        <w:t>.</w:t>
      </w:r>
      <w:r w:rsidR="003E10B4" w:rsidRPr="003E10B4">
        <w:rPr>
          <w:rFonts w:asciiTheme="majorBidi" w:hAnsiTheme="majorBidi" w:cstheme="majorBidi"/>
          <w:sz w:val="20"/>
          <w:szCs w:val="20"/>
        </w:rPr>
        <w:t xml:space="preserve"> Directed Acyclic Graph (DAG) illustrating the hypothesized relationships between umbilical cord blood concentrations of dioxin-like polychlorinated biphenyls (DL-PCBs) and fetal growth indicators (birth weight, birth length, and head circumference). The DAG represents potential confounding variables adjusted in the multivariable linear regression models, including maternal age, pre-pregnancy BMI, parity, gestational age at delivery, infant sex, prenatal tobacco smoke exposure, and socioeconomic status (determined by maternal/paternal education and household income). Arrows indicate the assumed directional influences based on prior knowledge and biological plausibility.</w:t>
      </w:r>
    </w:p>
    <w:p w14:paraId="19A85B29" w14:textId="3BFA24B2" w:rsidR="00A9234B" w:rsidRDefault="002C30B9" w:rsidP="00A9234B">
      <w:pPr>
        <w:spacing w:line="240" w:lineRule="auto"/>
        <w:jc w:val="both"/>
        <w:rPr>
          <w:rFonts w:asciiTheme="majorBidi" w:hAnsiTheme="majorBidi" w:cstheme="majorBidi"/>
          <w:b/>
          <w:bCs/>
        </w:rPr>
      </w:pPr>
      <w:r>
        <w:rPr>
          <w:noProof/>
        </w:rPr>
        <w:lastRenderedPageBreak/>
        <mc:AlternateContent>
          <mc:Choice Requires="wps">
            <w:drawing>
              <wp:inline distT="0" distB="0" distL="0" distR="0" wp14:anchorId="15FE5FD4" wp14:editId="2F151A3A">
                <wp:extent cx="304800" cy="304800"/>
                <wp:effectExtent l="0" t="0" r="0" b="0"/>
                <wp:docPr id="5" name="Rectangle 5" descr="Output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0745E5" id="Rectangle 5" o:spid="_x0000_s1026" alt="Output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Theme="majorBidi" w:hAnsiTheme="majorBidi" w:cstheme="majorBidi"/>
          <w:b/>
          <w:bCs/>
          <w:noProof/>
        </w:rPr>
        <w:drawing>
          <wp:inline distT="0" distB="0" distL="0" distR="0" wp14:anchorId="0D50A8DC" wp14:editId="4AE9BCE8">
            <wp:extent cx="5545299" cy="313880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5070"/>
                    <a:stretch/>
                  </pic:blipFill>
                  <pic:spPr bwMode="auto">
                    <a:xfrm>
                      <a:off x="0" y="0"/>
                      <a:ext cx="5569958" cy="3152763"/>
                    </a:xfrm>
                    <a:prstGeom prst="rect">
                      <a:avLst/>
                    </a:prstGeom>
                    <a:noFill/>
                    <a:ln>
                      <a:noFill/>
                    </a:ln>
                    <a:extLst>
                      <a:ext uri="{53640926-AAD7-44D8-BBD7-CCE9431645EC}">
                        <a14:shadowObscured xmlns:a14="http://schemas.microsoft.com/office/drawing/2010/main"/>
                      </a:ext>
                    </a:extLst>
                  </pic:spPr>
                </pic:pic>
              </a:graphicData>
            </a:graphic>
          </wp:inline>
        </w:drawing>
      </w:r>
    </w:p>
    <w:p w14:paraId="6ABDFF6C" w14:textId="25586364" w:rsidR="00A9234B" w:rsidRDefault="00A9234B" w:rsidP="00A9234B">
      <w:pPr>
        <w:spacing w:line="240" w:lineRule="auto"/>
        <w:jc w:val="both"/>
        <w:rPr>
          <w:rFonts w:asciiTheme="majorBidi" w:hAnsiTheme="majorBidi" w:cstheme="majorBidi"/>
          <w:sz w:val="20"/>
          <w:szCs w:val="20"/>
        </w:rPr>
      </w:pPr>
      <w:r w:rsidRPr="00435E53">
        <w:rPr>
          <w:rFonts w:asciiTheme="majorBidi" w:hAnsiTheme="majorBidi" w:cstheme="majorBidi"/>
          <w:b/>
          <w:bCs/>
          <w:sz w:val="20"/>
          <w:szCs w:val="20"/>
        </w:rPr>
        <w:t xml:space="preserve">Figure </w:t>
      </w:r>
      <w:r>
        <w:rPr>
          <w:rFonts w:asciiTheme="majorBidi" w:hAnsiTheme="majorBidi" w:cstheme="majorBidi"/>
          <w:b/>
          <w:bCs/>
          <w:sz w:val="20"/>
          <w:szCs w:val="20"/>
        </w:rPr>
        <w:t>S</w:t>
      </w:r>
      <w:r w:rsidR="00BB3B11">
        <w:rPr>
          <w:rFonts w:asciiTheme="majorBidi" w:hAnsiTheme="majorBidi" w:cstheme="majorBidi"/>
          <w:b/>
          <w:bCs/>
          <w:sz w:val="20"/>
          <w:szCs w:val="20"/>
        </w:rPr>
        <w:t>2</w:t>
      </w:r>
      <w:r w:rsidRPr="00435E53">
        <w:rPr>
          <w:rFonts w:asciiTheme="majorBidi" w:hAnsiTheme="majorBidi" w:cstheme="majorBidi"/>
          <w:b/>
          <w:bCs/>
          <w:sz w:val="20"/>
          <w:szCs w:val="20"/>
        </w:rPr>
        <w:t xml:space="preserve">.  </w:t>
      </w:r>
      <w:r w:rsidRPr="00435E53">
        <w:rPr>
          <w:rFonts w:asciiTheme="majorBidi" w:hAnsiTheme="majorBidi" w:cstheme="majorBidi"/>
          <w:sz w:val="20"/>
          <w:szCs w:val="20"/>
        </w:rPr>
        <w:t>Descriptive statistics of umbilical cord blood concentrations of DL-PCB congeners.</w:t>
      </w:r>
    </w:p>
    <w:p w14:paraId="6416E432" w14:textId="2522BA2B" w:rsidR="00220F42" w:rsidRPr="003E10B4" w:rsidRDefault="00220F42" w:rsidP="00731E3B">
      <w:pPr>
        <w:jc w:val="center"/>
        <w:rPr>
          <w:rFonts w:asciiTheme="majorBidi" w:hAnsiTheme="majorBidi" w:cstheme="majorBidi"/>
          <w:sz w:val="20"/>
          <w:szCs w:val="20"/>
        </w:rPr>
      </w:pPr>
    </w:p>
    <w:p w14:paraId="4417E038" w14:textId="3341010F" w:rsidR="00731E3B" w:rsidRDefault="00731E3B" w:rsidP="00731E3B">
      <w:pPr>
        <w:jc w:val="center"/>
        <w:rPr>
          <w:rFonts w:asciiTheme="majorBidi" w:hAnsiTheme="majorBidi" w:cstheme="majorBidi"/>
          <w:b/>
          <w:bCs/>
          <w:sz w:val="72"/>
          <w:szCs w:val="72"/>
        </w:rPr>
      </w:pPr>
      <w:r>
        <w:rPr>
          <w:noProof/>
        </w:rPr>
        <w:lastRenderedPageBreak/>
        <w:drawing>
          <wp:inline distT="0" distB="0" distL="0" distR="0" wp14:anchorId="2AE383FE" wp14:editId="2DB678DC">
            <wp:extent cx="4728845" cy="69646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28845" cy="6964680"/>
                    </a:xfrm>
                    <a:prstGeom prst="rect">
                      <a:avLst/>
                    </a:prstGeom>
                    <a:noFill/>
                    <a:ln>
                      <a:noFill/>
                    </a:ln>
                  </pic:spPr>
                </pic:pic>
              </a:graphicData>
            </a:graphic>
          </wp:inline>
        </w:drawing>
      </w:r>
    </w:p>
    <w:p w14:paraId="27BA8A70" w14:textId="5CD66C32" w:rsidR="00731E3B" w:rsidRPr="00A11F9A" w:rsidRDefault="00731E3B" w:rsidP="00A11F9A">
      <w:pPr>
        <w:jc w:val="center"/>
        <w:rPr>
          <w:rFonts w:asciiTheme="majorBidi" w:hAnsiTheme="majorBidi" w:cstheme="majorBidi"/>
          <w:sz w:val="20"/>
          <w:szCs w:val="20"/>
        </w:rPr>
      </w:pPr>
      <w:r w:rsidRPr="00731E3B">
        <w:rPr>
          <w:rFonts w:asciiTheme="majorBidi" w:hAnsiTheme="majorBidi" w:cstheme="majorBidi"/>
          <w:b/>
          <w:bCs/>
          <w:sz w:val="20"/>
          <w:szCs w:val="20"/>
        </w:rPr>
        <w:t>Figure S</w:t>
      </w:r>
      <w:r w:rsidR="002D4E04">
        <w:rPr>
          <w:rFonts w:asciiTheme="majorBidi" w:hAnsiTheme="majorBidi" w:cstheme="majorBidi"/>
          <w:b/>
          <w:bCs/>
          <w:sz w:val="20"/>
          <w:szCs w:val="20"/>
        </w:rPr>
        <w:t>3</w:t>
      </w:r>
      <w:r w:rsidR="00264D6E">
        <w:rPr>
          <w:rFonts w:asciiTheme="majorBidi" w:hAnsiTheme="majorBidi" w:cstheme="majorBidi"/>
          <w:b/>
          <w:bCs/>
          <w:sz w:val="20"/>
          <w:szCs w:val="20"/>
        </w:rPr>
        <w:t>.</w:t>
      </w:r>
      <w:r w:rsidR="00A11F9A" w:rsidRPr="00A11F9A">
        <w:rPr>
          <w:b/>
          <w:bCs/>
        </w:rPr>
        <w:t xml:space="preserve"> </w:t>
      </w:r>
      <w:r w:rsidR="00A11F9A" w:rsidRPr="00A11F9A">
        <w:rPr>
          <w:rFonts w:asciiTheme="majorBidi" w:hAnsiTheme="majorBidi" w:cstheme="majorBidi"/>
          <w:sz w:val="20"/>
          <w:szCs w:val="20"/>
        </w:rPr>
        <w:t xml:space="preserve">Relative weights of individual DL-PCB congeners in the gWQS regression model evaluating the association between umbilical cord blood DL-PCB mixture exposure and fetal growth indicators. The figure illustrates the contribution of each congener to the overall mixture effect on birth weight, birth length, and head circumference. Higher weights indicate a greater influence of the corresponding congener in the mixture model. </w:t>
      </w:r>
    </w:p>
    <w:p w14:paraId="7C54A674" w14:textId="77777777" w:rsidR="00264D6E" w:rsidRDefault="00264D6E" w:rsidP="00731E3B">
      <w:pPr>
        <w:jc w:val="center"/>
        <w:rPr>
          <w:rFonts w:asciiTheme="majorBidi" w:hAnsiTheme="majorBidi" w:cstheme="majorBidi"/>
          <w:b/>
          <w:bCs/>
          <w:sz w:val="20"/>
          <w:szCs w:val="20"/>
        </w:rPr>
        <w:sectPr w:rsidR="00264D6E">
          <w:pgSz w:w="12240" w:h="15840"/>
          <w:pgMar w:top="1440" w:right="1440" w:bottom="1440" w:left="1440" w:header="720" w:footer="720" w:gutter="0"/>
          <w:cols w:space="720"/>
          <w:docGrid w:linePitch="360"/>
        </w:sectPr>
      </w:pPr>
    </w:p>
    <w:p w14:paraId="67499814" w14:textId="46809572" w:rsidR="00264D6E" w:rsidRDefault="00264D6E" w:rsidP="00731E3B">
      <w:pPr>
        <w:jc w:val="center"/>
        <w:rPr>
          <w:rFonts w:asciiTheme="majorBidi" w:hAnsiTheme="majorBidi" w:cstheme="majorBidi"/>
          <w:b/>
          <w:bCs/>
          <w:sz w:val="20"/>
          <w:szCs w:val="20"/>
        </w:rPr>
      </w:pPr>
      <w:r>
        <w:rPr>
          <w:noProof/>
        </w:rPr>
        <w:lastRenderedPageBreak/>
        <w:drawing>
          <wp:inline distT="0" distB="0" distL="0" distR="0" wp14:anchorId="6C85F080" wp14:editId="4D5E1773">
            <wp:extent cx="4919345" cy="71856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9345" cy="7185660"/>
                    </a:xfrm>
                    <a:prstGeom prst="rect">
                      <a:avLst/>
                    </a:prstGeom>
                    <a:noFill/>
                    <a:ln>
                      <a:noFill/>
                    </a:ln>
                  </pic:spPr>
                </pic:pic>
              </a:graphicData>
            </a:graphic>
          </wp:inline>
        </w:drawing>
      </w:r>
    </w:p>
    <w:p w14:paraId="5EB041E4" w14:textId="410FC890" w:rsidR="000B282B" w:rsidRDefault="00264D6E" w:rsidP="003B3C4E">
      <w:pPr>
        <w:jc w:val="center"/>
        <w:rPr>
          <w:rFonts w:asciiTheme="majorBidi" w:hAnsiTheme="majorBidi" w:cstheme="majorBidi"/>
          <w:b/>
          <w:bCs/>
          <w:sz w:val="20"/>
          <w:szCs w:val="20"/>
        </w:rPr>
      </w:pPr>
      <w:r>
        <w:rPr>
          <w:rFonts w:asciiTheme="majorBidi" w:hAnsiTheme="majorBidi" w:cstheme="majorBidi"/>
          <w:b/>
          <w:bCs/>
          <w:sz w:val="20"/>
          <w:szCs w:val="20"/>
        </w:rPr>
        <w:t>Figure S</w:t>
      </w:r>
      <w:r w:rsidR="002D4E04">
        <w:rPr>
          <w:rFonts w:asciiTheme="majorBidi" w:hAnsiTheme="majorBidi" w:cstheme="majorBidi"/>
          <w:b/>
          <w:bCs/>
          <w:sz w:val="20"/>
          <w:szCs w:val="20"/>
        </w:rPr>
        <w:t>4</w:t>
      </w:r>
      <w:r>
        <w:rPr>
          <w:rFonts w:asciiTheme="majorBidi" w:hAnsiTheme="majorBidi" w:cstheme="majorBidi"/>
          <w:b/>
          <w:bCs/>
          <w:sz w:val="20"/>
          <w:szCs w:val="20"/>
        </w:rPr>
        <w:t>.</w:t>
      </w:r>
      <w:r w:rsidR="00A11F9A">
        <w:rPr>
          <w:rFonts w:asciiTheme="majorBidi" w:hAnsiTheme="majorBidi" w:cstheme="majorBidi"/>
          <w:b/>
          <w:bCs/>
          <w:sz w:val="20"/>
          <w:szCs w:val="20"/>
        </w:rPr>
        <w:t xml:space="preserve"> </w:t>
      </w:r>
      <w:r w:rsidR="00A11F9A" w:rsidRPr="00A11F9A">
        <w:rPr>
          <w:rFonts w:asciiTheme="majorBidi" w:hAnsiTheme="majorBidi" w:cstheme="majorBidi"/>
          <w:sz w:val="20"/>
          <w:szCs w:val="20"/>
        </w:rPr>
        <w:t>Component weights of individual DL-PCB congeners in the g-computation model for their association with fetal growth indicators. This figure displays the estimated weights reflecting the contribution of each congener to the cumulative mixture effect on birth weight, birth length, and head circumference. Positive and negative weights indicate the direction and magnitude of influence for each compound in the model.</w:t>
      </w:r>
    </w:p>
    <w:sectPr w:rsidR="000B2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OyNDIwNzE0MDE0NDRW0lEKTi0uzszPAykwrgUA4/GpzywAAAA="/>
  </w:docVars>
  <w:rsids>
    <w:rsidRoot w:val="00731E3B"/>
    <w:rsid w:val="000B282B"/>
    <w:rsid w:val="00135BC8"/>
    <w:rsid w:val="00220F42"/>
    <w:rsid w:val="00224BE9"/>
    <w:rsid w:val="00264D6E"/>
    <w:rsid w:val="002C30B9"/>
    <w:rsid w:val="002D4E04"/>
    <w:rsid w:val="003B3C4E"/>
    <w:rsid w:val="003E10B4"/>
    <w:rsid w:val="004E54D0"/>
    <w:rsid w:val="0062291E"/>
    <w:rsid w:val="00731E3B"/>
    <w:rsid w:val="00A11F9A"/>
    <w:rsid w:val="00A9234B"/>
    <w:rsid w:val="00AC0133"/>
    <w:rsid w:val="00AC1CA8"/>
    <w:rsid w:val="00B64618"/>
    <w:rsid w:val="00BB3B11"/>
    <w:rsid w:val="00BD4865"/>
    <w:rsid w:val="00D8305E"/>
    <w:rsid w:val="00E02227"/>
    <w:rsid w:val="00EF7ACD"/>
    <w:rsid w:val="00F212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BFEA4"/>
  <w15:chartTrackingRefBased/>
  <w15:docId w15:val="{084F8C41-4AF4-43BA-A307-8CB2B3A9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E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E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E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E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E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E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E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E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E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E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E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E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E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E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E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E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E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E3B"/>
    <w:rPr>
      <w:rFonts w:eastAsiaTheme="majorEastAsia" w:cstheme="majorBidi"/>
      <w:color w:val="272727" w:themeColor="text1" w:themeTint="D8"/>
    </w:rPr>
  </w:style>
  <w:style w:type="paragraph" w:styleId="Title">
    <w:name w:val="Title"/>
    <w:basedOn w:val="Normal"/>
    <w:next w:val="Normal"/>
    <w:link w:val="TitleChar"/>
    <w:uiPriority w:val="10"/>
    <w:qFormat/>
    <w:rsid w:val="00731E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E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E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E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E3B"/>
    <w:pPr>
      <w:spacing w:before="160"/>
      <w:jc w:val="center"/>
    </w:pPr>
    <w:rPr>
      <w:i/>
      <w:iCs/>
      <w:color w:val="404040" w:themeColor="text1" w:themeTint="BF"/>
    </w:rPr>
  </w:style>
  <w:style w:type="character" w:customStyle="1" w:styleId="QuoteChar">
    <w:name w:val="Quote Char"/>
    <w:basedOn w:val="DefaultParagraphFont"/>
    <w:link w:val="Quote"/>
    <w:uiPriority w:val="29"/>
    <w:rsid w:val="00731E3B"/>
    <w:rPr>
      <w:i/>
      <w:iCs/>
      <w:color w:val="404040" w:themeColor="text1" w:themeTint="BF"/>
    </w:rPr>
  </w:style>
  <w:style w:type="paragraph" w:styleId="ListParagraph">
    <w:name w:val="List Paragraph"/>
    <w:basedOn w:val="Normal"/>
    <w:uiPriority w:val="34"/>
    <w:qFormat/>
    <w:rsid w:val="00731E3B"/>
    <w:pPr>
      <w:ind w:left="720"/>
      <w:contextualSpacing/>
    </w:pPr>
  </w:style>
  <w:style w:type="character" w:styleId="IntenseEmphasis">
    <w:name w:val="Intense Emphasis"/>
    <w:basedOn w:val="DefaultParagraphFont"/>
    <w:uiPriority w:val="21"/>
    <w:qFormat/>
    <w:rsid w:val="00731E3B"/>
    <w:rPr>
      <w:i/>
      <w:iCs/>
      <w:color w:val="0F4761" w:themeColor="accent1" w:themeShade="BF"/>
    </w:rPr>
  </w:style>
  <w:style w:type="paragraph" w:styleId="IntenseQuote">
    <w:name w:val="Intense Quote"/>
    <w:basedOn w:val="Normal"/>
    <w:next w:val="Normal"/>
    <w:link w:val="IntenseQuoteChar"/>
    <w:uiPriority w:val="30"/>
    <w:qFormat/>
    <w:rsid w:val="0073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E3B"/>
    <w:rPr>
      <w:i/>
      <w:iCs/>
      <w:color w:val="0F4761" w:themeColor="accent1" w:themeShade="BF"/>
    </w:rPr>
  </w:style>
  <w:style w:type="character" w:styleId="IntenseReference">
    <w:name w:val="Intense Reference"/>
    <w:basedOn w:val="DefaultParagraphFont"/>
    <w:uiPriority w:val="32"/>
    <w:qFormat/>
    <w:rsid w:val="00731E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Computer2000</dc:creator>
  <cp:keywords/>
  <dc:description/>
  <cp:lastModifiedBy>Computer2000</cp:lastModifiedBy>
  <cp:revision>24</cp:revision>
  <dcterms:created xsi:type="dcterms:W3CDTF">2025-07-03T11:05:00Z</dcterms:created>
  <dcterms:modified xsi:type="dcterms:W3CDTF">2025-08-13T16:41:00Z</dcterms:modified>
</cp:coreProperties>
</file>