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sz w:val="32"/>
          <w:szCs w:val="32"/>
        </w:rPr>
      </w:pPr>
      <w:r>
        <w:rPr>
          <w:rFonts w:ascii="Times New Roman" w:hAnsi="Times New Roman" w:cs="Times New Roman"/>
          <w:sz w:val="32"/>
          <w:szCs w:val="32"/>
        </w:rPr>
        <w:t xml:space="preserve">Molecular Detection of </w:t>
      </w:r>
      <w:r>
        <w:rPr>
          <w:rFonts w:ascii="Times New Roman" w:hAnsi="Times New Roman" w:cs="Times New Roman"/>
          <w:color w:val="000000" w:themeColor="text1"/>
          <w:sz w:val="32"/>
          <w:szCs w:val="32"/>
          <w14:textFill>
            <w14:solidFill>
              <w14:schemeClr w14:val="tx1"/>
            </w14:solidFill>
          </w14:textFill>
        </w:rPr>
        <w:t xml:space="preserve">Plasmid Mediated </w:t>
      </w:r>
      <w:r>
        <w:rPr>
          <w:rFonts w:ascii="Times New Roman" w:hAnsi="Times New Roman" w:cs="Times New Roman"/>
          <w:i/>
          <w:iCs/>
          <w:sz w:val="32"/>
          <w:szCs w:val="32"/>
        </w:rPr>
        <w:t>bla</w:t>
      </w:r>
      <w:r>
        <w:rPr>
          <w:rFonts w:ascii="Times New Roman" w:hAnsi="Times New Roman" w:cs="Times New Roman"/>
          <w:sz w:val="32"/>
          <w:szCs w:val="32"/>
          <w:vertAlign w:val="subscript"/>
        </w:rPr>
        <w:t>TEM</w:t>
      </w:r>
      <w:r>
        <w:rPr>
          <w:rFonts w:ascii="Times New Roman" w:hAnsi="Times New Roman" w:cs="Times New Roman"/>
          <w:sz w:val="32"/>
          <w:szCs w:val="32"/>
        </w:rPr>
        <w:t xml:space="preserve">, </w:t>
      </w:r>
      <w:r>
        <w:rPr>
          <w:rFonts w:ascii="Times New Roman" w:hAnsi="Times New Roman" w:cs="Times New Roman"/>
          <w:i/>
          <w:iCs/>
          <w:sz w:val="32"/>
          <w:szCs w:val="32"/>
        </w:rPr>
        <w:t>bla</w:t>
      </w:r>
      <w:r>
        <w:rPr>
          <w:rFonts w:ascii="Times New Roman" w:hAnsi="Times New Roman" w:cs="Times New Roman"/>
          <w:sz w:val="32"/>
          <w:szCs w:val="32"/>
          <w:vertAlign w:val="subscript"/>
        </w:rPr>
        <w:t xml:space="preserve">CTX-M </w:t>
      </w:r>
      <w:r>
        <w:rPr>
          <w:rFonts w:ascii="Times New Roman" w:hAnsi="Times New Roman" w:cs="Times New Roman"/>
          <w:sz w:val="32"/>
          <w:szCs w:val="32"/>
        </w:rPr>
        <w:t xml:space="preserve">and </w:t>
      </w:r>
      <w:r>
        <w:rPr>
          <w:rFonts w:ascii="Times New Roman" w:hAnsi="Times New Roman" w:cs="Times New Roman"/>
          <w:i/>
          <w:iCs/>
          <w:sz w:val="32"/>
          <w:szCs w:val="32"/>
        </w:rPr>
        <w:t>bla</w:t>
      </w:r>
      <w:r>
        <w:rPr>
          <w:rFonts w:ascii="Times New Roman" w:hAnsi="Times New Roman" w:cs="Times New Roman"/>
          <w:sz w:val="32"/>
          <w:szCs w:val="32"/>
          <w:vertAlign w:val="subscript"/>
        </w:rPr>
        <w:t>SHV</w:t>
      </w:r>
      <w:r>
        <w:rPr>
          <w:rFonts w:ascii="Times New Roman" w:hAnsi="Times New Roman" w:cs="Times New Roman"/>
          <w:sz w:val="32"/>
          <w:szCs w:val="32"/>
        </w:rPr>
        <w:t xml:space="preserve"> Genes in Extended Spectrum β-Lactamase (ESBL) </w:t>
      </w:r>
      <w:r>
        <w:rPr>
          <w:rFonts w:ascii="Times New Roman" w:hAnsi="Times New Roman" w:cs="Times New Roman"/>
          <w:i/>
          <w:sz w:val="32"/>
          <w:szCs w:val="32"/>
        </w:rPr>
        <w:t>Escherichia coli</w:t>
      </w:r>
      <w:r>
        <w:rPr>
          <w:rFonts w:ascii="Times New Roman" w:hAnsi="Times New Roman" w:cs="Times New Roman"/>
          <w:sz w:val="32"/>
          <w:szCs w:val="32"/>
        </w:rPr>
        <w:t xml:space="preserve"> from Clinical Samples</w:t>
      </w:r>
    </w:p>
    <w:p>
      <w:pPr>
        <w:jc w:val="center"/>
        <w:rPr>
          <w:rFonts w:ascii="Times New Roman" w:hAnsi="Times New Roman" w:cs="Times New Roman"/>
          <w:sz w:val="24"/>
          <w:szCs w:val="24"/>
        </w:rPr>
      </w:pPr>
      <w:r>
        <w:rPr>
          <w:rFonts w:ascii="Times New Roman" w:hAnsi="Times New Roman" w:cs="Times New Roman"/>
          <w:sz w:val="24"/>
          <w:szCs w:val="24"/>
        </w:rPr>
        <w:t>Mahesh Kumar Chaudhary,</w:t>
      </w:r>
      <w:r>
        <w:rPr>
          <w:rFonts w:ascii="Times New Roman" w:hAnsi="Times New Roman" w:cs="Times New Roman"/>
          <w:sz w:val="24"/>
          <w:szCs w:val="24"/>
          <w:vertAlign w:val="superscript"/>
        </w:rPr>
        <w:t xml:space="preserve"> 1, 2 </w:t>
      </w:r>
      <w:r>
        <w:rPr>
          <w:rFonts w:ascii="Times New Roman" w:hAnsi="Times New Roman" w:cs="Times New Roman"/>
          <w:sz w:val="24"/>
          <w:szCs w:val="24"/>
        </w:rPr>
        <w:t>Indrani Jadhav,</w:t>
      </w:r>
      <w:r>
        <w:rPr>
          <w:rFonts w:ascii="Times New Roman" w:hAnsi="Times New Roman" w:cs="Times New Roman"/>
          <w:sz w:val="24"/>
          <w:szCs w:val="24"/>
          <w:vertAlign w:val="superscript"/>
        </w:rPr>
        <w:t xml:space="preserve"> 3</w:t>
      </w:r>
      <w:r>
        <w:rPr>
          <w:rFonts w:ascii="Times New Roman" w:hAnsi="Times New Roman" w:cs="Times New Roman"/>
          <w:sz w:val="24"/>
          <w:szCs w:val="24"/>
        </w:rPr>
        <w:t xml:space="preserve"> Megha Raj Banjara </w:t>
      </w:r>
      <w:r>
        <w:rPr>
          <w:rFonts w:ascii="Times New Roman" w:hAnsi="Times New Roman" w:cs="Times New Roman"/>
          <w:sz w:val="24"/>
          <w:szCs w:val="24"/>
          <w:vertAlign w:val="superscript"/>
        </w:rPr>
        <w:t>4</w:t>
      </w:r>
    </w:p>
    <w:p>
      <w:pPr>
        <w:jc w:val="both"/>
        <w:rPr>
          <w:rFonts w:ascii="Times New Roman" w:hAnsi="Times New Roman" w:cs="Times New Roman"/>
          <w:sz w:val="24"/>
          <w:szCs w:val="24"/>
          <w:vertAlign w:val="superscript"/>
        </w:rPr>
      </w:pPr>
    </w:p>
    <w:p>
      <w:pPr>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School of Life and Basic Sciences, Jaipur National University,Jaipur,India,</w:t>
      </w:r>
    </w:p>
    <w:p>
      <w:pPr>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Microbiology, Nepal Mediciti Hospital,Lalitpur,Nepal</w:t>
      </w:r>
    </w:p>
    <w:p>
      <w:pPr>
        <w:jc w:val="both"/>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School of Life and Basic Sciences, Jaipur National University,Jaipur,India</w:t>
      </w:r>
    </w:p>
    <w:p>
      <w:pPr>
        <w:jc w:val="both"/>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color w:val="000000" w:themeColor="text1"/>
          <w:sz w:val="24"/>
          <w:szCs w:val="24"/>
          <w14:textFill>
            <w14:solidFill>
              <w14:schemeClr w14:val="tx1"/>
            </w14:solidFill>
          </w14:textFill>
        </w:rPr>
        <w:t xml:space="preserve">Central </w:t>
      </w:r>
      <w:r>
        <w:rPr>
          <w:rFonts w:ascii="Times New Roman" w:hAnsi="Times New Roman" w:cs="Times New Roman"/>
          <w:sz w:val="24"/>
          <w:szCs w:val="24"/>
        </w:rPr>
        <w:t>Department of Microbiology,Tribhuvan University,Kirtipur,Nepal</w:t>
      </w:r>
    </w:p>
    <w:p>
      <w:pPr>
        <w:jc w:val="both"/>
        <w:rPr>
          <w:rFonts w:ascii="Times New Roman" w:hAnsi="Times New Roman" w:cs="Times New Roman"/>
          <w:sz w:val="24"/>
          <w:szCs w:val="24"/>
        </w:rPr>
      </w:pPr>
    </w:p>
    <w:p>
      <w:pPr>
        <w:spacing w:line="360" w:lineRule="auto"/>
        <w:jc w:val="both"/>
        <w:rPr>
          <w:rFonts w:ascii="Times New Roman" w:hAnsi="Times New Roman"/>
          <w:sz w:val="24"/>
          <w:szCs w:val="24"/>
        </w:rPr>
      </w:pPr>
      <w:r>
        <w:rPr>
          <w:rFonts w:ascii="Times New Roman" w:hAnsi="Times New Roman"/>
          <w:sz w:val="24"/>
          <w:szCs w:val="24"/>
        </w:rPr>
        <w:t>Corresponding author</w:t>
      </w:r>
    </w:p>
    <w:p>
      <w:pPr>
        <w:spacing w:line="360" w:lineRule="auto"/>
        <w:jc w:val="both"/>
        <w:rPr>
          <w:rFonts w:ascii="Times New Roman" w:hAnsi="Times New Roman"/>
          <w:sz w:val="24"/>
          <w:szCs w:val="24"/>
        </w:rPr>
      </w:pPr>
      <w:r>
        <w:rPr>
          <w:rFonts w:ascii="Times New Roman" w:hAnsi="Times New Roman"/>
          <w:sz w:val="24"/>
          <w:szCs w:val="24"/>
        </w:rPr>
        <w:t>Mahesh Kumar Chaudhary</w:t>
      </w:r>
    </w:p>
    <w:p>
      <w:pPr>
        <w:spacing w:line="360" w:lineRule="auto"/>
        <w:jc w:val="both"/>
        <w:rPr>
          <w:rFonts w:ascii="Times New Roman" w:hAnsi="Times New Roman"/>
          <w:sz w:val="24"/>
          <w:szCs w:val="24"/>
        </w:rPr>
      </w:pPr>
      <w:r>
        <w:rPr>
          <w:rFonts w:ascii="Times New Roman" w:hAnsi="Times New Roman"/>
          <w:sz w:val="24"/>
          <w:szCs w:val="24"/>
        </w:rPr>
        <w:t xml:space="preserve">Nepal Mediciti,Bhaisepati,Lalitpur </w:t>
      </w:r>
    </w:p>
    <w:p>
      <w:pPr>
        <w:spacing w:line="360" w:lineRule="auto"/>
        <w:jc w:val="both"/>
        <w:rPr>
          <w:rFonts w:ascii="Times New Roman" w:hAnsi="Times New Roman"/>
          <w:sz w:val="24"/>
          <w:szCs w:val="24"/>
        </w:rPr>
      </w:pPr>
      <w:r>
        <w:rPr>
          <w:rFonts w:ascii="Times New Roman" w:hAnsi="Times New Roman"/>
          <w:sz w:val="24"/>
          <w:szCs w:val="24"/>
        </w:rPr>
        <w:t>mahesh_3272@yahoo.com</w:t>
      </w:r>
    </w:p>
    <w:p>
      <w:pPr>
        <w:jc w:val="both"/>
        <w:rPr>
          <w:rFonts w:ascii="Times New Roman" w:hAnsi="Times New Roman" w:cs="Times New Roman"/>
          <w:sz w:val="24"/>
          <w:szCs w:val="24"/>
        </w:rPr>
      </w:pPr>
    </w:p>
    <w:p>
      <w:pPr>
        <w:spacing w:line="480" w:lineRule="auto"/>
        <w:jc w:val="both"/>
        <w:rPr>
          <w:rFonts w:ascii="Times New Roman" w:hAnsi="Times New Roman"/>
          <w:b/>
          <w:sz w:val="24"/>
          <w:szCs w:val="24"/>
        </w:rPr>
      </w:pPr>
      <w:r>
        <w:rPr>
          <w:rFonts w:ascii="Times New Roman" w:hAnsi="Times New Roman"/>
          <w:b/>
          <w:sz w:val="24"/>
          <w:szCs w:val="24"/>
        </w:rPr>
        <w:t>ABSTRACT</w:t>
      </w:r>
    </w:p>
    <w:p>
      <w:pPr>
        <w:spacing w:line="480" w:lineRule="auto"/>
        <w:jc w:val="both"/>
        <w:rPr>
          <w:rFonts w:ascii="Times New Roman" w:hAnsi="Times New Roman"/>
          <w:i/>
          <w:sz w:val="24"/>
          <w:szCs w:val="24"/>
        </w:rPr>
      </w:pPr>
      <w:r>
        <w:rPr>
          <w:rFonts w:ascii="Times New Roman" w:hAnsi="Times New Roman"/>
          <w:b/>
          <w:sz w:val="24"/>
          <w:szCs w:val="24"/>
        </w:rPr>
        <w:t>Background</w:t>
      </w:r>
      <w:r>
        <w:rPr>
          <w:rFonts w:ascii="Times New Roman" w:hAnsi="Times New Roman"/>
          <w:sz w:val="24"/>
          <w:szCs w:val="24"/>
        </w:rPr>
        <w:t>: Extended spectrum β-lactamases (ESBLs) are the group of beta-lactamase enzymes which confer resistance to the oxyimino-cephalosporins and monobactams.</w:t>
      </w:r>
      <w:r>
        <w:rPr>
          <w:rFonts w:ascii="Times New Roman" w:hAnsi="Times New Roman"/>
          <w:bCs/>
          <w:sz w:val="24"/>
          <w:szCs w:val="24"/>
        </w:rPr>
        <w:t xml:space="preserve"> Emergence of ESBL producing genes possess a serious threat for the treatment of infections </w:t>
      </w:r>
      <w:r>
        <w:rPr>
          <w:rFonts w:ascii="Times New Roman" w:hAnsi="Times New Roman"/>
          <w:sz w:val="24"/>
          <w:szCs w:val="24"/>
        </w:rPr>
        <w:t xml:space="preserve">since it is found to be associated with multi-drug resistance. </w:t>
      </w:r>
      <w:r>
        <w:rPr>
          <w:rFonts w:ascii="Times New Roman" w:hAnsi="Times New Roman"/>
          <w:bCs/>
          <w:sz w:val="24"/>
          <w:szCs w:val="24"/>
        </w:rPr>
        <w:t xml:space="preserve">This study was focused to identify </w:t>
      </w:r>
      <w:r>
        <w:rPr>
          <w:rFonts w:ascii="Times New Roman" w:hAnsi="Times New Roman"/>
          <w:sz w:val="24"/>
          <w:szCs w:val="24"/>
        </w:rPr>
        <w:t xml:space="preserve">the ESBLs producing genes from </w:t>
      </w:r>
      <w:r>
        <w:rPr>
          <w:rFonts w:ascii="Times New Roman" w:hAnsi="Times New Roman"/>
          <w:i/>
          <w:iCs/>
          <w:sz w:val="24"/>
          <w:szCs w:val="24"/>
        </w:rPr>
        <w:t>Escherichia coli</w:t>
      </w:r>
      <w:r>
        <w:rPr>
          <w:rFonts w:ascii="Times New Roman" w:hAnsi="Times New Roman"/>
          <w:sz w:val="24"/>
          <w:szCs w:val="24"/>
        </w:rPr>
        <w:t xml:space="preserve"> isolates from clinical samples from a referral level tertiary care hospital in Lalitpur.</w:t>
      </w:r>
    </w:p>
    <w:p>
      <w:pPr>
        <w:spacing w:line="480" w:lineRule="auto"/>
        <w:jc w:val="both"/>
        <w:rPr>
          <w:rFonts w:ascii="Times New Roman" w:hAnsi="Times New Roman"/>
          <w:sz w:val="24"/>
          <w:szCs w:val="24"/>
        </w:rPr>
      </w:pPr>
      <w:r>
        <w:rPr>
          <w:rFonts w:ascii="Times New Roman" w:hAnsi="Times New Roman"/>
          <w:b/>
          <w:sz w:val="24"/>
          <w:szCs w:val="24"/>
        </w:rPr>
        <w:t>Methods</w:t>
      </w:r>
      <w:r>
        <w:rPr>
          <w:rFonts w:ascii="Times New Roman" w:hAnsi="Times New Roman"/>
          <w:sz w:val="24"/>
          <w:szCs w:val="24"/>
        </w:rPr>
        <w:t xml:space="preserve">: This was a cross-sectional study conducted during September 2018 to April 2020 at Microbiology Laboratory of Nepal Mediciti Hospital. Clinical </w:t>
      </w:r>
      <w:r>
        <w:rPr>
          <w:rFonts w:ascii="Times New Roman" w:hAnsi="Times New Roman" w:cs="Times New Roman"/>
          <w:sz w:val="24"/>
          <w:szCs w:val="24"/>
        </w:rPr>
        <w:t>samples were processed and culture isolates were identified and characterized following standard microbiological techniques. Antibiotic susceptibility test was performed by modified Kirby-Bauer disc diffusion method as recommended by Clinical and Laboratory Standard Institute guidelines.</w:t>
      </w:r>
      <w:r>
        <w:rPr>
          <w:rFonts w:ascii="Times New Roman" w:hAnsi="Times New Roman"/>
          <w:sz w:val="24"/>
          <w:szCs w:val="24"/>
        </w:rPr>
        <w:t xml:space="preserve"> Extended spectrum beta-lactamases were phenotypically confirmed by combined disc method. ESBL producing genes </w:t>
      </w:r>
      <w:r>
        <w:rPr>
          <w:rFonts w:ascii="Times New Roman" w:hAnsi="Times New Roman"/>
          <w:i/>
          <w:iCs/>
          <w:sz w:val="24"/>
          <w:szCs w:val="24"/>
        </w:rPr>
        <w:t>bla</w:t>
      </w:r>
      <w:r>
        <w:rPr>
          <w:rFonts w:ascii="Times New Roman" w:hAnsi="Times New Roman"/>
          <w:sz w:val="24"/>
          <w:szCs w:val="24"/>
          <w:vertAlign w:val="subscript"/>
        </w:rPr>
        <w:t>TEM</w:t>
      </w:r>
      <w:r>
        <w:rPr>
          <w:rFonts w:ascii="Times New Roman" w:hAnsi="Times New Roman"/>
          <w:sz w:val="24"/>
          <w:szCs w:val="24"/>
        </w:rPr>
        <w:t xml:space="preserve">, </w:t>
      </w:r>
      <w:r>
        <w:rPr>
          <w:rFonts w:ascii="Times New Roman" w:hAnsi="Times New Roman"/>
          <w:i/>
          <w:iCs/>
          <w:sz w:val="24"/>
          <w:szCs w:val="24"/>
        </w:rPr>
        <w:t>bla</w:t>
      </w:r>
      <w:r>
        <w:rPr>
          <w:rFonts w:ascii="Times New Roman" w:hAnsi="Times New Roman"/>
          <w:sz w:val="24"/>
          <w:szCs w:val="24"/>
          <w:vertAlign w:val="subscript"/>
        </w:rPr>
        <w:t>CTX-M</w:t>
      </w:r>
      <w:r>
        <w:rPr>
          <w:rFonts w:ascii="Times New Roman" w:hAnsi="Times New Roman" w:cs="Times New Roman"/>
          <w:color w:val="000000" w:themeColor="text1"/>
          <w:sz w:val="24"/>
          <w:szCs w:val="24"/>
          <w14:textFill>
            <w14:solidFill>
              <w14:schemeClr w14:val="tx1"/>
            </w14:solidFill>
          </w14:textFill>
        </w:rPr>
        <w:t>and</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were confirmed by PCR.</w:t>
      </w:r>
    </w:p>
    <w:p>
      <w:pPr>
        <w:tabs>
          <w:tab w:val="left" w:pos="1491"/>
        </w:tabs>
        <w:spacing w:line="480" w:lineRule="auto"/>
        <w:jc w:val="both"/>
        <w:rPr>
          <w:rFonts w:ascii="Times New Roman" w:hAnsi="Times New Roman" w:cs="Times New Roman"/>
          <w:sz w:val="24"/>
          <w:szCs w:val="24"/>
        </w:rPr>
      </w:pPr>
      <w:r>
        <w:rPr>
          <w:rFonts w:ascii="Times New Roman" w:hAnsi="Times New Roman"/>
          <w:b/>
          <w:sz w:val="24"/>
          <w:szCs w:val="24"/>
        </w:rPr>
        <w:t>Results</w:t>
      </w:r>
      <w:r>
        <w:rPr>
          <w:rFonts w:ascii="Times New Roman" w:hAnsi="Times New Roman"/>
          <w:sz w:val="24"/>
          <w:szCs w:val="24"/>
        </w:rPr>
        <w:t xml:space="preserve">: </w:t>
      </w:r>
      <w:r>
        <w:rPr>
          <w:rFonts w:ascii="Times New Roman" w:hAnsi="Times New Roman" w:cs="Times New Roman"/>
          <w:sz w:val="24"/>
          <w:szCs w:val="24"/>
        </w:rPr>
        <w:t xml:space="preserve">Of the 1449 total </w:t>
      </w:r>
      <w:r>
        <w:rPr>
          <w:rFonts w:ascii="Times New Roman" w:hAnsi="Times New Roman" w:cs="Times New Roman"/>
          <w:i/>
          <w:iCs/>
          <w:sz w:val="24"/>
          <w:szCs w:val="24"/>
        </w:rPr>
        <w:t xml:space="preserve">E. coli </w:t>
      </w:r>
      <w:r>
        <w:rPr>
          <w:rFonts w:ascii="Times New Roman" w:hAnsi="Times New Roman" w:cs="Times New Roman"/>
          <w:sz w:val="24"/>
          <w:szCs w:val="24"/>
        </w:rPr>
        <w:t xml:space="preserve">isolates, 323/1449(22.29%) isolates were multi-drug resistant (MDR). Among total MDR </w:t>
      </w:r>
      <w:r>
        <w:rPr>
          <w:rFonts w:ascii="Times New Roman" w:hAnsi="Times New Roman" w:cs="Times New Roman"/>
          <w:i/>
          <w:iCs/>
          <w:sz w:val="24"/>
          <w:szCs w:val="24"/>
        </w:rPr>
        <w:t>E. coli</w:t>
      </w:r>
      <w:r>
        <w:rPr>
          <w:rFonts w:ascii="Times New Roman" w:hAnsi="Times New Roman" w:cs="Times New Roman"/>
          <w:sz w:val="24"/>
          <w:szCs w:val="24"/>
        </w:rPr>
        <w:t xml:space="preserve"> isolates, 215/323(66.56%) were ESBL producers. The maximum number of ESBL </w:t>
      </w:r>
      <w:r>
        <w:rPr>
          <w:rFonts w:ascii="Times New Roman" w:hAnsi="Times New Roman" w:cs="Times New Roman"/>
          <w:i/>
          <w:iCs/>
          <w:sz w:val="24"/>
          <w:szCs w:val="24"/>
        </w:rPr>
        <w:t xml:space="preserve">E. coli </w:t>
      </w:r>
      <w:r>
        <w:rPr>
          <w:rFonts w:ascii="Times New Roman" w:hAnsi="Times New Roman" w:cs="Times New Roman"/>
          <w:sz w:val="24"/>
          <w:szCs w:val="24"/>
        </w:rPr>
        <w:t xml:space="preserve">was isolated from urine 194(90.23%) followed by sputum 12(5.58%), swab 5 (2.32%), pus 2 (0.93%) and blood 2 (0.93%). Antibiotic susceptibility pattern of ESBL </w:t>
      </w:r>
      <w:r>
        <w:rPr>
          <w:rFonts w:ascii="Times New Roman" w:hAnsi="Times New Roman" w:cs="Times New Roman"/>
          <w:i/>
          <w:sz w:val="24"/>
          <w:szCs w:val="24"/>
        </w:rPr>
        <w:t>E.coli</w:t>
      </w:r>
      <w:r>
        <w:rPr>
          <w:rFonts w:ascii="Times New Roman" w:hAnsi="Times New Roman" w:cs="Times New Roman"/>
          <w:sz w:val="24"/>
          <w:szCs w:val="24"/>
        </w:rPr>
        <w:t xml:space="preserve"> producers showed highest sensitivity towards  tigecycline (100%) followed by polymyxin</w:t>
      </w:r>
      <w:r>
        <w:rPr>
          <w:rFonts w:ascii="Times New Roman" w:hAnsi="Times New Roman" w:cs="Times New Roman"/>
          <w:color w:val="000000" w:themeColor="text1"/>
          <w:sz w:val="24"/>
          <w:szCs w:val="24"/>
          <w14:textFill>
            <w14:solidFill>
              <w14:schemeClr w14:val="tx1"/>
            </w14:solidFill>
          </w14:textFill>
        </w:rPr>
        <w:t>b,</w:t>
      </w:r>
      <w:r>
        <w:rPr>
          <w:rFonts w:ascii="Times New Roman" w:hAnsi="Times New Roman" w:cs="Times New Roman"/>
          <w:sz w:val="24"/>
          <w:szCs w:val="24"/>
        </w:rPr>
        <w:t xml:space="preserve"> colistin and meropenem.Out of 215 phenotypically confirmed ESBL </w:t>
      </w:r>
      <w:r>
        <w:rPr>
          <w:rFonts w:ascii="Times New Roman" w:hAnsi="Times New Roman" w:cs="Times New Roman"/>
          <w:i/>
          <w:sz w:val="24"/>
          <w:szCs w:val="24"/>
        </w:rPr>
        <w:t>E.coli</w:t>
      </w:r>
      <w:r>
        <w:rPr>
          <w:rFonts w:ascii="Times New Roman" w:hAnsi="Times New Roman" w:cs="Times New Roman"/>
          <w:sz w:val="24"/>
          <w:szCs w:val="24"/>
        </w:rPr>
        <w:t xml:space="preserve">, only 186(86.51%) isolates were found to positive by PCR for either </w:t>
      </w:r>
      <w:r>
        <w:rPr>
          <w:rFonts w:ascii="Times New Roman" w:hAnsi="Times New Roman"/>
          <w:i/>
          <w:iCs/>
          <w:sz w:val="24"/>
          <w:szCs w:val="24"/>
        </w:rPr>
        <w:t>bla</w:t>
      </w:r>
      <w:r>
        <w:rPr>
          <w:rFonts w:ascii="Times New Roman" w:hAnsi="Times New Roman"/>
          <w:sz w:val="24"/>
          <w:szCs w:val="24"/>
          <w:vertAlign w:val="subscript"/>
        </w:rPr>
        <w:t xml:space="preserve">TEM </w:t>
      </w:r>
      <w:r>
        <w:rPr>
          <w:rFonts w:ascii="Times New Roman" w:hAnsi="Times New Roman"/>
          <w:sz w:val="24"/>
          <w:szCs w:val="24"/>
        </w:rPr>
        <w:t xml:space="preserve">or </w:t>
      </w:r>
      <w:r>
        <w:rPr>
          <w:rFonts w:ascii="Times New Roman" w:hAnsi="Times New Roman"/>
          <w:i/>
          <w:iCs/>
          <w:sz w:val="24"/>
          <w:szCs w:val="24"/>
        </w:rPr>
        <w:t>bla</w:t>
      </w:r>
      <w:r>
        <w:rPr>
          <w:rFonts w:ascii="Times New Roman" w:hAnsi="Times New Roman"/>
          <w:sz w:val="24"/>
          <w:szCs w:val="24"/>
          <w:vertAlign w:val="subscript"/>
        </w:rPr>
        <w:t xml:space="preserve">CTX-M </w:t>
      </w:r>
      <w:r>
        <w:rPr>
          <w:rFonts w:ascii="Times New Roman" w:hAnsi="Times New Roman" w:cs="Times New Roman"/>
          <w:sz w:val="24"/>
          <w:szCs w:val="24"/>
        </w:rPr>
        <w:t xml:space="preserve">genes. Among the ESBL genotypes, most common was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118(63.4%) followed by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68(36.6%).</w:t>
      </w:r>
    </w:p>
    <w:p>
      <w:pPr>
        <w:spacing w:after="0" w:line="480" w:lineRule="auto"/>
        <w:jc w:val="both"/>
        <w:rPr>
          <w:rFonts w:ascii="Times New Roman" w:hAnsi="Times New Roman" w:cs="Times New Roman"/>
          <w:sz w:val="24"/>
          <w:szCs w:val="24"/>
        </w:rPr>
      </w:pPr>
      <w:r>
        <w:rPr>
          <w:rFonts w:ascii="Times New Roman" w:hAnsi="Times New Roman"/>
          <w:b/>
          <w:sz w:val="24"/>
          <w:szCs w:val="24"/>
        </w:rPr>
        <w:t>Conclusion</w:t>
      </w:r>
      <w:r>
        <w:rPr>
          <w:rFonts w:ascii="Times New Roman" w:hAnsi="Times New Roman"/>
          <w:sz w:val="24"/>
          <w:szCs w:val="24"/>
        </w:rPr>
        <w:t>: T</w:t>
      </w:r>
      <w:r>
        <w:rPr>
          <w:rFonts w:ascii="Times New Roman" w:hAnsi="Times New Roman" w:cs="Times New Roman"/>
          <w:sz w:val="24"/>
          <w:szCs w:val="24"/>
        </w:rPr>
        <w:t xml:space="preserve">he emergence of MDR and ESBL producing </w:t>
      </w:r>
      <w:r>
        <w:rPr>
          <w:rFonts w:ascii="Times New Roman" w:hAnsi="Times New Roman" w:cs="Times New Roman"/>
          <w:i/>
          <w:sz w:val="24"/>
          <w:szCs w:val="24"/>
        </w:rPr>
        <w:t>E.coli</w:t>
      </w:r>
      <w:r>
        <w:rPr>
          <w:rFonts w:ascii="Times New Roman" w:hAnsi="Times New Roman" w:cs="Times New Roman"/>
          <w:sz w:val="24"/>
          <w:szCs w:val="24"/>
        </w:rPr>
        <w:t xml:space="preserve"> isolates with high antibiotic resistant rates to commonly used antibiotics and increased predominance of major gene types </w:t>
      </w:r>
      <w:r>
        <w:rPr>
          <w:rFonts w:ascii="Times New Roman" w:hAnsi="Times New Roman" w:cs="Times New Roman"/>
          <w:i/>
          <w:sz w:val="24"/>
          <w:szCs w:val="24"/>
        </w:rPr>
        <w:t>bla</w:t>
      </w:r>
      <w:r>
        <w:rPr>
          <w:rFonts w:ascii="Times New Roman" w:hAnsi="Times New Roman" w:cs="Times New Roman"/>
          <w:sz w:val="24"/>
          <w:szCs w:val="24"/>
          <w:vertAlign w:val="subscript"/>
        </w:rPr>
        <w:t xml:space="preserve">TEM </w:t>
      </w:r>
      <w:r>
        <w:rPr>
          <w:rFonts w:ascii="Times New Roman" w:hAnsi="Times New Roman" w:cs="Times New Roman"/>
          <w:sz w:val="24"/>
          <w:szCs w:val="24"/>
        </w:rPr>
        <w:t xml:space="preserve">is a serious concern to the clinicians as well as microbiologist. Periodic monitoring of antibiotic susceptibility and associated genes would help to guide rationale use of antibiotics for the treatment of predominant pathogen </w:t>
      </w:r>
      <w:r>
        <w:rPr>
          <w:rFonts w:ascii="Times New Roman" w:hAnsi="Times New Roman" w:cs="Times New Roman"/>
          <w:i/>
          <w:iCs/>
          <w:sz w:val="24"/>
          <w:szCs w:val="24"/>
        </w:rPr>
        <w:t>E. coli</w:t>
      </w:r>
      <w:r>
        <w:rPr>
          <w:rFonts w:ascii="Times New Roman" w:hAnsi="Times New Roman" w:cs="Times New Roman"/>
          <w:sz w:val="24"/>
          <w:szCs w:val="24"/>
        </w:rPr>
        <w:t xml:space="preserve"> in the hospitals and health care facilities of the communities.</w:t>
      </w:r>
    </w:p>
    <w:p>
      <w:pPr>
        <w:tabs>
          <w:tab w:val="left" w:pos="4025"/>
        </w:tabs>
        <w:spacing w:line="480" w:lineRule="auto"/>
        <w:jc w:val="both"/>
        <w:rPr>
          <w:rFonts w:ascii="Times New Roman" w:hAnsi="Times New Roman"/>
          <w:sz w:val="24"/>
          <w:szCs w:val="24"/>
        </w:rPr>
      </w:pPr>
      <w:r>
        <w:rPr>
          <w:rFonts w:ascii="Times New Roman" w:hAnsi="Times New Roman"/>
          <w:sz w:val="24"/>
          <w:szCs w:val="24"/>
        </w:rPr>
        <w:tab/>
      </w:r>
    </w:p>
    <w:p>
      <w:pPr>
        <w:spacing w:line="480" w:lineRule="auto"/>
        <w:jc w:val="both"/>
        <w:rPr>
          <w:rFonts w:ascii="Times New Roman" w:hAnsi="Times New Roman"/>
          <w:sz w:val="24"/>
          <w:szCs w:val="24"/>
        </w:rPr>
      </w:pPr>
      <w:r>
        <w:rPr>
          <w:rFonts w:ascii="Times New Roman" w:hAnsi="Times New Roman"/>
          <w:b/>
          <w:sz w:val="24"/>
          <w:szCs w:val="24"/>
        </w:rPr>
        <w:t>Keywords</w:t>
      </w:r>
      <w:r>
        <w:rPr>
          <w:rFonts w:ascii="Times New Roman" w:hAnsi="Times New Roman"/>
          <w:sz w:val="24"/>
          <w:szCs w:val="24"/>
        </w:rPr>
        <w:t xml:space="preserve">: </w:t>
      </w:r>
      <w:r>
        <w:rPr>
          <w:rFonts w:ascii="Times New Roman" w:hAnsi="Times New Roman"/>
          <w:i/>
          <w:sz w:val="24"/>
          <w:szCs w:val="24"/>
        </w:rPr>
        <w:t>Escherichia coli</w:t>
      </w:r>
      <w:r>
        <w:rPr>
          <w:rFonts w:ascii="Times New Roman" w:hAnsi="Times New Roman"/>
          <w:sz w:val="24"/>
          <w:szCs w:val="24"/>
        </w:rPr>
        <w:t>, Extended spectrum β-lactamase, Multi-drug resistance</w:t>
      </w:r>
    </w:p>
    <w:p>
      <w:pPr>
        <w:tabs>
          <w:tab w:val="left" w:pos="1560"/>
        </w:tabs>
        <w:spacing w:line="480" w:lineRule="auto"/>
        <w:jc w:val="both"/>
        <w:rPr>
          <w:rFonts w:ascii="Times New Roman" w:hAnsi="Times New Roman" w:cs="Times New Roman"/>
          <w:b/>
          <w:sz w:val="24"/>
          <w:szCs w:val="24"/>
        </w:rPr>
      </w:pPr>
    </w:p>
    <w:p>
      <w:pPr>
        <w:tabs>
          <w:tab w:val="left" w:pos="1560"/>
        </w:tabs>
        <w:spacing w:line="480" w:lineRule="auto"/>
        <w:jc w:val="both"/>
        <w:rPr>
          <w:rFonts w:ascii="Times New Roman" w:hAnsi="Times New Roman" w:cs="Times New Roman"/>
          <w:b/>
          <w:sz w:val="24"/>
          <w:szCs w:val="24"/>
        </w:rPr>
      </w:pPr>
    </w:p>
    <w:p>
      <w:pPr>
        <w:pStyle w:val="14"/>
        <w:numPr>
          <w:ilvl w:val="0"/>
          <w:numId w:val="1"/>
        </w:numPr>
        <w:spacing w:line="480" w:lineRule="auto"/>
        <w:ind w:left="360"/>
        <w:jc w:val="both"/>
        <w:rPr>
          <w:rFonts w:ascii="Times New Roman" w:hAnsi="Times New Roman"/>
          <w:b/>
          <w:sz w:val="24"/>
          <w:szCs w:val="24"/>
        </w:rPr>
      </w:pPr>
      <w:r>
        <w:rPr>
          <w:rFonts w:ascii="Times New Roman" w:hAnsi="Times New Roman"/>
          <w:b/>
          <w:sz w:val="24"/>
          <w:szCs w:val="24"/>
        </w:rPr>
        <w:t>INTRODUCTION</w:t>
      </w:r>
      <w:r>
        <w:rPr>
          <w:rFonts w:ascii="Times New Roman" w:hAnsi="Times New Roman"/>
          <w:b/>
          <w:sz w:val="24"/>
          <w:szCs w:val="24"/>
        </w:rPr>
        <w:tab/>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color w:val="FF0000"/>
          <w:sz w:val="24"/>
          <w:szCs w:val="24"/>
          <w:vertAlign w:val="superscript"/>
        </w:rPr>
      </w:pPr>
      <w:r>
        <w:rPr>
          <w:rFonts w:ascii="Times New Roman" w:hAnsi="Times New Roman" w:cs="Times New Roman"/>
          <w:sz w:val="24"/>
          <w:szCs w:val="24"/>
        </w:rPr>
        <w:t xml:space="preserve">Extended-spectrum  beta-lactamases  (ESBLs)  are  the  group  of  beta-lactamase enzymes, which hydrolyze and cause resistance to the oxyimino-cephalosporins (cefotaxime,ceftazidime,ceftriaxone,cefuroxime and cefepime) and  monobactams(aztreonam), but  not  the  cephamycins (cefoxitin and cefotetan) or carbapenems  (imipenem, meropenem,  and  ertapenem),  produced  by  </w:t>
      </w:r>
      <w:r>
        <w:rPr>
          <w:rFonts w:ascii="Times New Roman" w:hAnsi="Times New Roman" w:cs="Times New Roman"/>
          <w:i/>
          <w:sz w:val="24"/>
          <w:szCs w:val="24"/>
        </w:rPr>
        <w:t>Escherichia  coli</w:t>
      </w:r>
      <w:r>
        <w:rPr>
          <w:rFonts w:ascii="Times New Roman" w:hAnsi="Times New Roman" w:cs="Times New Roman"/>
          <w:sz w:val="24"/>
          <w:szCs w:val="24"/>
        </w:rPr>
        <w:t xml:space="preserve">  and  </w:t>
      </w:r>
      <w:r>
        <w:rPr>
          <w:rFonts w:ascii="Times New Roman" w:hAnsi="Times New Roman" w:cs="Times New Roman"/>
          <w:i/>
          <w:sz w:val="24"/>
          <w:szCs w:val="24"/>
        </w:rPr>
        <w:t>Klebsiella pneumoniae</w:t>
      </w:r>
      <w:r>
        <w:rPr>
          <w:rFonts w:ascii="Times New Roman" w:hAnsi="Times New Roman" w:cs="Times New Roman"/>
          <w:iCs/>
          <w:sz w:val="24"/>
          <w:szCs w:val="24"/>
        </w:rPr>
        <w:t>[1].</w:t>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b/>
          <w:sz w:val="24"/>
          <w:szCs w:val="24"/>
          <w:vertAlign w:val="superscript"/>
        </w:rPr>
      </w:pPr>
      <w:r>
        <w:rPr>
          <w:rFonts w:ascii="Times New Roman" w:hAnsi="Times New Roman" w:cs="Times New Roman"/>
          <w:sz w:val="24"/>
          <w:szCs w:val="24"/>
        </w:rPr>
        <w:t xml:space="preserve">Emergence of resistant bacteria worldwide is a threat to favorable outcomes of treatment of common infections in community and hospital settings. </w:t>
      </w:r>
      <w:r>
        <w:rPr>
          <w:rFonts w:ascii="Times New Roman" w:hAnsi="Times New Roman" w:cs="Times New Roman"/>
          <w:i/>
          <w:sz w:val="24"/>
          <w:szCs w:val="24"/>
        </w:rPr>
        <w:t>E.coli</w:t>
      </w:r>
      <w:r>
        <w:rPr>
          <w:rFonts w:ascii="Times New Roman" w:hAnsi="Times New Roman" w:cs="Times New Roman"/>
          <w:sz w:val="24"/>
          <w:szCs w:val="24"/>
        </w:rPr>
        <w:t xml:space="preserve"> is one of the commonest pathogen to exhibit multi-drug resistance. Important risk factors for infection with MDR and ESBL </w:t>
      </w:r>
      <w:r>
        <w:rPr>
          <w:rFonts w:ascii="Times New Roman" w:hAnsi="Times New Roman" w:cs="Times New Roman"/>
          <w:i/>
          <w:sz w:val="24"/>
          <w:szCs w:val="24"/>
        </w:rPr>
        <w:t>E. coli</w:t>
      </w:r>
      <w:r>
        <w:rPr>
          <w:rFonts w:ascii="Times New Roman" w:hAnsi="Times New Roman" w:cs="Times New Roman"/>
          <w:sz w:val="24"/>
          <w:szCs w:val="24"/>
        </w:rPr>
        <w:t xml:space="preserve"> are prolonged antibiotic exposure, overstay in hospital, increased use of third generation cephalosporins, severe illness, increased use of intravenous devices or catheters [2].</w:t>
      </w:r>
    </w:p>
    <w:p>
      <w:pPr>
        <w:spacing w:line="480" w:lineRule="auto"/>
        <w:jc w:val="both"/>
        <w:rPr>
          <w:rFonts w:ascii="Times New Roman" w:hAnsi="Times New Roman" w:cs="Times New Roman"/>
          <w:b/>
        </w:rPr>
      </w:pPr>
      <w:r>
        <w:rPr>
          <w:rFonts w:ascii="Times New Roman" w:hAnsi="Times New Roman" w:cs="Times New Roman"/>
          <w:sz w:val="24"/>
          <w:szCs w:val="24"/>
        </w:rPr>
        <w:t>ESBL was first detected during 1983-1990 from different countries [3].Distinct epidemic clones with TEM and SHV enzymes  have been found in Europe including SHV-12, CTX-M-9, CTX-M-3 andCTX-M-15 [4].</w:t>
      </w:r>
    </w:p>
    <w:p>
      <w:pPr>
        <w:spacing w:line="480" w:lineRule="auto"/>
        <w:jc w:val="both"/>
        <w:rPr>
          <w:rFonts w:ascii="Times New Roman" w:hAnsi="Times New Roman" w:cs="Times New Roman"/>
          <w:b/>
          <w:sz w:val="24"/>
          <w:szCs w:val="24"/>
        </w:rPr>
      </w:pPr>
      <w:r>
        <w:rPr>
          <w:rFonts w:ascii="Times New Roman" w:hAnsi="Times New Roman" w:cs="Times New Roman"/>
          <w:sz w:val="24"/>
          <w:szCs w:val="24"/>
        </w:rPr>
        <w:t>The prevalence of ESBL producing organisms is more than 20% in Asia and South Africa</w:t>
      </w:r>
      <w:r>
        <w:rPr>
          <w:rFonts w:ascii="Times New Roman" w:hAnsi="Times New Roman" w:cs="Times New Roman"/>
          <w:b/>
          <w:sz w:val="24"/>
          <w:szCs w:val="24"/>
        </w:rPr>
        <w:t>.</w:t>
      </w:r>
    </w:p>
    <w:p>
      <w:pPr>
        <w:spacing w:line="480" w:lineRule="auto"/>
        <w:jc w:val="both"/>
        <w:rPr>
          <w:rFonts w:ascii="Times New Roman" w:hAnsi="Times New Roman" w:cs="Times New Roman"/>
          <w:b/>
          <w:sz w:val="24"/>
          <w:szCs w:val="24"/>
        </w:rPr>
      </w:pP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Nepal also due to the increasing incidence of ESBL producing </w:t>
      </w:r>
      <w:r>
        <w:rPr>
          <w:rFonts w:ascii="Times New Roman" w:hAnsi="Times New Roman" w:cs="Times New Roman"/>
          <w:i/>
          <w:color w:val="000000" w:themeColor="text1"/>
          <w:sz w:val="24"/>
          <w:szCs w:val="24"/>
          <w14:textFill>
            <w14:solidFill>
              <w14:schemeClr w14:val="tx1"/>
            </w14:solidFill>
          </w14:textFill>
        </w:rPr>
        <w:t>E.</w:t>
      </w:r>
      <w:r>
        <w:rPr>
          <w:rFonts w:ascii="Times New Roman" w:hAnsi="Times New Roman" w:cs="Times New Roman"/>
          <w:i/>
          <w:sz w:val="24"/>
          <w:szCs w:val="24"/>
        </w:rPr>
        <w:t>coli</w:t>
      </w:r>
      <w:r>
        <w:rPr>
          <w:rFonts w:ascii="Times New Roman" w:hAnsi="Times New Roman" w:cs="Times New Roman"/>
          <w:sz w:val="24"/>
          <w:szCs w:val="24"/>
        </w:rPr>
        <w:t xml:space="preserve">, the cost associated with the treatment has increased. The detection of major genes such as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t>
      </w:r>
      <w:r>
        <w:rPr>
          <w:rFonts w:ascii="Times New Roman" w:hAnsi="Times New Roman" w:cs="Times New Roman"/>
          <w:i/>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and </w:t>
      </w:r>
      <w:r>
        <w:rPr>
          <w:rFonts w:ascii="Times New Roman" w:hAnsi="Times New Roman" w:cs="Times New Roman"/>
          <w:i/>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in ESBL producing </w:t>
      </w:r>
      <w:r>
        <w:rPr>
          <w:rFonts w:ascii="Times New Roman" w:hAnsi="Times New Roman" w:cs="Times New Roman"/>
          <w:i/>
          <w:sz w:val="24"/>
          <w:szCs w:val="24"/>
        </w:rPr>
        <w:t>E.coli</w:t>
      </w:r>
      <w:r>
        <w:rPr>
          <w:rFonts w:ascii="Times New Roman" w:hAnsi="Times New Roman" w:cs="Times New Roman"/>
          <w:sz w:val="24"/>
          <w:szCs w:val="24"/>
        </w:rPr>
        <w:t xml:space="preserve"> by molecular methods and their antibiotic resistance pattern can provide valuable information about their epidemiology and help in formulation of rational antimicrobial therapy [5].Therefore, this study was conducted with the objectives of determining the spectrum of MDR and ESBL </w:t>
      </w:r>
      <w:r>
        <w:rPr>
          <w:rFonts w:ascii="Times New Roman" w:hAnsi="Times New Roman" w:cs="Times New Roman"/>
          <w:i/>
          <w:sz w:val="24"/>
          <w:szCs w:val="24"/>
        </w:rPr>
        <w:t>E. coli</w:t>
      </w:r>
      <w:r>
        <w:rPr>
          <w:rFonts w:ascii="Times New Roman" w:hAnsi="Times New Roman" w:cs="Times New Roman"/>
          <w:sz w:val="24"/>
          <w:szCs w:val="24"/>
        </w:rPr>
        <w:t xml:space="preserve"> producing strains and molecular characterization of these resistant genes. Characterization of ESBL </w:t>
      </w:r>
      <w:r>
        <w:rPr>
          <w:rFonts w:ascii="Times New Roman" w:hAnsi="Times New Roman" w:cs="Times New Roman"/>
          <w:i/>
          <w:color w:val="000000" w:themeColor="text1"/>
          <w:sz w:val="24"/>
          <w:szCs w:val="24"/>
          <w14:textFill>
            <w14:solidFill>
              <w14:schemeClr w14:val="tx1"/>
            </w14:solidFill>
          </w14:textFill>
        </w:rPr>
        <w:t>E.</w:t>
      </w:r>
      <w:r>
        <w:rPr>
          <w:rFonts w:ascii="Times New Roman" w:hAnsi="Times New Roman" w:cs="Times New Roman"/>
          <w:i/>
          <w:sz w:val="24"/>
          <w:szCs w:val="24"/>
        </w:rPr>
        <w:t>coli</w:t>
      </w:r>
      <w:r>
        <w:rPr>
          <w:rFonts w:ascii="Times New Roman" w:hAnsi="Times New Roman" w:cs="Times New Roman"/>
          <w:sz w:val="24"/>
          <w:szCs w:val="24"/>
        </w:rPr>
        <w:t xml:space="preserve"> at molecular level would be useful for the development of better treatment strategy and prevention of the disease. </w:t>
      </w:r>
    </w:p>
    <w:p>
      <w:pPr>
        <w:tabs>
          <w:tab w:val="left" w:pos="3625"/>
        </w:tabs>
        <w:spacing w:line="480" w:lineRule="auto"/>
        <w:jc w:val="both"/>
        <w:rPr>
          <w:rFonts w:ascii="Times New Roman" w:hAnsi="Times New Roman" w:cs="Times New Roman"/>
          <w:b/>
          <w:sz w:val="24"/>
          <w:szCs w:val="24"/>
        </w:rPr>
      </w:pPr>
      <w:r>
        <w:rPr>
          <w:rFonts w:ascii="Times New Roman" w:hAnsi="Times New Roman" w:cs="Times New Roman"/>
          <w:b/>
          <w:sz w:val="24"/>
          <w:szCs w:val="24"/>
        </w:rPr>
        <w:t>2. MATERIALS AND METHODS</w:t>
      </w:r>
      <w:r>
        <w:rPr>
          <w:rFonts w:ascii="Times New Roman" w:hAnsi="Times New Roman" w:cs="Times New Roman"/>
          <w:b/>
          <w:sz w:val="24"/>
          <w:szCs w:val="24"/>
        </w:rPr>
        <w:tab/>
      </w:r>
    </w:p>
    <w:p>
      <w:pPr>
        <w:tabs>
          <w:tab w:val="left" w:pos="3625"/>
        </w:tabs>
        <w:spacing w:line="480" w:lineRule="auto"/>
        <w:jc w:val="both"/>
        <w:rPr>
          <w:rFonts w:ascii="Times New Roman" w:hAnsi="Times New Roman" w:cs="Times New Roman"/>
          <w:b/>
          <w:sz w:val="24"/>
          <w:szCs w:val="24"/>
        </w:rPr>
      </w:pPr>
      <w:r>
        <w:rPr>
          <w:rFonts w:ascii="Times New Roman" w:hAnsi="Times New Roman" w:cs="Times New Roman"/>
          <w:b/>
          <w:sz w:val="24"/>
          <w:szCs w:val="24"/>
        </w:rPr>
        <w:t>2.1 Sample Processing and Identification of Bacteria</w:t>
      </w:r>
    </w:p>
    <w:p>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A cross sectional study was conducted in Microbiology Laboratory of Nepal Mediciti Hospital, Bhaisepati; Nepal from September 2018 to April 2020. The ethical approval was obtained from the Ethical Review Board of Nepal Health Research Council (NHRC), Kathmandu, Nepal. A total of 16542 clinical samples sent to the microbiology laboratory were processed and cultured following standard microbiological techniques. </w:t>
      </w:r>
      <w:r>
        <w:rPr>
          <w:rFonts w:ascii="Times New Roman" w:hAnsi="Times New Roman" w:eastAsia="Times New Roman" w:cs="Times New Roman"/>
          <w:sz w:val="24"/>
          <w:szCs w:val="24"/>
        </w:rPr>
        <w:t xml:space="preserve">The identification of bacterial isolates </w:t>
      </w:r>
      <w:r>
        <w:rPr>
          <w:rFonts w:ascii="Times New Roman" w:hAnsi="Times New Roman" w:cs="Times New Roman"/>
          <w:sz w:val="24"/>
          <w:szCs w:val="24"/>
        </w:rPr>
        <w:t xml:space="preserve">were carried out by cultural and morphological characters, Gram stain and </w:t>
      </w:r>
      <w:r>
        <w:rPr>
          <w:rFonts w:ascii="Times New Roman" w:hAnsi="Times New Roman" w:eastAsia="Times New Roman" w:cs="Times New Roman"/>
          <w:sz w:val="24"/>
          <w:szCs w:val="24"/>
        </w:rPr>
        <w:t>biochemical tests</w:t>
      </w:r>
      <w:r>
        <w:rPr>
          <w:rFonts w:ascii="Times New Roman" w:hAnsi="Times New Roman" w:cs="Times New Roman"/>
          <w:sz w:val="24"/>
          <w:szCs w:val="24"/>
        </w:rPr>
        <w:t xml:space="preserve"> (triple sugar iron, indole, citrate, urease and motility).</w:t>
      </w:r>
    </w:p>
    <w:p>
      <w:pPr>
        <w:spacing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2.2 Antibiotic Susceptibility Tests</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Antibiotic susceptibility testing was performed by modified Kirby-Bauer disc diffusion method as recommended by Clinical and Laboratory Standard Institute guideline</w:t>
      </w:r>
      <w:r>
        <w:rPr>
          <w:rFonts w:ascii="Times New Roman" w:hAnsi="Times New Roman" w:cs="Times New Roman"/>
          <w:b/>
          <w:sz w:val="24"/>
          <w:szCs w:val="24"/>
        </w:rPr>
        <w:t xml:space="preserve">. </w:t>
      </w:r>
      <w:r>
        <w:rPr>
          <w:rFonts w:ascii="Times New Roman" w:hAnsi="Times New Roman" w:cs="Times New Roman"/>
          <w:bCs/>
          <w:sz w:val="24"/>
          <w:szCs w:val="24"/>
        </w:rPr>
        <w:t>The antibiotics used</w:t>
      </w:r>
      <w:r>
        <w:rPr>
          <w:rFonts w:ascii="Times New Roman" w:hAnsi="Times New Roman" w:cs="Times New Roman"/>
          <w:sz w:val="24"/>
          <w:szCs w:val="24"/>
        </w:rPr>
        <w:t xml:space="preserve"> were amikacin (30µg), gentamycin (10µg), ciprofloxacin (30µg), ceftriaxone (30µg), cefotaxime (30µg), ceftazidime (30µg), nitrofurantoin (300µg), norfloxacin (10µg), nalidixicacid (30µg) ofloxacin (5µg), cotrimoxazole (25µg),cefixime (5µg), cefepime (30µg), tigecycline (15µg), imipenem (10µg), meropenem (10µg), polymyxin b (300µg) and colistin (10µg). Plates were incubated aerobically at 37°C for 24 hours. Zone diameter in millimeters was measured and organisms were identified as sensitive, resistant and intermediate as per CLSI 2022 guidelines [6]. </w:t>
      </w:r>
      <w:r>
        <w:rPr>
          <w:rFonts w:ascii="Times New Roman" w:hAnsi="Times New Roman" w:cs="Times New Roman"/>
          <w:i/>
          <w:color w:val="000000" w:themeColor="text1"/>
          <w:sz w:val="24"/>
          <w:szCs w:val="24"/>
          <w14:textFill>
            <w14:solidFill>
              <w14:schemeClr w14:val="tx1"/>
            </w14:solidFill>
          </w14:textFill>
        </w:rPr>
        <w:t>E.</w:t>
      </w:r>
      <w:r>
        <w:rPr>
          <w:rFonts w:ascii="Times New Roman" w:hAnsi="Times New Roman" w:cs="Times New Roman"/>
          <w:i/>
          <w:sz w:val="24"/>
          <w:szCs w:val="24"/>
        </w:rPr>
        <w:t>coli</w:t>
      </w:r>
      <w:r>
        <w:rPr>
          <w:rFonts w:ascii="Times New Roman" w:hAnsi="Times New Roman" w:cs="Times New Roman"/>
          <w:sz w:val="24"/>
          <w:szCs w:val="24"/>
        </w:rPr>
        <w:t xml:space="preserve"> strain ATCC 25922 was used as control strain.</w:t>
      </w:r>
    </w:p>
    <w:p>
      <w:pPr>
        <w:tabs>
          <w:tab w:val="center" w:pos="468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2.3 Screening of ESBL </w:t>
      </w:r>
    </w:p>
    <w:p>
      <w:pPr>
        <w:tabs>
          <w:tab w:val="center" w:pos="4680"/>
        </w:tabs>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The screening was done by disc diffusion technique using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generation cephalosporins (ceftazidime, cefotaxime and ceftriaxone). Isolates resistant to more than one of these agents were identified as possible ESBL producers [6].</w:t>
      </w:r>
    </w:p>
    <w:p>
      <w:pPr>
        <w:tabs>
          <w:tab w:val="center" w:pos="4680"/>
        </w:tabs>
        <w:spacing w:line="480" w:lineRule="auto"/>
        <w:jc w:val="both"/>
        <w:rPr>
          <w:rFonts w:ascii="Times New Roman" w:hAnsi="Times New Roman" w:cs="Times New Roman"/>
          <w:b/>
          <w:sz w:val="24"/>
          <w:szCs w:val="24"/>
        </w:rPr>
      </w:pPr>
      <w:r>
        <w:rPr>
          <w:rFonts w:ascii="Times New Roman" w:hAnsi="Times New Roman" w:cs="Times New Roman"/>
          <w:b/>
          <w:sz w:val="24"/>
          <w:szCs w:val="24"/>
        </w:rPr>
        <w:t>2.4 Confirmation of ESBL</w:t>
      </w:r>
    </w:p>
    <w:p>
      <w:pPr>
        <w:tabs>
          <w:tab w:val="center" w:pos="4680"/>
        </w:tabs>
        <w:spacing w:line="480" w:lineRule="auto"/>
        <w:jc w:val="both"/>
        <w:rPr>
          <w:rFonts w:ascii="Times New Roman" w:hAnsi="Times New Roman" w:cs="Times New Roman"/>
          <w:sz w:val="24"/>
          <w:szCs w:val="24"/>
        </w:rPr>
      </w:pPr>
      <w:r>
        <w:rPr>
          <w:rFonts w:ascii="Times New Roman" w:hAnsi="Times New Roman" w:cs="Times New Roman"/>
          <w:sz w:val="24"/>
          <w:szCs w:val="24"/>
        </w:rPr>
        <w:t>For confirmation, combined disc test was performed using ceftazidime (30µg) alone and ceftazidime with clavulanic acid (30µg/10µg) and cefotaxime (30µg) and cefotaxime with clavulanic acid (30µg/10µg).A difference in zone of inhibition by ≥5mm of either of ceftazidime clavulanic acid with ceftazidime alone and cefotaxime clavulanic acid with cefotaxime alone was interpreted as confirmed ESBL [6].</w:t>
      </w:r>
    </w:p>
    <w:p>
      <w:pPr>
        <w:tabs>
          <w:tab w:val="center" w:pos="4680"/>
        </w:tabs>
        <w:spacing w:line="480" w:lineRule="auto"/>
        <w:jc w:val="both"/>
        <w:rPr>
          <w:rFonts w:ascii="Times New Roman" w:hAnsi="Times New Roman" w:cs="Times New Roman"/>
          <w:b/>
          <w:sz w:val="24"/>
          <w:szCs w:val="24"/>
        </w:rPr>
      </w:pPr>
      <w:r>
        <w:rPr>
          <w:rFonts w:ascii="Times New Roman" w:hAnsi="Times New Roman" w:cs="Times New Roman"/>
          <w:b/>
          <w:sz w:val="24"/>
          <w:szCs w:val="24"/>
        </w:rPr>
        <w:t>2.5 Gene Detection</w:t>
      </w:r>
    </w:p>
    <w:p>
      <w:pPr>
        <w:tabs>
          <w:tab w:val="left" w:pos="3453"/>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confirmed ESBL </w:t>
      </w:r>
      <w:r>
        <w:rPr>
          <w:rFonts w:ascii="Times New Roman" w:hAnsi="Times New Roman" w:cs="Times New Roman"/>
          <w:i/>
          <w:iCs/>
          <w:sz w:val="24"/>
          <w:szCs w:val="24"/>
        </w:rPr>
        <w:t>E.coli</w:t>
      </w:r>
      <w:r>
        <w:rPr>
          <w:rFonts w:ascii="Times New Roman" w:hAnsi="Times New Roman" w:cs="Times New Roman"/>
          <w:sz w:val="24"/>
          <w:szCs w:val="24"/>
        </w:rPr>
        <w:t xml:space="preserve">, plasmid DNA was extracted using alkaline hydrolysis method. These plasmid DNA were used as a template for PCR amplification using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and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specific primers(Marcogen,Korea). For PCR amplification, 1.5µl plasmid DNA was added to 25 µl mixture containing 13 µl master mixture (Solis Biodyne,Estonia),10.5µl nuclease free water and 0.5µl each of reverse and forward primers</w:t>
      </w:r>
      <w:r>
        <w:rPr>
          <w:rFonts w:ascii="Times New Roman" w:hAnsi="Times New Roman" w:cs="Times New Roman"/>
          <w:b/>
          <w:sz w:val="24"/>
          <w:szCs w:val="24"/>
        </w:rPr>
        <w:t>.</w:t>
      </w:r>
      <w:r>
        <w:rPr>
          <w:rFonts w:ascii="Times New Roman" w:hAnsi="Times New Roman" w:cs="Times New Roman"/>
          <w:sz w:val="24"/>
          <w:szCs w:val="24"/>
        </w:rPr>
        <w:t xml:space="preserve">PCR was performed in 5 Prime/02 thermal cycler using optimized condition(Bibby Scientific,U.K.). For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gene identification, initial denaturation at 94</w:t>
      </w:r>
      <w:r>
        <w:rPr>
          <w:rFonts w:ascii="Times New Roman" w:hAnsi="Times New Roman" w:cs="Times New Roman"/>
          <w:sz w:val="24"/>
          <w:szCs w:val="24"/>
          <w:vertAlign w:val="superscript"/>
        </w:rPr>
        <w:t>o</w:t>
      </w:r>
      <w:r>
        <w:rPr>
          <w:rFonts w:ascii="Times New Roman" w:hAnsi="Times New Roman" w:cs="Times New Roman"/>
          <w:sz w:val="24"/>
          <w:szCs w:val="24"/>
        </w:rPr>
        <w:t>C for 5 minutes followed by 30 cycles of each of denaturation (95</w:t>
      </w:r>
      <w:r>
        <w:rPr>
          <w:rFonts w:ascii="Times New Roman" w:hAnsi="Times New Roman" w:cs="Times New Roman"/>
          <w:sz w:val="24"/>
          <w:szCs w:val="24"/>
          <w:vertAlign w:val="superscript"/>
        </w:rPr>
        <w:t>o</w:t>
      </w:r>
      <w:r>
        <w:rPr>
          <w:rFonts w:ascii="Times New Roman" w:hAnsi="Times New Roman" w:cs="Times New Roman"/>
          <w:sz w:val="24"/>
          <w:szCs w:val="24"/>
        </w:rPr>
        <w:t>C for 45 seconds), annealing  (50</w:t>
      </w:r>
      <w:r>
        <w:rPr>
          <w:rFonts w:ascii="Times New Roman" w:hAnsi="Times New Roman" w:cs="Times New Roman"/>
          <w:sz w:val="24"/>
          <w:szCs w:val="24"/>
          <w:vertAlign w:val="superscript"/>
        </w:rPr>
        <w:t>o</w:t>
      </w:r>
      <w:r>
        <w:rPr>
          <w:rFonts w:ascii="Times New Roman" w:hAnsi="Times New Roman" w:cs="Times New Roman"/>
          <w:sz w:val="24"/>
          <w:szCs w:val="24"/>
        </w:rPr>
        <w:t>C for 45 seconds), and extension  (72</w:t>
      </w:r>
      <w:r>
        <w:rPr>
          <w:rFonts w:ascii="Times New Roman" w:hAnsi="Times New Roman" w:cs="Times New Roman"/>
          <w:sz w:val="24"/>
          <w:szCs w:val="24"/>
          <w:vertAlign w:val="superscript"/>
        </w:rPr>
        <w:t>o</w:t>
      </w:r>
      <w:r>
        <w:rPr>
          <w:rFonts w:ascii="Times New Roman" w:hAnsi="Times New Roman" w:cs="Times New Roman"/>
          <w:sz w:val="24"/>
          <w:szCs w:val="24"/>
        </w:rPr>
        <w:t>C for 30 seconds), and final extension  (72</w:t>
      </w:r>
      <w:r>
        <w:rPr>
          <w:rFonts w:ascii="Times New Roman" w:hAnsi="Times New Roman" w:cs="Times New Roman"/>
          <w:sz w:val="24"/>
          <w:szCs w:val="24"/>
          <w:vertAlign w:val="superscript"/>
        </w:rPr>
        <w:t>o</w:t>
      </w:r>
      <w:r>
        <w:rPr>
          <w:rFonts w:ascii="Times New Roman" w:hAnsi="Times New Roman" w:cs="Times New Roman"/>
          <w:sz w:val="24"/>
          <w:szCs w:val="24"/>
        </w:rPr>
        <w:t xml:space="preserve">C for 10 minutes).For </w:t>
      </w:r>
      <w:r>
        <w:rPr>
          <w:rFonts w:ascii="Times New Roman" w:hAnsi="Times New Roman" w:cs="Times New Roman"/>
          <w:i/>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and </w:t>
      </w:r>
      <w:r>
        <w:rPr>
          <w:rFonts w:ascii="Times New Roman" w:hAnsi="Times New Roman" w:cs="Times New Roman"/>
          <w:i/>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genes, initial denaturation at 94</w:t>
      </w:r>
      <w:r>
        <w:rPr>
          <w:rFonts w:ascii="Times New Roman" w:hAnsi="Times New Roman" w:cs="Times New Roman"/>
          <w:sz w:val="24"/>
          <w:szCs w:val="24"/>
          <w:vertAlign w:val="superscript"/>
        </w:rPr>
        <w:t>o</w:t>
      </w:r>
      <w:r>
        <w:rPr>
          <w:rFonts w:ascii="Times New Roman" w:hAnsi="Times New Roman" w:cs="Times New Roman"/>
          <w:sz w:val="24"/>
          <w:szCs w:val="24"/>
        </w:rPr>
        <w:t>C for 5 minutes followed by 30 cycles of each of denaturation at95</w:t>
      </w:r>
      <w:r>
        <w:rPr>
          <w:rFonts w:ascii="Times New Roman" w:hAnsi="Times New Roman" w:cs="Times New Roman"/>
          <w:sz w:val="24"/>
          <w:szCs w:val="24"/>
          <w:vertAlign w:val="superscript"/>
        </w:rPr>
        <w:t>o</w:t>
      </w:r>
      <w:r>
        <w:rPr>
          <w:rFonts w:ascii="Times New Roman" w:hAnsi="Times New Roman" w:cs="Times New Roman"/>
          <w:sz w:val="24"/>
          <w:szCs w:val="24"/>
        </w:rPr>
        <w:t>C for 45 seconds, annealing at 56</w:t>
      </w:r>
      <w:r>
        <w:rPr>
          <w:rFonts w:ascii="Times New Roman" w:hAnsi="Times New Roman" w:cs="Times New Roman"/>
          <w:sz w:val="24"/>
          <w:szCs w:val="24"/>
          <w:vertAlign w:val="superscript"/>
        </w:rPr>
        <w:t>o</w:t>
      </w:r>
      <w:r>
        <w:rPr>
          <w:rFonts w:ascii="Times New Roman" w:hAnsi="Times New Roman" w:cs="Times New Roman"/>
          <w:sz w:val="24"/>
          <w:szCs w:val="24"/>
        </w:rPr>
        <w:t>C for 45 seconds and 62</w:t>
      </w:r>
      <w:r>
        <w:rPr>
          <w:rFonts w:ascii="Times New Roman" w:hAnsi="Times New Roman" w:cs="Times New Roman"/>
          <w:sz w:val="24"/>
          <w:szCs w:val="24"/>
          <w:vertAlign w:val="superscript"/>
        </w:rPr>
        <w:t>o</w:t>
      </w:r>
      <w:r>
        <w:rPr>
          <w:rFonts w:ascii="Times New Roman" w:hAnsi="Times New Roman" w:cs="Times New Roman"/>
          <w:sz w:val="24"/>
          <w:szCs w:val="24"/>
        </w:rPr>
        <w:t>C for 45 seconds respectively, and extension at 72</w:t>
      </w:r>
      <w:r>
        <w:rPr>
          <w:rFonts w:ascii="Times New Roman" w:hAnsi="Times New Roman" w:cs="Times New Roman"/>
          <w:sz w:val="24"/>
          <w:szCs w:val="24"/>
          <w:vertAlign w:val="superscript"/>
        </w:rPr>
        <w:t>o</w:t>
      </w:r>
      <w:r>
        <w:rPr>
          <w:rFonts w:ascii="Times New Roman" w:hAnsi="Times New Roman" w:cs="Times New Roman"/>
          <w:sz w:val="24"/>
          <w:szCs w:val="24"/>
        </w:rPr>
        <w:t>C for 30 seconds, and final extension at 72</w:t>
      </w:r>
      <w:r>
        <w:rPr>
          <w:rFonts w:ascii="Times New Roman" w:hAnsi="Times New Roman" w:cs="Times New Roman"/>
          <w:sz w:val="24"/>
          <w:szCs w:val="24"/>
          <w:vertAlign w:val="superscript"/>
        </w:rPr>
        <w:t>o</w:t>
      </w:r>
      <w:r>
        <w:rPr>
          <w:rFonts w:ascii="Times New Roman" w:hAnsi="Times New Roman" w:cs="Times New Roman"/>
          <w:sz w:val="24"/>
          <w:szCs w:val="24"/>
        </w:rPr>
        <w:t>C for 10 minutes.The amplified product was subjected to gel electrophoresis (2% gel stained with ethidium bromide) at 70V for 45 minutes.DNA ladder of 100bp was used to estimate the molecular weight of amplified products.</w:t>
      </w:r>
    </w:p>
    <w:p>
      <w:pPr>
        <w:tabs>
          <w:tab w:val="left" w:pos="1508"/>
        </w:tabs>
        <w:spacing w:line="480" w:lineRule="auto"/>
        <w:jc w:val="both"/>
        <w:rPr>
          <w:rFonts w:ascii="Times New Roman" w:hAnsi="Times New Roman" w:cs="Times New Roman"/>
          <w:b/>
          <w:sz w:val="24"/>
          <w:szCs w:val="24"/>
        </w:rPr>
      </w:pPr>
      <w:r>
        <w:rPr>
          <w:rFonts w:ascii="Times New Roman" w:hAnsi="Times New Roman" w:cs="Times New Roman"/>
          <w:b/>
          <w:sz w:val="24"/>
          <w:szCs w:val="24"/>
        </w:rPr>
        <w:t>2.6 Control of the Phenotypic Tests and PCR</w:t>
      </w:r>
      <w:r>
        <w:rPr>
          <w:rFonts w:ascii="Times New Roman" w:hAnsi="Times New Roman" w:cs="Times New Roman"/>
          <w:b/>
          <w:sz w:val="24"/>
          <w:szCs w:val="24"/>
        </w:rPr>
        <w:tab/>
      </w:r>
    </w:p>
    <w:p>
      <w:pPr>
        <w:tabs>
          <w:tab w:val="left" w:pos="3453"/>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ESBL test, </w:t>
      </w:r>
      <w:r>
        <w:rPr>
          <w:rFonts w:ascii="Times New Roman" w:hAnsi="Times New Roman" w:cs="Times New Roman"/>
          <w:i/>
          <w:iCs/>
          <w:sz w:val="24"/>
          <w:szCs w:val="24"/>
        </w:rPr>
        <w:t xml:space="preserve">E. coli </w:t>
      </w:r>
      <w:r>
        <w:rPr>
          <w:rFonts w:ascii="Times New Roman" w:hAnsi="Times New Roman" w:cs="Times New Roman"/>
          <w:sz w:val="24"/>
          <w:szCs w:val="24"/>
        </w:rPr>
        <w:t xml:space="preserve">(ATCC 25922), </w:t>
      </w:r>
      <w:r>
        <w:rPr>
          <w:rFonts w:ascii="Times New Roman" w:hAnsi="Times New Roman" w:cs="Times New Roman"/>
          <w:i/>
          <w:iCs/>
          <w:sz w:val="24"/>
          <w:szCs w:val="24"/>
        </w:rPr>
        <w:t>Klebsiella</w:t>
      </w:r>
      <w:r>
        <w:rPr>
          <w:rFonts w:ascii="Times New Roman" w:hAnsi="Times New Roman" w:cs="Times New Roman"/>
          <w:i/>
          <w:sz w:val="24"/>
          <w:szCs w:val="24"/>
        </w:rPr>
        <w:t xml:space="preserve"> pneumoniae </w:t>
      </w:r>
      <w:r>
        <w:rPr>
          <w:rFonts w:ascii="Times New Roman" w:hAnsi="Times New Roman" w:cs="Times New Roman"/>
          <w:sz w:val="24"/>
          <w:szCs w:val="24"/>
        </w:rPr>
        <w:t>(ATCC 700603) were taken as negative control and positive control respectively</w:t>
      </w:r>
      <w:r>
        <w:rPr>
          <w:rFonts w:ascii="Times New Roman" w:hAnsi="Times New Roman" w:cs="Times New Roman"/>
          <w:i/>
          <w:sz w:val="24"/>
          <w:szCs w:val="24"/>
        </w:rPr>
        <w:t>.</w:t>
      </w:r>
      <w:r>
        <w:rPr>
          <w:rFonts w:ascii="Times New Roman" w:hAnsi="Times New Roman" w:cs="Times New Roman"/>
          <w:sz w:val="24"/>
          <w:szCs w:val="24"/>
        </w:rPr>
        <w:t xml:space="preserve">Confirmed </w:t>
      </w:r>
      <w:r>
        <w:rPr>
          <w:rFonts w:ascii="Times New Roman" w:hAnsi="Times New Roman" w:cs="Times New Roman"/>
          <w:i/>
          <w:sz w:val="24"/>
          <w:szCs w:val="24"/>
        </w:rPr>
        <w:t>E. coli</w:t>
      </w:r>
      <w:r>
        <w:rPr>
          <w:rFonts w:ascii="Times New Roman" w:hAnsi="Times New Roman" w:cs="Times New Roman"/>
          <w:sz w:val="24"/>
          <w:szCs w:val="24"/>
        </w:rPr>
        <w:t xml:space="preserve"> strains harbouring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t>
      </w:r>
      <w:r>
        <w:rPr>
          <w:rFonts w:ascii="Times New Roman" w:hAnsi="Times New Roman" w:cs="Times New Roman"/>
          <w:i/>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and </w:t>
      </w:r>
      <w:r>
        <w:rPr>
          <w:rFonts w:ascii="Times New Roman" w:hAnsi="Times New Roman" w:cs="Times New Roman"/>
          <w:i/>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were taken as positive control and nuclease free water as negative control.</w:t>
      </w:r>
    </w:p>
    <w:p>
      <w:pPr>
        <w:tabs>
          <w:tab w:val="left" w:pos="3453"/>
        </w:tabs>
        <w:spacing w:line="480" w:lineRule="auto"/>
        <w:jc w:val="both"/>
        <w:rPr>
          <w:rFonts w:ascii="Times New Roman" w:hAnsi="Times New Roman" w:cs="Times New Roman"/>
          <w:b/>
          <w:sz w:val="24"/>
          <w:szCs w:val="24"/>
        </w:rPr>
      </w:pPr>
      <w:r>
        <w:rPr>
          <w:rFonts w:ascii="Times New Roman" w:hAnsi="Times New Roman" w:cs="Times New Roman"/>
          <w:b/>
          <w:sz w:val="24"/>
          <w:szCs w:val="24"/>
        </w:rPr>
        <w:t>2.7 Statistical Analysis</w:t>
      </w:r>
    </w:p>
    <w:p>
      <w:pPr>
        <w:tabs>
          <w:tab w:val="left" w:pos="3453"/>
        </w:tabs>
        <w:spacing w:line="480" w:lineRule="auto"/>
        <w:jc w:val="both"/>
        <w:rPr>
          <w:rFonts w:ascii="Times New Roman" w:hAnsi="Times New Roman" w:cs="Times New Roman"/>
          <w:sz w:val="24"/>
          <w:szCs w:val="24"/>
        </w:rPr>
      </w:pPr>
      <w:r>
        <w:rPr>
          <w:rFonts w:ascii="Times New Roman" w:hAnsi="Times New Roman" w:cs="Times New Roman"/>
          <w:sz w:val="24"/>
          <w:szCs w:val="24"/>
        </w:rPr>
        <w:t>Data were entered and percentage calculations were analyzed using Statistical Package for Social Science (SPSS) version 21.</w:t>
      </w:r>
    </w:p>
    <w:p>
      <w:pPr>
        <w:tabs>
          <w:tab w:val="left" w:pos="3453"/>
        </w:tabs>
        <w:spacing w:line="480" w:lineRule="auto"/>
        <w:jc w:val="both"/>
        <w:rPr>
          <w:rFonts w:ascii="Times New Roman" w:hAnsi="Times New Roman" w:cs="Times New Roman"/>
          <w:b/>
          <w:sz w:val="24"/>
          <w:szCs w:val="24"/>
        </w:rPr>
      </w:pPr>
      <w:r>
        <w:rPr>
          <w:rFonts w:ascii="Times New Roman" w:hAnsi="Times New Roman" w:cs="Times New Roman"/>
          <w:b/>
          <w:sz w:val="24"/>
          <w:szCs w:val="24"/>
        </w:rPr>
        <w:t>3. RESULTS</w:t>
      </w:r>
    </w:p>
    <w:p>
      <w:pPr>
        <w:tabs>
          <w:tab w:val="left" w:pos="149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1449 </w:t>
      </w:r>
      <w:r>
        <w:rPr>
          <w:rFonts w:ascii="Times New Roman" w:hAnsi="Times New Roman" w:cs="Times New Roman"/>
          <w:i/>
          <w:iCs/>
          <w:sz w:val="24"/>
          <w:szCs w:val="24"/>
        </w:rPr>
        <w:t>E. coli</w:t>
      </w:r>
      <w:r>
        <w:rPr>
          <w:rFonts w:ascii="Times New Roman" w:hAnsi="Times New Roman" w:cs="Times New Roman"/>
          <w:sz w:val="24"/>
          <w:szCs w:val="24"/>
        </w:rPr>
        <w:t xml:space="preserve"> isolates were recovered from various clinical samples. </w:t>
      </w:r>
      <w:r>
        <w:rPr>
          <w:rFonts w:ascii="Times New Roman" w:hAnsi="Times New Roman"/>
          <w:sz w:val="24"/>
          <w:szCs w:val="24"/>
        </w:rPr>
        <w:t xml:space="preserve">The highest number of </w:t>
      </w:r>
      <w:r>
        <w:rPr>
          <w:rFonts w:ascii="Times New Roman" w:hAnsi="Times New Roman"/>
          <w:i/>
          <w:iCs/>
          <w:sz w:val="24"/>
          <w:szCs w:val="24"/>
        </w:rPr>
        <w:t>E. coli</w:t>
      </w:r>
      <w:r>
        <w:rPr>
          <w:rFonts w:ascii="Times New Roman" w:hAnsi="Times New Roman"/>
          <w:sz w:val="24"/>
          <w:szCs w:val="24"/>
        </w:rPr>
        <w:t xml:space="preserve"> was isolated from urine followed by sputum,swab,pus,blood,fluid,foley’s tip,vaginal swab, catheter tip,BAL,biopsy,bile suction tube,CVP tip,ET tube.</w:t>
      </w:r>
      <w:r>
        <w:rPr>
          <w:rFonts w:ascii="Times New Roman" w:hAnsi="Times New Roman" w:cs="Times New Roman"/>
          <w:sz w:val="24"/>
          <w:szCs w:val="24"/>
        </w:rPr>
        <w:t xml:space="preserve"> Of the 1449 total </w:t>
      </w:r>
      <w:r>
        <w:rPr>
          <w:rFonts w:ascii="Times New Roman" w:hAnsi="Times New Roman" w:cs="Times New Roman"/>
          <w:i/>
          <w:sz w:val="24"/>
          <w:szCs w:val="24"/>
        </w:rPr>
        <w:t>E. coli</w:t>
      </w:r>
      <w:r>
        <w:rPr>
          <w:rFonts w:ascii="Times New Roman" w:hAnsi="Times New Roman" w:cs="Times New Roman"/>
          <w:sz w:val="24"/>
          <w:szCs w:val="24"/>
        </w:rPr>
        <w:t xml:space="preserve"> isolates, 323/1449(22.29%) isolates were multi-drug resistance.Among total MDR </w:t>
      </w:r>
      <w:r>
        <w:rPr>
          <w:rFonts w:ascii="Times New Roman" w:hAnsi="Times New Roman" w:cs="Times New Roman"/>
          <w:i/>
          <w:iCs/>
          <w:sz w:val="24"/>
          <w:szCs w:val="24"/>
        </w:rPr>
        <w:t>E. coli</w:t>
      </w:r>
      <w:r>
        <w:rPr>
          <w:rFonts w:ascii="Times New Roman" w:hAnsi="Times New Roman" w:cs="Times New Roman"/>
          <w:sz w:val="24"/>
          <w:szCs w:val="24"/>
        </w:rPr>
        <w:t xml:space="preserve"> isolates, 215/323(66.56%) isolates were ESBL producers. The maximum number of ESBL </w:t>
      </w:r>
      <w:r>
        <w:rPr>
          <w:rFonts w:ascii="Times New Roman" w:hAnsi="Times New Roman" w:cs="Times New Roman"/>
          <w:i/>
          <w:sz w:val="24"/>
          <w:szCs w:val="24"/>
        </w:rPr>
        <w:t>E. coli</w:t>
      </w:r>
      <w:r>
        <w:rPr>
          <w:rFonts w:ascii="Times New Roman" w:hAnsi="Times New Roman" w:cs="Times New Roman"/>
          <w:sz w:val="24"/>
          <w:szCs w:val="24"/>
        </w:rPr>
        <w:t xml:space="preserve"> was isolated from urine 194(90.23%), followed by sputum 12(5.58%), swab 5 (2.32%), pus 2 (0.93%) and blood 2 (0.93%)  (Table 1).</w:t>
      </w:r>
    </w:p>
    <w:p>
      <w:pPr>
        <w:tabs>
          <w:tab w:val="left" w:pos="1491"/>
        </w:tabs>
        <w:spacing w:line="480" w:lineRule="auto"/>
        <w:jc w:val="both"/>
        <w:rPr>
          <w:rFonts w:ascii="Times New Roman" w:hAnsi="Times New Roman" w:cs="Times New Roman"/>
          <w:sz w:val="24"/>
          <w:szCs w:val="24"/>
        </w:rPr>
      </w:pPr>
    </w:p>
    <w:p>
      <w:pPr>
        <w:spacing w:line="480" w:lineRule="auto"/>
        <w:ind w:firstLine="120" w:firstLineChars="50"/>
        <w:rPr>
          <w:rFonts w:ascii="Times New Roman" w:hAnsi="Times New Roman" w:cs="Times New Roman"/>
          <w:sz w:val="24"/>
          <w:szCs w:val="24"/>
        </w:rPr>
      </w:pPr>
      <w:r>
        <w:rPr>
          <w:rFonts w:ascii="Times New Roman" w:hAnsi="Times New Roman" w:cs="Times New Roman"/>
          <w:sz w:val="24"/>
          <w:szCs w:val="24"/>
        </w:rPr>
        <w:t xml:space="preserve">Table 1. Distribution of ESBL </w:t>
      </w:r>
      <w:r>
        <w:rPr>
          <w:rFonts w:ascii="Times New Roman" w:hAnsi="Times New Roman" w:cs="Times New Roman"/>
          <w:i/>
          <w:sz w:val="24"/>
          <w:szCs w:val="24"/>
        </w:rPr>
        <w:t>E. coli</w:t>
      </w:r>
      <w:r>
        <w:rPr>
          <w:rFonts w:ascii="Times New Roman" w:hAnsi="Times New Roman" w:cs="Times New Roman"/>
          <w:sz w:val="24"/>
          <w:szCs w:val="24"/>
        </w:rPr>
        <w:t xml:space="preserve"> from clinical samples</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4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Specimen</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No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Urine</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194(90.23%)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Sputum</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12(5.58%)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Swab</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5(2.32%)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Pus</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2(0.93%)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Blood</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2(0.93%)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Total</w:t>
            </w:r>
          </w:p>
        </w:tc>
        <w:tc>
          <w:tcPr>
            <w:tcW w:w="467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215(100.0)</w:t>
            </w:r>
          </w:p>
        </w:tc>
      </w:tr>
    </w:tbl>
    <w:p>
      <w:pPr>
        <w:tabs>
          <w:tab w:val="left" w:pos="5488"/>
        </w:tabs>
        <w:spacing w:line="480" w:lineRule="auto"/>
        <w:rPr>
          <w:rFonts w:ascii="Times New Roman" w:hAnsi="Times New Roman" w:cs="Times New Roman"/>
          <w:sz w:val="24"/>
          <w:szCs w:val="24"/>
        </w:rPr>
      </w:pPr>
    </w:p>
    <w:p>
      <w:pPr>
        <w:tabs>
          <w:tab w:val="left" w:pos="5488"/>
        </w:tabs>
        <w:spacing w:line="480" w:lineRule="auto"/>
        <w:rPr>
          <w:rFonts w:ascii="Times New Roman" w:hAnsi="Times New Roman" w:cs="Times New Roman"/>
          <w:sz w:val="24"/>
          <w:szCs w:val="24"/>
        </w:rPr>
      </w:pPr>
      <w:r>
        <w:rPr>
          <w:rFonts w:ascii="Times New Roman" w:hAnsi="Times New Roman" w:cs="Times New Roman"/>
          <w:sz w:val="24"/>
          <w:szCs w:val="24"/>
        </w:rPr>
        <w:t xml:space="preserve">Table 2: Antibiotic susceptibility pattern of ESBL </w:t>
      </w:r>
      <w:r>
        <w:rPr>
          <w:rFonts w:ascii="Times New Roman" w:hAnsi="Times New Roman" w:cs="Times New Roman"/>
          <w:i/>
          <w:sz w:val="24"/>
          <w:szCs w:val="24"/>
        </w:rPr>
        <w:t>E. coli</w:t>
      </w:r>
      <w:r>
        <w:rPr>
          <w:rFonts w:ascii="Times New Roman" w:hAnsi="Times New Roman" w:cs="Times New Roman"/>
          <w:i/>
          <w:sz w:val="24"/>
          <w:szCs w:val="24"/>
        </w:rPr>
        <w:tab/>
      </w:r>
    </w:p>
    <w:p>
      <w:pPr>
        <w:tabs>
          <w:tab w:val="left" w:pos="1491"/>
        </w:tabs>
        <w:spacing w:line="480" w:lineRule="auto"/>
        <w:rPr>
          <w:rFonts w:ascii="Times New Roman" w:hAnsi="Times New Roman" w:cs="Times New Roman"/>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17"/>
        <w:gridCol w:w="3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Merge w:val="restart"/>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Antibiotics</w:t>
            </w:r>
          </w:p>
        </w:tc>
        <w:tc>
          <w:tcPr>
            <w:tcW w:w="6234" w:type="dxa"/>
            <w:gridSpan w:val="2"/>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 xml:space="preserve">Antibiotic susceptibility of ESBL </w:t>
            </w:r>
            <w:r>
              <w:rPr>
                <w:rFonts w:hint="eastAsia" w:ascii="Times New Roman" w:hAnsi="Times New Roman" w:cs="Times New Roman"/>
                <w:i/>
                <w:sz w:val="24"/>
                <w:szCs w:val="24"/>
              </w:rPr>
              <w:t xml:space="preserve">E. coli </w:t>
            </w:r>
            <w:r>
              <w:rPr>
                <w:rFonts w:hint="eastAsia" w:ascii="Times New Roman" w:hAnsi="Times New Roman" w:cs="Times New Roman"/>
                <w:sz w:val="24"/>
                <w:szCs w:val="24"/>
              </w:rPr>
              <w:t>(n=215)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vMerge w:val="continue"/>
            <w:shd w:val="clear" w:color="auto" w:fill="auto"/>
          </w:tcPr>
          <w:p>
            <w:pPr>
              <w:spacing w:line="480" w:lineRule="auto"/>
              <w:rPr>
                <w:rFonts w:ascii="Times New Roman" w:hAnsi="Times New Roman" w:cs="Times New Roman"/>
                <w:sz w:val="24"/>
                <w:szCs w:val="24"/>
              </w:rPr>
            </w:pP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Sensitive</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Resistant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tabs>
                <w:tab w:val="left" w:pos="1986"/>
              </w:tabs>
              <w:spacing w:line="480" w:lineRule="auto"/>
              <w:rPr>
                <w:rFonts w:ascii="Times New Roman" w:hAnsi="Times New Roman" w:cs="Times New Roman"/>
                <w:sz w:val="24"/>
                <w:szCs w:val="24"/>
              </w:rPr>
            </w:pPr>
            <w:r>
              <w:rPr>
                <w:rFonts w:hint="eastAsia" w:ascii="Times New Roman" w:hAnsi="Times New Roman" w:cs="Times New Roman"/>
                <w:sz w:val="24"/>
                <w:szCs w:val="24"/>
              </w:rPr>
              <w:t>Amikacin(AK)</w:t>
            </w:r>
            <w:r>
              <w:rPr>
                <w:rFonts w:hint="eastAsia" w:ascii="Times New Roman" w:hAnsi="Times New Roman" w:cs="Times New Roman"/>
                <w:sz w:val="24"/>
                <w:szCs w:val="24"/>
              </w:rPr>
              <w:tab/>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197(91.6</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18(8.4</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Gentamycin(G)</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180(83.7</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35(16.3</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Ciprofloxacin(CIP)</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125(58.2</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90(41.8</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Ceftriaxone(CTR)</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0( 0.0)</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215(100</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Cefotaxime(CTX)</w:t>
            </w:r>
          </w:p>
        </w:tc>
        <w:tc>
          <w:tcPr>
            <w:tcW w:w="3117" w:type="dxa"/>
            <w:shd w:val="clear" w:color="auto" w:fill="auto"/>
          </w:tcPr>
          <w:p>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1 (2.7</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214(97.3</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Ceftazidime(CAZ)</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0( 0.0)</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215(100</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Nitrofurantion(NIT)*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182(93.8</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12(6.2</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Norfloxacin(NX)*</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109(56.2</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85(43.8</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Nalidixic acid(NA)*</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9(4.6</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185(95.4</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Ofloxacin(OF)*</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91(46.9</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103(53.1</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Tigecycline(TGC)</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215(100</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0( 0.0)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Imipenem(IPM)</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148(68.8</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67(31.2</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Meropenem(MRP)</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194(90.2</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21(9.8</w:t>
            </w:r>
            <w:r>
              <w:rPr>
                <w:rFonts w:ascii="Times New Roman" w:hAnsi="Times New Roman" w:cs="Times New Roman"/>
                <w:sz w:val="24"/>
                <w:szCs w:val="24"/>
              </w:rPr>
              <w:t>%</w:t>
            </w:r>
            <w:r>
              <w:rPr>
                <w:rFonts w:hint="eastAsia" w:ascii="Times New Roman" w:hAnsi="Times New Roman"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Polymyxin B(PB)</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215(100</w:t>
            </w:r>
            <w:r>
              <w:rPr>
                <w:rFonts w:ascii="Times New Roman" w:hAnsi="Times New Roman" w:cs="Times New Roman"/>
                <w:sz w:val="24"/>
                <w:szCs w:val="24"/>
              </w:rPr>
              <w:t>%</w:t>
            </w:r>
            <w:r>
              <w:rPr>
                <w:rFonts w:hint="eastAsia" w:ascii="Times New Roman" w:hAnsi="Times New Roman" w:cs="Times New Roman"/>
                <w:sz w:val="24"/>
                <w:szCs w:val="24"/>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0( 0.0)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6"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Colistin(CL)</w:t>
            </w:r>
          </w:p>
        </w:tc>
        <w:tc>
          <w:tcPr>
            <w:tcW w:w="3117" w:type="dxa"/>
            <w:shd w:val="clear" w:color="auto" w:fill="auto"/>
          </w:tcPr>
          <w:p>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215(100</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w:t>
            </w:r>
          </w:p>
        </w:tc>
        <w:tc>
          <w:tcPr>
            <w:tcW w:w="3117" w:type="dxa"/>
            <w:shd w:val="clear" w:color="auto" w:fill="auto"/>
          </w:tcPr>
          <w:p>
            <w:pPr>
              <w:spacing w:line="480" w:lineRule="auto"/>
              <w:rPr>
                <w:rFonts w:ascii="Times New Roman" w:hAnsi="Times New Roman" w:cs="Times New Roman"/>
                <w:sz w:val="24"/>
                <w:szCs w:val="24"/>
              </w:rPr>
            </w:pPr>
            <w:r>
              <w:rPr>
                <w:rFonts w:hint="eastAsia" w:ascii="Times New Roman" w:hAnsi="Times New Roman" w:cs="Times New Roman"/>
                <w:sz w:val="24"/>
                <w:szCs w:val="24"/>
              </w:rPr>
              <w:t>0( 0.0)</w:t>
            </w:r>
          </w:p>
        </w:tc>
      </w:tr>
    </w:tbl>
    <w:p>
      <w:pPr>
        <w:tabs>
          <w:tab w:val="left" w:pos="1491"/>
        </w:tabs>
        <w:spacing w:line="480" w:lineRule="auto"/>
        <w:rPr>
          <w:rFonts w:ascii="Times New Roman" w:hAnsi="Times New Roman" w:cs="Times New Roman"/>
          <w:b/>
          <w:sz w:val="24"/>
          <w:szCs w:val="24"/>
        </w:rPr>
      </w:pPr>
    </w:p>
    <w:p>
      <w:pPr>
        <w:tabs>
          <w:tab w:val="left" w:pos="1491"/>
        </w:tabs>
        <w:spacing w:line="480" w:lineRule="auto"/>
        <w:rPr>
          <w:rFonts w:ascii="Times New Roman" w:hAnsi="Times New Roman" w:cs="Times New Roman"/>
          <w:bCs/>
          <w:sz w:val="24"/>
          <w:szCs w:val="24"/>
        </w:rPr>
      </w:pPr>
      <w:r>
        <w:rPr>
          <w:rFonts w:ascii="Times New Roman" w:hAnsi="Times New Roman" w:cs="Times New Roman"/>
          <w:bCs/>
          <w:sz w:val="24"/>
          <w:szCs w:val="24"/>
        </w:rPr>
        <w:t>* Used in urinary isolates</w:t>
      </w:r>
    </w:p>
    <w:p>
      <w:pPr>
        <w:tabs>
          <w:tab w:val="left" w:pos="1491"/>
        </w:tabs>
        <w:spacing w:line="480" w:lineRule="auto"/>
        <w:rPr>
          <w:rFonts w:ascii="Times New Roman" w:hAnsi="Times New Roman" w:cs="Times New Roman"/>
          <w:b/>
          <w:sz w:val="24"/>
          <w:szCs w:val="24"/>
        </w:rPr>
      </w:pPr>
      <w:r>
        <w:rPr>
          <w:rFonts w:ascii="Times New Roman" w:hAnsi="Times New Roman" w:cs="Times New Roman"/>
          <w:sz w:val="24"/>
          <w:szCs w:val="24"/>
        </w:rPr>
        <w:t xml:space="preserve">Antibiotic susceptibility pattern of ESBL </w:t>
      </w:r>
      <w:r>
        <w:rPr>
          <w:rFonts w:ascii="Times New Roman" w:hAnsi="Times New Roman" w:cs="Times New Roman"/>
          <w:i/>
          <w:sz w:val="24"/>
          <w:szCs w:val="24"/>
        </w:rPr>
        <w:t>E. coli</w:t>
      </w:r>
      <w:r>
        <w:rPr>
          <w:rFonts w:ascii="Times New Roman" w:hAnsi="Times New Roman" w:cs="Times New Roman"/>
          <w:sz w:val="24"/>
          <w:szCs w:val="24"/>
        </w:rPr>
        <w:t xml:space="preserve"> producers showed highest sensitivity towards tigecycline (100%) followed by polymyxin b, colistin and meropenem ( Table 2).</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Two hundred fifteen ESBL </w:t>
      </w:r>
      <w:r>
        <w:rPr>
          <w:rFonts w:ascii="Times New Roman" w:hAnsi="Times New Roman" w:cs="Times New Roman"/>
          <w:i/>
          <w:sz w:val="24"/>
          <w:szCs w:val="24"/>
        </w:rPr>
        <w:t>E.coli</w:t>
      </w:r>
      <w:r>
        <w:rPr>
          <w:rFonts w:ascii="Times New Roman" w:hAnsi="Times New Roman" w:cs="Times New Roman"/>
          <w:sz w:val="24"/>
          <w:szCs w:val="24"/>
        </w:rPr>
        <w:t xml:space="preserve"> isolates were confirmed by PCR using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t>
      </w:r>
      <w:r>
        <w:rPr>
          <w:rFonts w:ascii="Times New Roman" w:hAnsi="Times New Roman" w:cs="Times New Roman"/>
          <w:i/>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and </w:t>
      </w:r>
      <w:r>
        <w:rPr>
          <w:rFonts w:ascii="Times New Roman" w:hAnsi="Times New Roman" w:cs="Times New Roman"/>
          <w:i/>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specific primers. Out of 215 phenotypically confirmed ESBL </w:t>
      </w:r>
      <w:r>
        <w:rPr>
          <w:rFonts w:ascii="Times New Roman" w:hAnsi="Times New Roman" w:cs="Times New Roman"/>
          <w:i/>
          <w:sz w:val="24"/>
          <w:szCs w:val="24"/>
        </w:rPr>
        <w:t>E. coli</w:t>
      </w:r>
      <w:r>
        <w:rPr>
          <w:rFonts w:ascii="Times New Roman" w:hAnsi="Times New Roman" w:cs="Times New Roman"/>
          <w:sz w:val="24"/>
          <w:szCs w:val="24"/>
        </w:rPr>
        <w:t xml:space="preserve">, only 186(86.51%) isolates were found to positive by PCR (Table 3).The last 29(13.49%) were negative for any of the resistant genes tested. Among the ESBL genotypes, most common was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118(63.4%) followed by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68(36.6%) ( Figure 1, Figure 2). The co-existence of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and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in ESBL producing </w:t>
      </w:r>
      <w:r>
        <w:rPr>
          <w:rFonts w:ascii="Times New Roman" w:hAnsi="Times New Roman" w:cs="Times New Roman"/>
          <w:i/>
          <w:sz w:val="24"/>
          <w:szCs w:val="24"/>
        </w:rPr>
        <w:t>E. coli</w:t>
      </w:r>
      <w:r>
        <w:rPr>
          <w:rFonts w:ascii="Times New Roman" w:hAnsi="Times New Roman" w:cs="Times New Roman"/>
          <w:sz w:val="24"/>
          <w:szCs w:val="24"/>
        </w:rPr>
        <w:t xml:space="preserve"> was 39(20.96%).No ESBL </w:t>
      </w:r>
      <w:r>
        <w:rPr>
          <w:rFonts w:ascii="Times New Roman" w:hAnsi="Times New Roman" w:cs="Times New Roman"/>
          <w:i/>
          <w:sz w:val="24"/>
          <w:szCs w:val="24"/>
        </w:rPr>
        <w:t>E. coli</w:t>
      </w:r>
      <w:r>
        <w:rPr>
          <w:rFonts w:ascii="Times New Roman" w:hAnsi="Times New Roman" w:cs="Times New Roman"/>
          <w:sz w:val="24"/>
          <w:szCs w:val="24"/>
        </w:rPr>
        <w:t xml:space="preserve"> isolates co-harbored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and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and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SHV </w:t>
      </w:r>
      <w:r>
        <w:rPr>
          <w:rFonts w:ascii="Times New Roman" w:hAnsi="Times New Roman" w:cs="Times New Roman"/>
          <w:sz w:val="24"/>
          <w:szCs w:val="24"/>
        </w:rPr>
        <w:t>genes.</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3: Distribution of ESBL genotypes in </w:t>
      </w:r>
      <w:r>
        <w:rPr>
          <w:rFonts w:ascii="Times New Roman" w:hAnsi="Times New Roman" w:cs="Times New Roman"/>
          <w:i/>
          <w:sz w:val="24"/>
          <w:szCs w:val="24"/>
        </w:rPr>
        <w:t>E. coli</w:t>
      </w:r>
    </w:p>
    <w:tbl>
      <w:tblPr>
        <w:tblStyle w:val="13"/>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5"/>
        <w:gridCol w:w="5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ESBL genotypes</w:t>
            </w:r>
          </w:p>
        </w:tc>
        <w:tc>
          <w:tcPr>
            <w:tcW w:w="5310"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 xml:space="preserve">Number (%) (n=186)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dxa"/>
          </w:tcPr>
          <w:p>
            <w:pPr>
              <w:spacing w:after="0" w:line="480" w:lineRule="auto"/>
              <w:rPr>
                <w:rFonts w:ascii="Times New Roman" w:hAnsi="Times New Roman" w:cs="Times New Roman"/>
                <w:sz w:val="24"/>
                <w:szCs w:val="24"/>
              </w:rPr>
            </w:pPr>
            <w:r>
              <w:rPr>
                <w:rFonts w:hint="eastAsia" w:ascii="Times New Roman" w:hAnsi="Times New Roman" w:cs="Times New Roman"/>
                <w:i/>
                <w:iCs/>
                <w:sz w:val="24"/>
                <w:szCs w:val="24"/>
              </w:rPr>
              <w:t>bla</w:t>
            </w:r>
            <w:r>
              <w:rPr>
                <w:rFonts w:hint="eastAsia" w:ascii="Times New Roman" w:hAnsi="Times New Roman" w:cs="Times New Roman"/>
                <w:sz w:val="24"/>
                <w:szCs w:val="24"/>
                <w:vertAlign w:val="subscript"/>
              </w:rPr>
              <w:t>TEM</w:t>
            </w:r>
          </w:p>
        </w:tc>
        <w:tc>
          <w:tcPr>
            <w:tcW w:w="5310"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118(63.4%)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dxa"/>
          </w:tcPr>
          <w:p>
            <w:pPr>
              <w:spacing w:after="0" w:line="480" w:lineRule="auto"/>
              <w:rPr>
                <w:rFonts w:ascii="Times New Roman" w:hAnsi="Times New Roman" w:cs="Times New Roman"/>
                <w:sz w:val="24"/>
                <w:szCs w:val="24"/>
              </w:rPr>
            </w:pPr>
            <w:r>
              <w:rPr>
                <w:rFonts w:hint="eastAsia" w:ascii="Times New Roman" w:hAnsi="Times New Roman" w:cs="Times New Roman"/>
                <w:i/>
                <w:iCs/>
                <w:sz w:val="24"/>
                <w:szCs w:val="24"/>
              </w:rPr>
              <w:t>bla</w:t>
            </w:r>
            <w:r>
              <w:rPr>
                <w:rFonts w:hint="eastAsia" w:ascii="Times New Roman" w:hAnsi="Times New Roman" w:cs="Times New Roman"/>
                <w:sz w:val="24"/>
                <w:szCs w:val="24"/>
                <w:vertAlign w:val="subscript"/>
              </w:rPr>
              <w:t>CTX-M</w:t>
            </w:r>
          </w:p>
        </w:tc>
        <w:tc>
          <w:tcPr>
            <w:tcW w:w="5310"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68(36.6%)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dxa"/>
          </w:tcPr>
          <w:p>
            <w:pPr>
              <w:spacing w:after="0" w:line="480" w:lineRule="auto"/>
              <w:rPr>
                <w:rFonts w:ascii="Times New Roman" w:hAnsi="Times New Roman" w:cs="Times New Roman"/>
                <w:sz w:val="24"/>
                <w:szCs w:val="24"/>
              </w:rPr>
            </w:pPr>
            <w:r>
              <w:rPr>
                <w:rFonts w:hint="eastAsia" w:ascii="Times New Roman" w:hAnsi="Times New Roman" w:cs="Times New Roman"/>
                <w:i/>
                <w:iCs/>
                <w:sz w:val="24"/>
                <w:szCs w:val="24"/>
              </w:rPr>
              <w:t>bla</w:t>
            </w:r>
            <w:r>
              <w:rPr>
                <w:rFonts w:hint="eastAsia" w:ascii="Times New Roman" w:hAnsi="Times New Roman" w:cs="Times New Roman"/>
                <w:sz w:val="24"/>
                <w:szCs w:val="24"/>
                <w:vertAlign w:val="subscript"/>
              </w:rPr>
              <w:t>TEM</w:t>
            </w:r>
            <w:r>
              <w:rPr>
                <w:rFonts w:hint="eastAsia" w:ascii="Times New Roman" w:hAnsi="Times New Roman" w:cs="Times New Roman"/>
                <w:sz w:val="24"/>
                <w:szCs w:val="24"/>
              </w:rPr>
              <w:t xml:space="preserve"> + </w:t>
            </w:r>
            <w:r>
              <w:rPr>
                <w:rFonts w:hint="eastAsia" w:ascii="Times New Roman" w:hAnsi="Times New Roman" w:cs="Times New Roman"/>
                <w:i/>
                <w:iCs/>
                <w:sz w:val="24"/>
                <w:szCs w:val="24"/>
              </w:rPr>
              <w:t>bla</w:t>
            </w:r>
            <w:r>
              <w:rPr>
                <w:rFonts w:hint="eastAsia" w:ascii="Times New Roman" w:hAnsi="Times New Roman" w:cs="Times New Roman"/>
                <w:sz w:val="24"/>
                <w:szCs w:val="24"/>
                <w:vertAlign w:val="subscript"/>
              </w:rPr>
              <w:t>CTX-M</w:t>
            </w:r>
          </w:p>
        </w:tc>
        <w:tc>
          <w:tcPr>
            <w:tcW w:w="5310"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39(20.96%)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dxa"/>
          </w:tcPr>
          <w:p>
            <w:pPr>
              <w:spacing w:after="0" w:line="480" w:lineRule="auto"/>
              <w:rPr>
                <w:rFonts w:ascii="Times New Roman" w:hAnsi="Times New Roman" w:cs="Times New Roman"/>
                <w:sz w:val="24"/>
                <w:szCs w:val="24"/>
              </w:rPr>
            </w:pPr>
            <w:r>
              <w:rPr>
                <w:rFonts w:hint="eastAsia" w:ascii="Times New Roman" w:hAnsi="Times New Roman" w:cs="Times New Roman"/>
                <w:i/>
                <w:iCs/>
                <w:sz w:val="24"/>
                <w:szCs w:val="24"/>
              </w:rPr>
              <w:t>bla</w:t>
            </w:r>
            <w:r>
              <w:rPr>
                <w:rFonts w:hint="eastAsia" w:ascii="Times New Roman" w:hAnsi="Times New Roman" w:cs="Times New Roman"/>
                <w:sz w:val="24"/>
                <w:szCs w:val="24"/>
                <w:vertAlign w:val="subscript"/>
              </w:rPr>
              <w:t>SHV</w:t>
            </w:r>
          </w:p>
        </w:tc>
        <w:tc>
          <w:tcPr>
            <w:tcW w:w="5310" w:type="dxa"/>
          </w:tcPr>
          <w:p>
            <w:pPr>
              <w:spacing w:after="0" w:line="480" w:lineRule="auto"/>
              <w:rPr>
                <w:rFonts w:ascii="Times New Roman" w:hAnsi="Times New Roman" w:cs="Times New Roman"/>
                <w:sz w:val="24"/>
                <w:szCs w:val="24"/>
              </w:rPr>
            </w:pPr>
            <w:r>
              <w:rPr>
                <w:rFonts w:hint="eastAsia" w:ascii="Times New Roman" w:hAnsi="Times New Roman" w:cs="Times New Roman"/>
                <w:sz w:val="24"/>
                <w:szCs w:val="24"/>
              </w:rPr>
              <w:t>0(0</w:t>
            </w:r>
            <w:r>
              <w:rPr>
                <w:rFonts w:ascii="Times New Roman" w:hAnsi="Times New Roman" w:cs="Times New Roman"/>
                <w:sz w:val="24"/>
                <w:szCs w:val="24"/>
              </w:rPr>
              <w:t>.0</w:t>
            </w:r>
            <w:r>
              <w:rPr>
                <w:rFonts w:hint="eastAsia" w:ascii="Times New Roman" w:hAnsi="Times New Roman" w:cs="Times New Roman"/>
                <w:sz w:val="24"/>
                <w:szCs w:val="24"/>
              </w:rPr>
              <w:t>)</w:t>
            </w:r>
          </w:p>
        </w:tc>
      </w:tr>
    </w:tbl>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r>
        <w:rPr>
          <w:rFonts w:ascii="Times New Roman" w:hAnsi="Times New Roman" w:cs="Times New Roman"/>
          <w:b/>
          <w:sz w:val="28"/>
          <w:szCs w:val="28"/>
        </w:rPr>
        <w:drawing>
          <wp:inline distT="0" distB="0" distL="0" distR="0">
            <wp:extent cx="5699125" cy="4150995"/>
            <wp:effectExtent l="0" t="0" r="15875" b="1905"/>
            <wp:docPr id="5" name="Picture 5" descr="E:\New folder\TEM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New folder\TEM new.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699125" cy="4150995"/>
                    </a:xfrm>
                    <a:prstGeom prst="rect">
                      <a:avLst/>
                    </a:prstGeom>
                    <a:noFill/>
                    <a:ln>
                      <a:noFill/>
                    </a:ln>
                  </pic:spPr>
                </pic:pic>
              </a:graphicData>
            </a:graphic>
          </wp:inline>
        </w:drawing>
      </w:r>
    </w:p>
    <w:p>
      <w:pPr>
        <w:rPr>
          <w:rFonts w:ascii="Times New Roman" w:hAnsi="Times New Roman" w:cs="Times New Roman"/>
          <w:bCs/>
          <w:sz w:val="24"/>
          <w:szCs w:val="24"/>
        </w:rPr>
      </w:pPr>
      <w:r>
        <w:rPr>
          <w:rFonts w:ascii="Times New Roman" w:hAnsi="Times New Roman" w:cs="Times New Roman"/>
          <w:bCs/>
          <w:sz w:val="24"/>
          <w:szCs w:val="24"/>
        </w:rPr>
        <w:t xml:space="preserve">Figure 1: Detection of </w:t>
      </w:r>
      <w:r>
        <w:rPr>
          <w:rFonts w:ascii="Times New Roman" w:hAnsi="Times New Roman" w:cs="Times New Roman"/>
          <w:bCs/>
          <w:i/>
          <w:sz w:val="24"/>
          <w:szCs w:val="24"/>
        </w:rPr>
        <w:t>bla</w:t>
      </w:r>
      <w:r>
        <w:rPr>
          <w:rFonts w:ascii="Times New Roman" w:hAnsi="Times New Roman" w:cs="Times New Roman"/>
          <w:bCs/>
          <w:sz w:val="24"/>
          <w:szCs w:val="24"/>
          <w:vertAlign w:val="subscript"/>
        </w:rPr>
        <w:t>TEM</w:t>
      </w:r>
      <w:r>
        <w:rPr>
          <w:rFonts w:ascii="Times New Roman" w:hAnsi="Times New Roman" w:cs="Times New Roman"/>
          <w:bCs/>
          <w:sz w:val="24"/>
          <w:szCs w:val="24"/>
        </w:rPr>
        <w:t xml:space="preserve"> genes, cropped image of the gel.</w:t>
      </w:r>
    </w:p>
    <w:p>
      <w:pPr>
        <w:rPr>
          <w:rFonts w:ascii="Times New Roman" w:hAnsi="Times New Roman" w:cs="Times New Roman"/>
          <w:sz w:val="24"/>
          <w:szCs w:val="24"/>
        </w:rPr>
      </w:pPr>
      <w:r>
        <w:rPr>
          <w:rFonts w:ascii="Times New Roman" w:hAnsi="Times New Roman" w:cs="Times New Roman"/>
          <w:b/>
          <w:sz w:val="24"/>
          <w:szCs w:val="24"/>
        </w:rPr>
        <w:t>Lane 1:</w:t>
      </w:r>
      <w:r>
        <w:rPr>
          <w:rFonts w:ascii="Times New Roman" w:hAnsi="Times New Roman" w:cs="Times New Roman"/>
          <w:sz w:val="24"/>
          <w:szCs w:val="24"/>
        </w:rPr>
        <w:t>100 bp DNA ladder.</w:t>
      </w:r>
      <w:r>
        <w:rPr>
          <w:rFonts w:ascii="Times New Roman" w:hAnsi="Times New Roman" w:cs="Times New Roman"/>
          <w:b/>
          <w:sz w:val="24"/>
          <w:szCs w:val="24"/>
        </w:rPr>
        <w:t xml:space="preserve"> Lane 2:</w:t>
      </w:r>
      <w:r>
        <w:rPr>
          <w:rFonts w:ascii="Times New Roman" w:hAnsi="Times New Roman" w:cs="Times New Roman"/>
          <w:sz w:val="24"/>
          <w:szCs w:val="24"/>
        </w:rPr>
        <w:t xml:space="preserve"> Negative control,</w:t>
      </w:r>
      <w:r>
        <w:rPr>
          <w:rFonts w:ascii="Times New Roman" w:hAnsi="Times New Roman" w:cs="Times New Roman"/>
          <w:b/>
          <w:sz w:val="24"/>
          <w:szCs w:val="24"/>
        </w:rPr>
        <w:t xml:space="preserve"> Lane 8: Positive control, Lane 4-7:</w:t>
      </w:r>
      <w:r>
        <w:rPr>
          <w:rFonts w:ascii="Times New Roman" w:hAnsi="Times New Roman" w:cs="Times New Roman"/>
          <w:sz w:val="24"/>
          <w:szCs w:val="24"/>
        </w:rPr>
        <w:t xml:space="preserve"> Test plasmids positive for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gene,</w:t>
      </w:r>
      <w:r>
        <w:rPr>
          <w:rFonts w:ascii="Times New Roman" w:hAnsi="Times New Roman" w:cs="Times New Roman"/>
          <w:b/>
          <w:sz w:val="24"/>
          <w:szCs w:val="24"/>
        </w:rPr>
        <w:t xml:space="preserve"> Lane 3: </w:t>
      </w:r>
      <w:r>
        <w:rPr>
          <w:rFonts w:ascii="Times New Roman" w:hAnsi="Times New Roman" w:cs="Times New Roman"/>
          <w:sz w:val="24"/>
          <w:szCs w:val="24"/>
        </w:rPr>
        <w:t xml:space="preserve">Test plasmid negative for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gene.</w:t>
      </w: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sz w:val="24"/>
          <w:szCs w:val="24"/>
        </w:rPr>
      </w:pPr>
      <w:r>
        <w:rPr>
          <w:rFonts w:ascii="Times New Roman" w:hAnsi="Times New Roman" w:cs="Times New Roman"/>
          <w:b/>
          <w:sz w:val="28"/>
          <w:szCs w:val="28"/>
        </w:rPr>
        <w:drawing>
          <wp:inline distT="0" distB="0" distL="0" distR="0">
            <wp:extent cx="5612765" cy="5184775"/>
            <wp:effectExtent l="0" t="0" r="6985" b="15875"/>
            <wp:docPr id="6" name="Picture 6" descr="E:\New folder\CTX 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New folder\CTX new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12765" cy="5184775"/>
                    </a:xfrm>
                    <a:prstGeom prst="rect">
                      <a:avLst/>
                    </a:prstGeom>
                    <a:noFill/>
                    <a:ln>
                      <a:noFill/>
                    </a:ln>
                  </pic:spPr>
                </pic:pic>
              </a:graphicData>
            </a:graphic>
          </wp:inline>
        </w:drawing>
      </w:r>
    </w:p>
    <w:p>
      <w:pPr>
        <w:rPr>
          <w:rFonts w:ascii="Times New Roman" w:hAnsi="Times New Roman" w:cs="Times New Roman"/>
          <w:bCs/>
          <w:sz w:val="24"/>
          <w:szCs w:val="24"/>
        </w:rPr>
      </w:pPr>
      <w:r>
        <w:rPr>
          <w:rFonts w:ascii="Times New Roman" w:hAnsi="Times New Roman" w:cs="Times New Roman"/>
          <w:bCs/>
          <w:sz w:val="24"/>
          <w:szCs w:val="24"/>
        </w:rPr>
        <w:t xml:space="preserve">Figure 2: Detection of </w:t>
      </w:r>
      <w:r>
        <w:rPr>
          <w:rFonts w:ascii="Times New Roman" w:hAnsi="Times New Roman" w:cs="Times New Roman"/>
          <w:bCs/>
          <w:i/>
          <w:sz w:val="24"/>
          <w:szCs w:val="24"/>
        </w:rPr>
        <w:t>bla</w:t>
      </w:r>
      <w:r>
        <w:rPr>
          <w:rFonts w:ascii="Times New Roman" w:hAnsi="Times New Roman" w:cs="Times New Roman"/>
          <w:bCs/>
          <w:sz w:val="24"/>
          <w:szCs w:val="24"/>
          <w:vertAlign w:val="subscript"/>
        </w:rPr>
        <w:t>CTX-M</w:t>
      </w:r>
      <w:r>
        <w:rPr>
          <w:rFonts w:ascii="Times New Roman" w:hAnsi="Times New Roman" w:cs="Times New Roman"/>
          <w:bCs/>
          <w:sz w:val="24"/>
          <w:szCs w:val="24"/>
        </w:rPr>
        <w:t xml:space="preserve"> gene, cropped image of the gel</w:t>
      </w:r>
    </w:p>
    <w:p>
      <w:pPr>
        <w:rPr>
          <w:rFonts w:ascii="Times New Roman" w:hAnsi="Times New Roman" w:cs="Times New Roman"/>
          <w:sz w:val="24"/>
          <w:szCs w:val="24"/>
        </w:rPr>
      </w:pPr>
      <w:r>
        <w:rPr>
          <w:rFonts w:ascii="Times New Roman" w:hAnsi="Times New Roman" w:cs="Times New Roman"/>
          <w:b/>
          <w:sz w:val="24"/>
          <w:szCs w:val="24"/>
        </w:rPr>
        <w:t xml:space="preserve">Lane 1: </w:t>
      </w:r>
      <w:r>
        <w:rPr>
          <w:rFonts w:ascii="Times New Roman" w:hAnsi="Times New Roman" w:cs="Times New Roman"/>
          <w:sz w:val="24"/>
          <w:szCs w:val="24"/>
        </w:rPr>
        <w:t>100 bp DNA ladder,</w:t>
      </w:r>
      <w:r>
        <w:rPr>
          <w:rFonts w:ascii="Times New Roman" w:hAnsi="Times New Roman" w:cs="Times New Roman"/>
          <w:b/>
          <w:sz w:val="24"/>
          <w:szCs w:val="24"/>
        </w:rPr>
        <w:t xml:space="preserve"> Lane 4: Positive</w:t>
      </w:r>
      <w:r>
        <w:rPr>
          <w:rFonts w:ascii="Times New Roman" w:hAnsi="Times New Roman" w:cs="Times New Roman"/>
          <w:sz w:val="24"/>
          <w:szCs w:val="24"/>
        </w:rPr>
        <w:t xml:space="preserve"> control,</w:t>
      </w:r>
      <w:r>
        <w:rPr>
          <w:rFonts w:ascii="Times New Roman" w:hAnsi="Times New Roman" w:cs="Times New Roman"/>
          <w:b/>
          <w:sz w:val="24"/>
          <w:szCs w:val="24"/>
        </w:rPr>
        <w:t xml:space="preserve"> Lane 3: </w:t>
      </w:r>
      <w:r>
        <w:rPr>
          <w:rFonts w:ascii="Times New Roman" w:hAnsi="Times New Roman" w:cs="Times New Roman"/>
          <w:sz w:val="24"/>
          <w:szCs w:val="24"/>
        </w:rPr>
        <w:t>Negative control,</w:t>
      </w:r>
      <w:r>
        <w:rPr>
          <w:rFonts w:ascii="Times New Roman" w:hAnsi="Times New Roman" w:cs="Times New Roman"/>
          <w:b/>
          <w:sz w:val="24"/>
          <w:szCs w:val="24"/>
        </w:rPr>
        <w:t xml:space="preserve"> Lane 2:</w:t>
      </w:r>
      <w:r>
        <w:rPr>
          <w:rFonts w:ascii="Times New Roman" w:hAnsi="Times New Roman" w:cs="Times New Roman"/>
          <w:sz w:val="24"/>
          <w:szCs w:val="24"/>
        </w:rPr>
        <w:t xml:space="preserve"> Test plasmid positive for </w:t>
      </w:r>
      <w:r>
        <w:rPr>
          <w:rFonts w:ascii="Times New Roman" w:hAnsi="Times New Roman" w:cs="Times New Roman"/>
          <w:i/>
          <w:sz w:val="24"/>
          <w:szCs w:val="24"/>
        </w:rPr>
        <w:t>bla</w:t>
      </w:r>
      <w:r>
        <w:rPr>
          <w:rFonts w:ascii="Times New Roman" w:hAnsi="Times New Roman" w:cs="Times New Roman"/>
          <w:sz w:val="24"/>
          <w:szCs w:val="24"/>
          <w:vertAlign w:val="subscript"/>
        </w:rPr>
        <w:t>CTX-M</w:t>
      </w:r>
      <w:r>
        <w:rPr>
          <w:rFonts w:ascii="Times New Roman" w:hAnsi="Times New Roman" w:cs="Times New Roman"/>
          <w:sz w:val="24"/>
          <w:szCs w:val="24"/>
        </w:rPr>
        <w:t xml:space="preserve"> gene,</w:t>
      </w:r>
      <w:r>
        <w:rPr>
          <w:rFonts w:ascii="Times New Roman" w:hAnsi="Times New Roman" w:cs="Times New Roman"/>
          <w:b/>
          <w:sz w:val="24"/>
          <w:szCs w:val="24"/>
        </w:rPr>
        <w:t xml:space="preserve"> Lane 5-8: </w:t>
      </w:r>
      <w:r>
        <w:rPr>
          <w:rFonts w:ascii="Times New Roman" w:hAnsi="Times New Roman" w:cs="Times New Roman"/>
          <w:sz w:val="24"/>
          <w:szCs w:val="24"/>
        </w:rPr>
        <w:t>Test plasmid negative for bla</w:t>
      </w:r>
      <w:r>
        <w:rPr>
          <w:rFonts w:ascii="Times New Roman" w:hAnsi="Times New Roman" w:cs="Times New Roman"/>
          <w:sz w:val="24"/>
          <w:szCs w:val="24"/>
          <w:vertAlign w:val="subscript"/>
        </w:rPr>
        <w:t>CTX-M</w:t>
      </w:r>
      <w:r>
        <w:rPr>
          <w:rFonts w:ascii="Times New Roman" w:hAnsi="Times New Roman" w:cs="Times New Roman"/>
          <w:sz w:val="24"/>
          <w:szCs w:val="24"/>
        </w:rPr>
        <w:t xml:space="preserve"> gene</w:t>
      </w:r>
    </w:p>
    <w:p>
      <w:pPr>
        <w:spacing w:line="480" w:lineRule="auto"/>
        <w:jc w:val="both"/>
        <w:rPr>
          <w:rFonts w:ascii="Times New Roman" w:hAnsi="Times New Roman" w:cs="Times New Roman"/>
          <w:sz w:val="24"/>
          <w:szCs w:val="24"/>
        </w:rPr>
      </w:pPr>
    </w:p>
    <w:p>
      <w:pPr>
        <w:spacing w:line="480" w:lineRule="auto"/>
        <w:jc w:val="both"/>
        <w:rPr>
          <w:rFonts w:ascii="Times New Roman" w:hAnsi="Times New Roman" w:cs="Times New Roman"/>
          <w:b/>
          <w:sz w:val="24"/>
          <w:szCs w:val="24"/>
        </w:rPr>
      </w:pPr>
    </w:p>
    <w:p>
      <w:pPr>
        <w:spacing w:line="480" w:lineRule="auto"/>
        <w:jc w:val="both"/>
        <w:rPr>
          <w:rFonts w:ascii="Times New Roman" w:hAnsi="Times New Roman" w:cs="Times New Roman"/>
          <w:b/>
          <w:sz w:val="24"/>
          <w:szCs w:val="24"/>
        </w:rPr>
      </w:pPr>
      <w:r>
        <w:rPr>
          <w:rFonts w:ascii="Times New Roman" w:hAnsi="Times New Roman" w:cs="Times New Roman"/>
          <w:b/>
          <w:sz w:val="24"/>
          <w:szCs w:val="24"/>
        </w:rPr>
        <w:t>4. DISCUSSION</w:t>
      </w:r>
    </w:p>
    <w:p>
      <w:pPr>
        <w:spacing w:after="0" w:line="480" w:lineRule="auto"/>
        <w:jc w:val="both"/>
        <w:rPr>
          <w:rFonts w:ascii="Times New Roman" w:hAnsi="Times New Roman"/>
          <w:i/>
          <w:sz w:val="24"/>
          <w:szCs w:val="24"/>
        </w:rPr>
      </w:pPr>
      <w:r>
        <w:rPr>
          <w:rFonts w:ascii="Times New Roman" w:hAnsi="Times New Roman"/>
          <w:sz w:val="24"/>
          <w:szCs w:val="24"/>
        </w:rPr>
        <w:t xml:space="preserve">Despite the discovery of antibiotics, emergence of MDR and ESBLs producing bacteria due to the extensive use of extended spectrum cephalosporins (ESCs) since early 1980’s is a significant evolution in antimicrobial resistance. Several other factors including misuse of drugs, inappropriate antibiotic treatment, extensive use of antimicrobial has also contributed to the emergence of drug resistant bacteria. The present study was conducted in the department of microbiology laboratory, Nepal Mediciti Hospital during a period of September 2018 to April 2020 with the aim of understanding the antibiotic susceptibility profile of MDR and ESBL producing </w:t>
      </w:r>
      <w:r>
        <w:rPr>
          <w:rFonts w:ascii="Times New Roman" w:hAnsi="Times New Roman"/>
          <w:i/>
          <w:sz w:val="24"/>
          <w:szCs w:val="24"/>
        </w:rPr>
        <w:t>E. coli.</w:t>
      </w:r>
    </w:p>
    <w:p>
      <w:pPr>
        <w:spacing w:after="0" w:line="480" w:lineRule="auto"/>
        <w:jc w:val="both"/>
        <w:rPr>
          <w:rFonts w:ascii="Times New Roman" w:hAnsi="Times New Roman"/>
          <w:i/>
          <w:sz w:val="24"/>
          <w:szCs w:val="24"/>
        </w:rPr>
      </w:pPr>
    </w:p>
    <w:p>
      <w:pPr>
        <w:spacing w:after="0" w:line="480" w:lineRule="auto"/>
        <w:jc w:val="both"/>
        <w:rPr>
          <w:rFonts w:ascii="Times New Roman" w:hAnsi="Times New Roman"/>
          <w:sz w:val="24"/>
          <w:szCs w:val="24"/>
        </w:rPr>
      </w:pPr>
      <w:r>
        <w:rPr>
          <w:rFonts w:ascii="Times New Roman" w:hAnsi="Times New Roman"/>
          <w:sz w:val="24"/>
          <w:szCs w:val="24"/>
        </w:rPr>
        <w:t xml:space="preserve">It was found that the highest number of </w:t>
      </w:r>
      <w:r>
        <w:rPr>
          <w:rFonts w:ascii="Times New Roman" w:hAnsi="Times New Roman"/>
          <w:i/>
          <w:sz w:val="24"/>
          <w:szCs w:val="24"/>
        </w:rPr>
        <w:t>E. coli</w:t>
      </w:r>
      <w:r>
        <w:rPr>
          <w:rFonts w:ascii="Times New Roman" w:hAnsi="Times New Roman"/>
          <w:sz w:val="24"/>
          <w:szCs w:val="24"/>
        </w:rPr>
        <w:t xml:space="preserve"> isolates were recovered from urine .With regard to urinary tract infection, </w:t>
      </w:r>
      <w:r>
        <w:rPr>
          <w:rFonts w:ascii="Times New Roman" w:hAnsi="Times New Roman"/>
          <w:i/>
          <w:sz w:val="24"/>
          <w:szCs w:val="24"/>
        </w:rPr>
        <w:t>E. coli</w:t>
      </w:r>
      <w:r>
        <w:rPr>
          <w:rFonts w:ascii="Times New Roman" w:hAnsi="Times New Roman"/>
          <w:sz w:val="24"/>
          <w:szCs w:val="24"/>
        </w:rPr>
        <w:t xml:space="preserve"> showed great extent of resistance to nalidixic acid, co-trimoxazole and third generation cephalosporins. Similar pattern of resistant in urinary isolates of </w:t>
      </w:r>
      <w:r>
        <w:rPr>
          <w:rFonts w:ascii="Times New Roman" w:hAnsi="Times New Roman"/>
          <w:i/>
          <w:sz w:val="24"/>
          <w:szCs w:val="24"/>
        </w:rPr>
        <w:t>E. coli</w:t>
      </w:r>
      <w:r>
        <w:rPr>
          <w:rFonts w:ascii="Times New Roman" w:hAnsi="Times New Roman"/>
          <w:sz w:val="24"/>
          <w:szCs w:val="24"/>
        </w:rPr>
        <w:t xml:space="preserve"> was shown in Nepal [7,8].In contrast to our result, Fanta et</w:t>
      </w:r>
      <w:r>
        <w:rPr>
          <w:rFonts w:hint="default" w:ascii="Times New Roman" w:hAnsi="Times New Roman"/>
          <w:sz w:val="24"/>
          <w:szCs w:val="24"/>
          <w:lang w:val="en-US"/>
        </w:rPr>
        <w:t xml:space="preserve"> </w:t>
      </w:r>
      <w:r>
        <w:rPr>
          <w:rFonts w:ascii="Times New Roman" w:hAnsi="Times New Roman"/>
          <w:sz w:val="24"/>
          <w:szCs w:val="24"/>
        </w:rPr>
        <w:t xml:space="preserve">al. reported 73% </w:t>
      </w:r>
      <w:r>
        <w:rPr>
          <w:rFonts w:ascii="Times New Roman" w:hAnsi="Times New Roman"/>
          <w:i/>
          <w:sz w:val="24"/>
          <w:szCs w:val="24"/>
        </w:rPr>
        <w:t>E. coli</w:t>
      </w:r>
      <w:r>
        <w:rPr>
          <w:rFonts w:ascii="Times New Roman" w:hAnsi="Times New Roman"/>
          <w:sz w:val="24"/>
          <w:szCs w:val="24"/>
        </w:rPr>
        <w:t xml:space="preserve"> isolates were resistant to ceftriaxone [9].This may be due to the irrational use of third generation cephalosporins [10]. However; a significant degree of susceptibility was found to nitrofurantoin followed by amikacin and gentamycin.Similar findings have been reported in various studies [11,12,13].This may be due to the rational use of these drugs in UTIs cases since it is reserved drug for UTIs.</w:t>
      </w:r>
    </w:p>
    <w:p>
      <w:pPr>
        <w:spacing w:after="0" w:line="480" w:lineRule="auto"/>
        <w:jc w:val="both"/>
        <w:rPr>
          <w:rFonts w:ascii="Times New Roman" w:hAnsi="Times New Roman"/>
          <w:b/>
          <w:sz w:val="24"/>
          <w:szCs w:val="24"/>
        </w:rPr>
      </w:pPr>
      <w:r>
        <w:rPr>
          <w:rFonts w:ascii="Times New Roman" w:hAnsi="Times New Roman"/>
          <w:sz w:val="24"/>
          <w:szCs w:val="24"/>
        </w:rPr>
        <w:t xml:space="preserve">In this study, analysis of antibiotic susceptibility of </w:t>
      </w:r>
      <w:r>
        <w:rPr>
          <w:rFonts w:ascii="Times New Roman" w:hAnsi="Times New Roman"/>
          <w:i/>
          <w:sz w:val="24"/>
          <w:szCs w:val="24"/>
        </w:rPr>
        <w:t>E. coli</w:t>
      </w:r>
      <w:r>
        <w:rPr>
          <w:rFonts w:ascii="Times New Roman" w:hAnsi="Times New Roman"/>
          <w:sz w:val="24"/>
          <w:szCs w:val="24"/>
        </w:rPr>
        <w:t xml:space="preserve"> isolated from sputum, blood, swab, pus demonstrated a significant degree of susceptibility towards tigecycline (100%) followed by colistin (98% to 100%), polymyxin b (97% to 100%), meropenem (91% to 96%) and imipenem (79% to 90%).Similar results were shown in other studies [14,15].It was found to be higher resistant pattern of cephalosporins(22%to 93%), fluoroquinolones (26% to 85%), aminoglycosides (8% to 59%) as compared to urine isolates. Several studies conducted in Nepal showed similar results [12,16].In contrast to our study, Kubone et al. noted higher susceptibility pattern towards cephalosporins, fluoroquinolones, aminoglycosides [17].The increased level of drug resistance is a major concern worldwide since these are the first line drugs recommended  internationally [18]and are irrational used in public and private sectors [19].</w:t>
      </w:r>
    </w:p>
    <w:p>
      <w:pPr>
        <w:spacing w:after="0" w:line="480" w:lineRule="auto"/>
        <w:jc w:val="right"/>
        <w:rPr>
          <w:rFonts w:ascii="Times New Roman" w:hAnsi="Times New Roman"/>
          <w:b/>
          <w:sz w:val="24"/>
          <w:szCs w:val="24"/>
        </w:rPr>
      </w:pPr>
    </w:p>
    <w:p>
      <w:pPr>
        <w:spacing w:after="0" w:line="480" w:lineRule="auto"/>
        <w:jc w:val="both"/>
        <w:rPr>
          <w:rFonts w:ascii="Times New Roman" w:hAnsi="Times New Roman"/>
          <w:sz w:val="24"/>
          <w:szCs w:val="24"/>
        </w:rPr>
      </w:pPr>
      <w:r>
        <w:rPr>
          <w:rFonts w:ascii="Times New Roman" w:hAnsi="Times New Roman"/>
          <w:sz w:val="24"/>
          <w:szCs w:val="24"/>
        </w:rPr>
        <w:t xml:space="preserve">The present study noted (323/1449)22.29% MDR </w:t>
      </w:r>
      <w:r>
        <w:rPr>
          <w:rFonts w:ascii="Times New Roman" w:hAnsi="Times New Roman"/>
          <w:i/>
          <w:sz w:val="24"/>
          <w:szCs w:val="24"/>
        </w:rPr>
        <w:t>E. coli</w:t>
      </w:r>
      <w:r>
        <w:rPr>
          <w:rFonts w:ascii="Times New Roman" w:hAnsi="Times New Roman"/>
          <w:sz w:val="24"/>
          <w:szCs w:val="24"/>
        </w:rPr>
        <w:t xml:space="preserve"> isolates that were suspected of being ESBL producers were confirmed by combined disc method. Prevalence of ESBL </w:t>
      </w:r>
      <w:r>
        <w:rPr>
          <w:rFonts w:ascii="Times New Roman" w:hAnsi="Times New Roman"/>
          <w:i/>
          <w:sz w:val="24"/>
          <w:szCs w:val="24"/>
        </w:rPr>
        <w:t>E. coli</w:t>
      </w:r>
      <w:r>
        <w:rPr>
          <w:rFonts w:ascii="Times New Roman" w:hAnsi="Times New Roman"/>
          <w:sz w:val="24"/>
          <w:szCs w:val="24"/>
        </w:rPr>
        <w:t xml:space="preserve"> was (215/323)66.56% which was alarming high. Several studies reported high prevalence i.e.40-70 % of ESBL </w:t>
      </w:r>
      <w:r>
        <w:rPr>
          <w:rFonts w:ascii="Times New Roman" w:hAnsi="Times New Roman"/>
          <w:i/>
          <w:sz w:val="24"/>
          <w:szCs w:val="24"/>
        </w:rPr>
        <w:t>E.coli</w:t>
      </w:r>
      <w:r>
        <w:rPr>
          <w:rFonts w:ascii="Times New Roman" w:hAnsi="Times New Roman"/>
          <w:sz w:val="24"/>
          <w:szCs w:val="24"/>
        </w:rPr>
        <w:t xml:space="preserve"> among MDR </w:t>
      </w:r>
      <w:r>
        <w:rPr>
          <w:rFonts w:ascii="Times New Roman" w:hAnsi="Times New Roman"/>
          <w:i/>
          <w:sz w:val="24"/>
          <w:szCs w:val="24"/>
        </w:rPr>
        <w:t>E.coli</w:t>
      </w:r>
      <w:r>
        <w:rPr>
          <w:rFonts w:ascii="Times New Roman" w:hAnsi="Times New Roman"/>
          <w:iCs/>
          <w:sz w:val="24"/>
          <w:szCs w:val="24"/>
        </w:rPr>
        <w:t>[8,13,15,20,21].</w:t>
      </w:r>
      <w:r>
        <w:rPr>
          <w:rFonts w:ascii="Times New Roman" w:hAnsi="Times New Roman"/>
          <w:sz w:val="24"/>
          <w:szCs w:val="24"/>
        </w:rPr>
        <w:t>But the study conducted by Onyedibe et</w:t>
      </w:r>
      <w:r>
        <w:rPr>
          <w:rFonts w:hint="default" w:ascii="Times New Roman" w:hAnsi="Times New Roman"/>
          <w:sz w:val="24"/>
          <w:szCs w:val="24"/>
          <w:lang w:val="en-US"/>
        </w:rPr>
        <w:t xml:space="preserve"> </w:t>
      </w:r>
      <w:r>
        <w:rPr>
          <w:rFonts w:ascii="Times New Roman" w:hAnsi="Times New Roman"/>
          <w:sz w:val="24"/>
          <w:szCs w:val="24"/>
        </w:rPr>
        <w:t xml:space="preserve">al. in 2018 observed only 18.6% ESBL </w:t>
      </w:r>
      <w:r>
        <w:rPr>
          <w:rFonts w:ascii="Times New Roman" w:hAnsi="Times New Roman"/>
          <w:i/>
          <w:sz w:val="24"/>
          <w:szCs w:val="24"/>
        </w:rPr>
        <w:t>E. coli</w:t>
      </w:r>
      <w:r>
        <w:rPr>
          <w:rFonts w:ascii="Times New Roman" w:hAnsi="Times New Roman"/>
          <w:sz w:val="24"/>
          <w:szCs w:val="24"/>
        </w:rPr>
        <w:t>[22],which is analogous result to other study [23]. This is not similar with our study due to the variation in geography, study design and selection of type of antimicrobial agents. The indiscriminate use of beta-lactam antibiotics leads to the generation of selective pressures which have led to the selection of a variety of mutated forms of beta lactamase [24].</w:t>
      </w:r>
      <w:r>
        <w:rPr>
          <w:rFonts w:ascii="Times New Roman" w:hAnsi="Times New Roman"/>
          <w:bCs/>
          <w:sz w:val="24"/>
          <w:szCs w:val="24"/>
        </w:rPr>
        <w:t xml:space="preserve">Antibiotic profile of ESBL </w:t>
      </w:r>
      <w:r>
        <w:rPr>
          <w:rFonts w:ascii="Times New Roman" w:hAnsi="Times New Roman"/>
          <w:bCs/>
          <w:i/>
          <w:sz w:val="24"/>
          <w:szCs w:val="24"/>
        </w:rPr>
        <w:t>E. coli</w:t>
      </w:r>
      <w:r>
        <w:rPr>
          <w:rFonts w:ascii="Times New Roman" w:hAnsi="Times New Roman"/>
          <w:bCs/>
          <w:sz w:val="24"/>
          <w:szCs w:val="24"/>
        </w:rPr>
        <w:t xml:space="preserve"> were found to be higher sensitivity towards </w:t>
      </w:r>
      <w:r>
        <w:rPr>
          <w:rFonts w:ascii="Times New Roman" w:hAnsi="Times New Roman"/>
          <w:sz w:val="24"/>
          <w:szCs w:val="24"/>
        </w:rPr>
        <w:t xml:space="preserve">tigecycline (100%), polymyxin b  (100%), colistin(100%) followed by amikacin (91.6%), meropenem (90.2%) and imipenem (68.8%). Susceptibility to nitrofurantoin was 93.8% against ESBL </w:t>
      </w:r>
      <w:r>
        <w:rPr>
          <w:rFonts w:ascii="Times New Roman" w:hAnsi="Times New Roman"/>
          <w:i/>
          <w:sz w:val="24"/>
          <w:szCs w:val="24"/>
        </w:rPr>
        <w:t>E. coli</w:t>
      </w:r>
      <w:r>
        <w:rPr>
          <w:rFonts w:ascii="Times New Roman" w:hAnsi="Times New Roman"/>
          <w:sz w:val="24"/>
          <w:szCs w:val="24"/>
        </w:rPr>
        <w:t xml:space="preserve"> isolated from urine. So, it could be the drug of choice for treating infection caused by ESBL producing </w:t>
      </w:r>
      <w:r>
        <w:rPr>
          <w:rFonts w:ascii="Times New Roman" w:hAnsi="Times New Roman"/>
          <w:i/>
          <w:sz w:val="24"/>
          <w:szCs w:val="24"/>
        </w:rPr>
        <w:t xml:space="preserve">E. coli </w:t>
      </w:r>
      <w:r>
        <w:rPr>
          <w:rFonts w:ascii="Times New Roman" w:hAnsi="Times New Roman"/>
          <w:iCs/>
          <w:sz w:val="24"/>
          <w:szCs w:val="24"/>
        </w:rPr>
        <w:t xml:space="preserve">similar to the previous studies </w:t>
      </w:r>
      <w:r>
        <w:rPr>
          <w:rFonts w:ascii="Times New Roman" w:hAnsi="Times New Roman"/>
          <w:sz w:val="24"/>
          <w:szCs w:val="24"/>
        </w:rPr>
        <w:t xml:space="preserve">conducted in India [25,26]. </w:t>
      </w:r>
    </w:p>
    <w:p>
      <w:pPr>
        <w:spacing w:after="0" w:line="480" w:lineRule="auto"/>
        <w:jc w:val="both"/>
        <w:rPr>
          <w:rFonts w:ascii="Times New Roman" w:hAnsi="Times New Roman"/>
          <w:b/>
          <w:bCs/>
          <w:sz w:val="24"/>
          <w:szCs w:val="24"/>
          <w:vertAlign w:val="superscript"/>
        </w:rPr>
      </w:pP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out of 323 MDR </w:t>
      </w:r>
      <w:r>
        <w:rPr>
          <w:rFonts w:ascii="Times New Roman" w:hAnsi="Times New Roman" w:cs="Times New Roman"/>
          <w:i/>
          <w:sz w:val="24"/>
          <w:szCs w:val="24"/>
        </w:rPr>
        <w:t>E. coli</w:t>
      </w:r>
      <w:r>
        <w:rPr>
          <w:rFonts w:ascii="Times New Roman" w:hAnsi="Times New Roman" w:cs="Times New Roman"/>
          <w:sz w:val="24"/>
          <w:szCs w:val="24"/>
        </w:rPr>
        <w:t xml:space="preserve"> isolates, ESBL </w:t>
      </w:r>
      <w:r>
        <w:rPr>
          <w:rFonts w:ascii="Times New Roman" w:hAnsi="Times New Roman" w:cs="Times New Roman"/>
          <w:i/>
          <w:sz w:val="24"/>
          <w:szCs w:val="24"/>
        </w:rPr>
        <w:t>E. coli</w:t>
      </w:r>
      <w:r>
        <w:rPr>
          <w:rFonts w:ascii="Times New Roman" w:hAnsi="Times New Roman" w:cs="Times New Roman"/>
          <w:sz w:val="24"/>
          <w:szCs w:val="24"/>
        </w:rPr>
        <w:t xml:space="preserve"> phenotypes were found to be positive in 215 (66.56%) isolates. Similar findings were reported by </w:t>
      </w:r>
      <w:r>
        <w:rPr>
          <w:rFonts w:ascii="Times New Roman" w:hAnsi="Times New Roman" w:cs="Times New Roman"/>
          <w:bCs/>
          <w:sz w:val="24"/>
          <w:szCs w:val="24"/>
        </w:rPr>
        <w:t>Dalela et</w:t>
      </w:r>
      <w:r>
        <w:rPr>
          <w:rFonts w:hint="default" w:ascii="Times New Roman" w:hAnsi="Times New Roman" w:cs="Times New Roman"/>
          <w:bCs/>
          <w:sz w:val="24"/>
          <w:szCs w:val="24"/>
          <w:lang w:val="en-US"/>
        </w:rPr>
        <w:t xml:space="preserve"> </w:t>
      </w:r>
      <w:r>
        <w:rPr>
          <w:rFonts w:ascii="Times New Roman" w:hAnsi="Times New Roman" w:cs="Times New Roman"/>
          <w:bCs/>
          <w:sz w:val="24"/>
          <w:szCs w:val="24"/>
        </w:rPr>
        <w:t>al., 2012, Ozcakar et</w:t>
      </w:r>
      <w:r>
        <w:rPr>
          <w:rFonts w:hint="default" w:ascii="Times New Roman" w:hAnsi="Times New Roman" w:cs="Times New Roman"/>
          <w:bCs/>
          <w:sz w:val="24"/>
          <w:szCs w:val="24"/>
          <w:lang w:val="en-US"/>
        </w:rPr>
        <w:t xml:space="preserve"> </w:t>
      </w:r>
      <w:r>
        <w:rPr>
          <w:rFonts w:ascii="Times New Roman" w:hAnsi="Times New Roman" w:cs="Times New Roman"/>
          <w:bCs/>
          <w:sz w:val="24"/>
          <w:szCs w:val="24"/>
        </w:rPr>
        <w:t xml:space="preserve">al., 2011 [27,28]. </w:t>
      </w:r>
      <w:r>
        <w:rPr>
          <w:rFonts w:ascii="Times New Roman" w:hAnsi="Times New Roman" w:cs="Times New Roman"/>
          <w:sz w:val="24"/>
          <w:szCs w:val="24"/>
        </w:rPr>
        <w:t xml:space="preserve">The frequency of phenotypic ESBL positive </w:t>
      </w:r>
      <w:r>
        <w:rPr>
          <w:rFonts w:ascii="Times New Roman" w:hAnsi="Times New Roman" w:cs="Times New Roman"/>
          <w:i/>
          <w:sz w:val="24"/>
          <w:szCs w:val="24"/>
        </w:rPr>
        <w:t>E. coli</w:t>
      </w:r>
      <w:r>
        <w:rPr>
          <w:rFonts w:ascii="Times New Roman" w:hAnsi="Times New Roman" w:cs="Times New Roman"/>
          <w:sz w:val="24"/>
          <w:szCs w:val="24"/>
        </w:rPr>
        <w:t xml:space="preserve"> 29 (13.49%) isolates were lacked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w:t>
      </w:r>
      <w:r>
        <w:rPr>
          <w:rFonts w:ascii="Times New Roman" w:hAnsi="Times New Roman" w:cs="Times New Roman"/>
          <w:i/>
          <w:iCs/>
          <w:sz w:val="24"/>
          <w:szCs w:val="24"/>
        </w:rPr>
        <w:t xml:space="preserve"> 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and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genes. Which could be false positive results by phenotypic methods or can be possible presence of other ESBL encoding genes such as SFO, BES, BEL, TLA, GES, PER and VEB types and structural changes in penicillin-binding proteins that result in resistance to β-lactam antibiotics [27,29,30,31].</w:t>
      </w:r>
    </w:p>
    <w:p>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 xml:space="preserve">In this study, the overall prevalence of ESBL genes was 186 (86.51%).Which is similar to other findings reported by </w:t>
      </w:r>
      <w:r>
        <w:rPr>
          <w:rFonts w:ascii="Times New Roman" w:hAnsi="Times New Roman" w:cs="Times New Roman"/>
          <w:bCs/>
          <w:sz w:val="24"/>
          <w:szCs w:val="24"/>
        </w:rPr>
        <w:t xml:space="preserve">Dirar et al, 2020 </w:t>
      </w:r>
      <w:r>
        <w:rPr>
          <w:rFonts w:ascii="Times New Roman" w:hAnsi="Times New Roman" w:cs="Times New Roman"/>
          <w:sz w:val="24"/>
          <w:szCs w:val="24"/>
        </w:rPr>
        <w:t>in Sudan</w:t>
      </w:r>
      <w:r>
        <w:rPr>
          <w:rFonts w:ascii="Times New Roman" w:hAnsi="Times New Roman" w:cs="Times New Roman"/>
          <w:b/>
          <w:sz w:val="24"/>
          <w:szCs w:val="24"/>
        </w:rPr>
        <w:t xml:space="preserve">, </w:t>
      </w:r>
      <w:r>
        <w:rPr>
          <w:rFonts w:ascii="Times New Roman" w:hAnsi="Times New Roman" w:cs="Times New Roman"/>
          <w:sz w:val="24"/>
          <w:szCs w:val="24"/>
        </w:rPr>
        <w:t>Ahmad</w:t>
      </w:r>
      <w:r>
        <w:rPr>
          <w:rFonts w:ascii="Times New Roman" w:hAnsi="Times New Roman" w:cs="Times New Roman"/>
          <w:bCs/>
          <w:sz w:val="24"/>
          <w:szCs w:val="24"/>
        </w:rPr>
        <w:t xml:space="preserve"> etal, 2019 </w:t>
      </w:r>
      <w:r>
        <w:rPr>
          <w:rFonts w:ascii="Times New Roman" w:hAnsi="Times New Roman" w:cs="Times New Roman"/>
          <w:sz w:val="24"/>
          <w:szCs w:val="24"/>
        </w:rPr>
        <w:t xml:space="preserve">in Iraq [32,33]. PCR analysis revealed the presence of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and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genes in ESBL producing </w:t>
      </w:r>
      <w:r>
        <w:rPr>
          <w:rFonts w:ascii="Times New Roman" w:hAnsi="Times New Roman" w:cs="Times New Roman"/>
          <w:i/>
          <w:sz w:val="24"/>
          <w:szCs w:val="24"/>
        </w:rPr>
        <w:t>E. coli</w:t>
      </w:r>
      <w:r>
        <w:rPr>
          <w:rFonts w:ascii="Times New Roman" w:hAnsi="Times New Roman" w:cs="Times New Roman"/>
          <w:sz w:val="24"/>
          <w:szCs w:val="24"/>
        </w:rPr>
        <w:t xml:space="preserve"> was 118 (63.4%), 68 (36.6%) and 0 (0) respectively. In this study,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was the most predominant genotype of ESBL among </w:t>
      </w:r>
      <w:r>
        <w:rPr>
          <w:rFonts w:ascii="Times New Roman" w:hAnsi="Times New Roman" w:cs="Times New Roman"/>
          <w:i/>
          <w:sz w:val="24"/>
          <w:szCs w:val="24"/>
        </w:rPr>
        <w:t>E. coli</w:t>
      </w:r>
      <w:r>
        <w:rPr>
          <w:rFonts w:ascii="Times New Roman" w:hAnsi="Times New Roman" w:cs="Times New Roman"/>
          <w:sz w:val="24"/>
          <w:szCs w:val="24"/>
        </w:rPr>
        <w:t xml:space="preserve"> isolates. This study is well supported by </w:t>
      </w:r>
      <w:r>
        <w:rPr>
          <w:rFonts w:ascii="Times New Roman" w:hAnsi="Times New Roman" w:cs="Times New Roman"/>
          <w:bCs/>
          <w:sz w:val="24"/>
          <w:szCs w:val="24"/>
        </w:rPr>
        <w:t xml:space="preserve">Dirar et al., 2020 </w:t>
      </w:r>
      <w:r>
        <w:rPr>
          <w:rFonts w:ascii="Times New Roman" w:hAnsi="Times New Roman" w:cs="Times New Roman"/>
          <w:sz w:val="24"/>
          <w:szCs w:val="24"/>
        </w:rPr>
        <w:t xml:space="preserve">in Sudan, Ahmad et al.,2019 in Iraq, </w:t>
      </w:r>
      <w:r>
        <w:rPr>
          <w:rFonts w:ascii="Times New Roman" w:hAnsi="Times New Roman" w:cs="Times New Roman"/>
          <w:bCs/>
          <w:sz w:val="24"/>
          <w:szCs w:val="24"/>
        </w:rPr>
        <w:t xml:space="preserve">Noha et al., 2020 </w:t>
      </w:r>
      <w:r>
        <w:rPr>
          <w:rFonts w:ascii="Times New Roman" w:hAnsi="Times New Roman" w:cs="Times New Roman"/>
          <w:sz w:val="24"/>
          <w:szCs w:val="24"/>
        </w:rPr>
        <w:t xml:space="preserve">in Upper Egypt, </w:t>
      </w:r>
      <w:r>
        <w:rPr>
          <w:rFonts w:ascii="Times New Roman" w:hAnsi="Times New Roman" w:cs="Times New Roman"/>
          <w:bCs/>
          <w:sz w:val="24"/>
          <w:szCs w:val="24"/>
        </w:rPr>
        <w:t xml:space="preserve">Pandit et al., 2020 </w:t>
      </w:r>
      <w:r>
        <w:rPr>
          <w:rFonts w:ascii="Times New Roman" w:hAnsi="Times New Roman" w:cs="Times New Roman"/>
          <w:sz w:val="24"/>
          <w:szCs w:val="24"/>
        </w:rPr>
        <w:t xml:space="preserve">in Nepal, </w:t>
      </w:r>
      <w:r>
        <w:rPr>
          <w:rFonts w:ascii="Times New Roman" w:hAnsi="Times New Roman" w:cs="Times New Roman"/>
          <w:bCs/>
          <w:sz w:val="24"/>
          <w:szCs w:val="24"/>
        </w:rPr>
        <w:t>Michael et</w:t>
      </w:r>
      <w:r>
        <w:rPr>
          <w:rFonts w:hint="default" w:ascii="Times New Roman" w:hAnsi="Times New Roman" w:cs="Times New Roman"/>
          <w:bCs/>
          <w:sz w:val="24"/>
          <w:szCs w:val="24"/>
          <w:lang w:val="en-US"/>
        </w:rPr>
        <w:t xml:space="preserve"> </w:t>
      </w:r>
      <w:r>
        <w:rPr>
          <w:rFonts w:ascii="Times New Roman" w:hAnsi="Times New Roman" w:cs="Times New Roman"/>
          <w:bCs/>
          <w:sz w:val="24"/>
          <w:szCs w:val="24"/>
        </w:rPr>
        <w:t xml:space="preserve">al., 2018 </w:t>
      </w:r>
      <w:r>
        <w:rPr>
          <w:rFonts w:ascii="Times New Roman" w:hAnsi="Times New Roman" w:cs="Times New Roman"/>
          <w:sz w:val="24"/>
          <w:szCs w:val="24"/>
        </w:rPr>
        <w:t xml:space="preserve">in Iraq, Sahoo et al. 2019 in India, </w:t>
      </w:r>
      <w:r>
        <w:rPr>
          <w:rFonts w:ascii="Times New Roman" w:hAnsi="Times New Roman" w:cs="Times New Roman"/>
          <w:bCs/>
          <w:sz w:val="24"/>
          <w:szCs w:val="24"/>
        </w:rPr>
        <w:t xml:space="preserve">Jena et al., 2017 </w:t>
      </w:r>
      <w:r>
        <w:rPr>
          <w:rFonts w:ascii="Times New Roman" w:hAnsi="Times New Roman" w:cs="Times New Roman"/>
          <w:sz w:val="24"/>
          <w:szCs w:val="24"/>
        </w:rPr>
        <w:t>in India</w:t>
      </w:r>
      <w:r>
        <w:rPr>
          <w:rFonts w:ascii="Times New Roman" w:hAnsi="Times New Roman" w:cs="Times New Roman"/>
          <w:bCs/>
          <w:sz w:val="24"/>
          <w:szCs w:val="24"/>
        </w:rPr>
        <w:t xml:space="preserve"> [32,33,34,35,36,37,38].</w:t>
      </w: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the prevalence of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genes were found to be 68 (36.6%) which concurs with various reports demonstrating the extensive worldwide dissemination of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genes in ESBL producing </w:t>
      </w:r>
      <w:r>
        <w:rPr>
          <w:rFonts w:ascii="Times New Roman" w:hAnsi="Times New Roman" w:cs="Times New Roman"/>
          <w:i/>
          <w:sz w:val="24"/>
          <w:szCs w:val="24"/>
        </w:rPr>
        <w:t>E.coli</w:t>
      </w:r>
      <w:r>
        <w:rPr>
          <w:rFonts w:ascii="Times New Roman" w:hAnsi="Times New Roman" w:cs="Times New Roman"/>
          <w:sz w:val="24"/>
          <w:szCs w:val="24"/>
        </w:rPr>
        <w:t xml:space="preserve"> isolates</w:t>
      </w:r>
      <w:r>
        <w:rPr>
          <w:rFonts w:ascii="Times New Roman" w:hAnsi="Times New Roman" w:cs="Times New Roman"/>
          <w:bCs/>
          <w:sz w:val="24"/>
          <w:szCs w:val="24"/>
        </w:rPr>
        <w:t xml:space="preserve"> [39]. </w:t>
      </w:r>
      <w:r>
        <w:rPr>
          <w:rFonts w:ascii="Times New Roman" w:hAnsi="Times New Roman" w:cs="Times New Roman"/>
          <w:sz w:val="24"/>
          <w:szCs w:val="24"/>
        </w:rPr>
        <w:t xml:space="preserve">However, another study from Nepal has reported the high prevalence of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genes (100%) by </w:t>
      </w:r>
      <w:r>
        <w:rPr>
          <w:rFonts w:ascii="Times New Roman" w:hAnsi="Times New Roman" w:cs="Times New Roman"/>
          <w:bCs/>
          <w:sz w:val="24"/>
          <w:szCs w:val="24"/>
        </w:rPr>
        <w:t>Lohani et al., 2019</w:t>
      </w:r>
      <w:r>
        <w:rPr>
          <w:rFonts w:ascii="Times New Roman" w:hAnsi="Times New Roman" w:cs="Times New Roman"/>
          <w:sz w:val="24"/>
          <w:szCs w:val="24"/>
        </w:rPr>
        <w:t xml:space="preserve"> and (91.4%) by </w:t>
      </w:r>
      <w:r>
        <w:rPr>
          <w:rFonts w:ascii="Times New Roman" w:hAnsi="Times New Roman" w:cs="Times New Roman"/>
          <w:bCs/>
          <w:sz w:val="24"/>
          <w:szCs w:val="24"/>
        </w:rPr>
        <w:t>Parajuli et al., 2016 [40,41].</w:t>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differences in frequencies of the prevalence of these genes may be as a result of differences in time by which isolates were collected and differences in volume and type of antibiotic consumption [42].</w:t>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Furthermore, multiple harboring of genes in a single ESBL producing </w:t>
      </w:r>
      <w:r>
        <w:rPr>
          <w:rFonts w:ascii="Times New Roman" w:hAnsi="Times New Roman" w:cs="Times New Roman"/>
          <w:i/>
          <w:sz w:val="24"/>
          <w:szCs w:val="24"/>
        </w:rPr>
        <w:t>E.coli</w:t>
      </w:r>
      <w:r>
        <w:rPr>
          <w:rFonts w:ascii="Times New Roman" w:hAnsi="Times New Roman" w:cs="Times New Roman"/>
          <w:sz w:val="24"/>
          <w:szCs w:val="24"/>
        </w:rPr>
        <w:t xml:space="preserve"> was also noted. The most common combination gene was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type 39(20.96%).Our finding is in agreement with the study by </w:t>
      </w:r>
      <w:r>
        <w:rPr>
          <w:rFonts w:ascii="Times New Roman" w:hAnsi="Times New Roman" w:cs="Times New Roman"/>
          <w:bCs/>
          <w:sz w:val="24"/>
          <w:szCs w:val="24"/>
        </w:rPr>
        <w:t>Lohani et</w:t>
      </w:r>
      <w:r>
        <w:rPr>
          <w:rFonts w:hint="default" w:ascii="Times New Roman" w:hAnsi="Times New Roman" w:cs="Times New Roman"/>
          <w:bCs/>
          <w:sz w:val="24"/>
          <w:szCs w:val="24"/>
          <w:lang w:val="en-US"/>
        </w:rPr>
        <w:t xml:space="preserve"> </w:t>
      </w:r>
      <w:r>
        <w:rPr>
          <w:rFonts w:ascii="Times New Roman" w:hAnsi="Times New Roman" w:cs="Times New Roman"/>
          <w:bCs/>
          <w:sz w:val="24"/>
          <w:szCs w:val="24"/>
        </w:rPr>
        <w:t>al.,</w:t>
      </w:r>
      <w:r>
        <w:rPr>
          <w:rFonts w:ascii="Times New Roman" w:hAnsi="Times New Roman" w:cs="Times New Roman"/>
          <w:sz w:val="24"/>
          <w:szCs w:val="24"/>
        </w:rPr>
        <w:t xml:space="preserve"> where (21.2%) of </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and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CTX-M </w:t>
      </w:r>
      <w:r>
        <w:rPr>
          <w:rFonts w:ascii="Times New Roman" w:hAnsi="Times New Roman" w:cs="Times New Roman"/>
          <w:sz w:val="24"/>
          <w:szCs w:val="24"/>
        </w:rPr>
        <w:t xml:space="preserve">genes were  reported [40].The presence of multiple genotypes in a single isolate might be the result of complex antibiotic resistance pattern [43]. </w:t>
      </w:r>
    </w:p>
    <w:p>
      <w:pPr>
        <w:tabs>
          <w:tab w:val="left" w:pos="5896"/>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Regarding the </w:t>
      </w:r>
      <w:r>
        <w:rPr>
          <w:rFonts w:ascii="Times New Roman" w:hAnsi="Times New Roman" w:cs="Times New Roman"/>
          <w:i/>
          <w:iCs/>
          <w:sz w:val="24"/>
          <w:szCs w:val="24"/>
        </w:rPr>
        <w:t>bla</w:t>
      </w:r>
      <w:r>
        <w:rPr>
          <w:rFonts w:ascii="Times New Roman" w:hAnsi="Times New Roman" w:cs="Times New Roman"/>
          <w:sz w:val="24"/>
          <w:szCs w:val="24"/>
          <w:vertAlign w:val="subscript"/>
        </w:rPr>
        <w:t xml:space="preserve">SHV </w:t>
      </w:r>
      <w:r>
        <w:rPr>
          <w:rFonts w:ascii="Times New Roman" w:hAnsi="Times New Roman" w:cs="Times New Roman"/>
          <w:sz w:val="24"/>
          <w:szCs w:val="24"/>
        </w:rPr>
        <w:t xml:space="preserve">gene, no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type </w:t>
      </w:r>
      <w:r>
        <w:rPr>
          <w:rFonts w:ascii="Times New Roman" w:hAnsi="Times New Roman" w:cs="Times New Roman"/>
          <w:bCs/>
          <w:i/>
          <w:iCs/>
          <w:sz w:val="24"/>
          <w:szCs w:val="24"/>
        </w:rPr>
        <w:t>E.coli</w:t>
      </w:r>
      <w:r>
        <w:rPr>
          <w:rFonts w:ascii="Times New Roman" w:hAnsi="Times New Roman" w:cs="Times New Roman"/>
          <w:sz w:val="24"/>
          <w:szCs w:val="24"/>
        </w:rPr>
        <w:t xml:space="preserve"> was detected in our study,  similar to the study in Nigeria [44].However, several findings in Nepal reported the prevalence of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 xml:space="preserve"> gene in low frequency [40, 41]. </w:t>
      </w:r>
    </w:p>
    <w:p>
      <w:pPr>
        <w:spacing w:after="0" w:line="480" w:lineRule="auto"/>
        <w:rPr>
          <w:rFonts w:ascii="Times New Roman" w:hAnsi="Times New Roman"/>
          <w:b/>
          <w:sz w:val="24"/>
          <w:szCs w:val="24"/>
        </w:rPr>
      </w:pPr>
      <w:r>
        <w:rPr>
          <w:rFonts w:ascii="Times New Roman" w:hAnsi="Times New Roman"/>
          <w:b/>
          <w:sz w:val="24"/>
          <w:szCs w:val="24"/>
        </w:rPr>
        <w:t>5. CONCLUSION</w:t>
      </w: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highlights the emergence of MDR and ESBL producing </w:t>
      </w:r>
      <w:r>
        <w:rPr>
          <w:rFonts w:ascii="Times New Roman" w:hAnsi="Times New Roman" w:cs="Times New Roman"/>
          <w:i/>
          <w:sz w:val="24"/>
          <w:szCs w:val="24"/>
        </w:rPr>
        <w:t>E.coli</w:t>
      </w:r>
      <w:r>
        <w:rPr>
          <w:rFonts w:ascii="Times New Roman" w:hAnsi="Times New Roman" w:cs="Times New Roman"/>
          <w:sz w:val="24"/>
          <w:szCs w:val="24"/>
        </w:rPr>
        <w:t xml:space="preserve"> isolates with high antibiotic resistant rates to commonly used antibiotics and increased predominance of major gene types </w:t>
      </w:r>
      <w:r>
        <w:rPr>
          <w:rFonts w:ascii="Times New Roman" w:hAnsi="Times New Roman" w:cs="Times New Roman"/>
          <w:i/>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No resistance was documented to tigecycline, polymyxin b, and colistin suggesting the suitable drug of choice for treating ESBL producing </w:t>
      </w:r>
      <w:r>
        <w:rPr>
          <w:rFonts w:ascii="Times New Roman" w:hAnsi="Times New Roman" w:cs="Times New Roman"/>
          <w:i/>
          <w:sz w:val="24"/>
          <w:szCs w:val="24"/>
        </w:rPr>
        <w:t xml:space="preserve">E.coli </w:t>
      </w:r>
      <w:r>
        <w:rPr>
          <w:rFonts w:ascii="Times New Roman" w:hAnsi="Times New Roman" w:cs="Times New Roman"/>
          <w:sz w:val="24"/>
          <w:szCs w:val="24"/>
        </w:rPr>
        <w:t xml:space="preserve">infections. Periodic molecular detection and identification of ESBL producing bacterial isolates could provide information for rationale use of antibiotics to preserve antibiotics for the future. </w:t>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LIST OF ABBREVIATIONS</w:t>
      </w:r>
    </w:p>
    <w:p>
      <w:pPr>
        <w:spacing w:after="0" w:line="480" w:lineRule="auto"/>
        <w:jc w:val="both"/>
        <w:rPr>
          <w:rFonts w:ascii="Times New Roman" w:hAnsi="Times New Roman" w:cs="Times New Roman"/>
          <w:b/>
          <w:bCs/>
          <w:sz w:val="24"/>
          <w:szCs w:val="24"/>
        </w:rPr>
      </w:pPr>
    </w:p>
    <w:p>
      <w:pPr>
        <w:spacing w:after="120" w:line="480" w:lineRule="auto"/>
        <w:rPr>
          <w:rFonts w:ascii="Times New Roman" w:hAnsi="Times New Roman" w:cs="Times New Roman"/>
          <w:sz w:val="24"/>
          <w:szCs w:val="24"/>
        </w:rPr>
      </w:pPr>
      <w:r>
        <w:rPr>
          <w:rFonts w:ascii="Times New Roman" w:hAnsi="Times New Roman" w:cs="Times New Roman"/>
          <w:sz w:val="24"/>
          <w:szCs w:val="24"/>
        </w:rPr>
        <w:t>ESBL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Extended Spectrum Beta Lactamase</w:t>
      </w:r>
    </w:p>
    <w:p>
      <w:pPr>
        <w:spacing w:after="120" w:line="480" w:lineRule="auto"/>
        <w:rPr>
          <w:rFonts w:ascii="Times New Roman" w:hAnsi="Times New Roman" w:cs="Times New Roman"/>
          <w:sz w:val="24"/>
          <w:szCs w:val="24"/>
        </w:rPr>
      </w:pPr>
      <w:r>
        <w:rPr>
          <w:rFonts w:ascii="Times New Roman" w:hAnsi="Times New Roman" w:cs="Times New Roman"/>
          <w:sz w:val="24"/>
          <w:szCs w:val="24"/>
        </w:rPr>
        <w:t>MDR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Multi Drug Resistant</w:t>
      </w:r>
    </w:p>
    <w:p>
      <w:pPr>
        <w:spacing w:after="120" w:line="480" w:lineRule="auto"/>
        <w:rPr>
          <w:rFonts w:ascii="Times New Roman" w:hAnsi="Times New Roman" w:cs="Times New Roman"/>
          <w:sz w:val="24"/>
          <w:szCs w:val="24"/>
        </w:rPr>
      </w:pPr>
      <w:r>
        <w:rPr>
          <w:rFonts w:ascii="Times New Roman" w:hAnsi="Times New Roman" w:cs="Times New Roman"/>
          <w:sz w:val="24"/>
          <w:szCs w:val="24"/>
        </w:rPr>
        <w:t>bla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β-lactamase coding gene</w:t>
      </w:r>
    </w:p>
    <w:p>
      <w:pPr>
        <w:spacing w:after="120" w:line="480" w:lineRule="auto"/>
        <w:rPr>
          <w:rFonts w:ascii="Times New Roman" w:hAnsi="Times New Roman" w:cs="Times New Roman"/>
          <w:sz w:val="24"/>
          <w:szCs w:val="24"/>
        </w:rPr>
      </w:pPr>
      <w:r>
        <w:rPr>
          <w:rFonts w:ascii="Times New Roman" w:hAnsi="Times New Roman" w:cs="Times New Roman"/>
          <w:sz w:val="24"/>
          <w:szCs w:val="24"/>
        </w:rPr>
        <w:t>ATCC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American Type Culture Collection</w:t>
      </w:r>
    </w:p>
    <w:p>
      <w:pPr>
        <w:spacing w:after="120" w:line="480" w:lineRule="auto"/>
        <w:rPr>
          <w:rFonts w:ascii="Times New Roman" w:hAnsi="Times New Roman" w:cs="Times New Roman"/>
          <w:sz w:val="24"/>
          <w:szCs w:val="24"/>
        </w:rPr>
      </w:pPr>
      <w:r>
        <w:rPr>
          <w:rFonts w:ascii="Times New Roman" w:hAnsi="Times New Roman" w:cs="Times New Roman"/>
          <w:sz w:val="24"/>
          <w:szCs w:val="24"/>
        </w:rPr>
        <w:t>CLSI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Clinical Laboratory Standard Institute</w:t>
      </w:r>
    </w:p>
    <w:p>
      <w:pPr>
        <w:spacing w:after="120" w:line="480" w:lineRule="auto"/>
        <w:rPr>
          <w:rFonts w:ascii="Times New Roman" w:hAnsi="Times New Roman" w:cs="Times New Roman"/>
          <w:sz w:val="24"/>
          <w:szCs w:val="24"/>
        </w:rPr>
      </w:pPr>
      <w:r>
        <w:rPr>
          <w:rFonts w:ascii="Times New Roman" w:hAnsi="Times New Roman" w:cs="Times New Roman"/>
          <w:sz w:val="24"/>
          <w:szCs w:val="24"/>
        </w:rPr>
        <w:t>CTX-M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Cefotaximase,Munich</w:t>
      </w:r>
    </w:p>
    <w:p>
      <w:pPr>
        <w:spacing w:after="120" w:line="480" w:lineRule="auto"/>
        <w:rPr>
          <w:rFonts w:ascii="Times New Roman" w:hAnsi="Times New Roman" w:cs="Times New Roman"/>
          <w:sz w:val="24"/>
          <w:szCs w:val="24"/>
        </w:rPr>
      </w:pPr>
      <w:r>
        <w:rPr>
          <w:rFonts w:ascii="Times New Roman" w:hAnsi="Times New Roman" w:cs="Times New Roman"/>
          <w:sz w:val="24"/>
          <w:szCs w:val="24"/>
        </w:rPr>
        <w:t>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Temoniera gene</w:t>
      </w:r>
    </w:p>
    <w:p>
      <w:pPr>
        <w:spacing w:after="120" w:line="480" w:lineRule="auto"/>
        <w:rPr>
          <w:rFonts w:ascii="Times New Roman" w:hAnsi="Times New Roman" w:cs="Times New Roman"/>
          <w:sz w:val="24"/>
          <w:szCs w:val="24"/>
        </w:rPr>
      </w:pPr>
      <w:r>
        <w:rPr>
          <w:rFonts w:ascii="Times New Roman" w:hAnsi="Times New Roman" w:cs="Times New Roman"/>
          <w:sz w:val="24"/>
          <w:szCs w:val="24"/>
        </w:rPr>
        <w:t>SHV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Sulfhydril variable</w:t>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DECLARATIONS</w:t>
      </w:r>
    </w:p>
    <w:p>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Ethical approval: </w:t>
      </w:r>
      <w:r>
        <w:rPr>
          <w:rFonts w:ascii="Times New Roman" w:hAnsi="Times New Roman" w:cs="Times New Roman"/>
          <w:sz w:val="24"/>
          <w:szCs w:val="24"/>
        </w:rPr>
        <w:t>Ethical approval has been attached here with</w:t>
      </w:r>
    </w:p>
    <w:p>
      <w:pPr>
        <w:numPr>
          <w:ilvl w:val="0"/>
          <w:numId w:val="2"/>
        </w:numPr>
        <w:spacing w:after="0" w:line="480" w:lineRule="auto"/>
        <w:jc w:val="both"/>
        <w:rPr>
          <w:rFonts w:ascii="Times New Roman" w:hAnsi="Times New Roman" w:cs="Times New Roman"/>
          <w:b/>
          <w:sz w:val="24"/>
          <w:szCs w:val="24"/>
        </w:rPr>
      </w:pPr>
      <w:r>
        <w:rPr>
          <w:rFonts w:ascii="Times New Roman" w:hAnsi="Times New Roman" w:cs="Times New Roman"/>
          <w:b/>
          <w:bCs/>
          <w:sz w:val="24"/>
          <w:szCs w:val="24"/>
        </w:rPr>
        <w:t>Consent form:</w:t>
      </w:r>
      <w:r>
        <w:rPr>
          <w:rFonts w:ascii="Times New Roman" w:hAnsi="Times New Roman" w:cs="Times New Roman"/>
          <w:sz w:val="24"/>
          <w:szCs w:val="24"/>
        </w:rPr>
        <w:t>Consent form to participate  has been attached here with</w:t>
      </w:r>
    </w:p>
    <w:p>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Competing interests</w:t>
      </w:r>
      <w:r>
        <w:rPr>
          <w:rFonts w:ascii="Times New Roman" w:hAnsi="Times New Roman" w:cs="Times New Roman"/>
          <w:bCs/>
          <w:sz w:val="24"/>
          <w:szCs w:val="24"/>
        </w:rPr>
        <w:t>:</w:t>
      </w:r>
      <w:r>
        <w:rPr>
          <w:rFonts w:ascii="Times New Roman" w:hAnsi="Times New Roman" w:cs="Times New Roman"/>
          <w:sz w:val="24"/>
          <w:szCs w:val="24"/>
        </w:rPr>
        <w:t>The authors declare no conflict of interest</w:t>
      </w:r>
    </w:p>
    <w:p>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Consent for publication</w:t>
      </w:r>
      <w:r>
        <w:rPr>
          <w:rFonts w:ascii="Times New Roman" w:hAnsi="Times New Roman" w:cs="Times New Roman"/>
          <w:sz w:val="24"/>
          <w:szCs w:val="24"/>
        </w:rPr>
        <w:t>: Not Applicable</w:t>
      </w:r>
    </w:p>
    <w:p>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Availability of Data and Materials</w:t>
      </w:r>
      <w:r>
        <w:rPr>
          <w:rFonts w:ascii="Times New Roman" w:hAnsi="Times New Roman" w:cs="Times New Roman"/>
          <w:sz w:val="24"/>
          <w:szCs w:val="24"/>
        </w:rPr>
        <w:t xml:space="preserve">: All data generated in the study have been included in the manuscript. </w:t>
      </w:r>
    </w:p>
    <w:p>
      <w:pPr>
        <w:spacing w:after="0" w:line="480" w:lineRule="auto"/>
        <w:jc w:val="both"/>
        <w:rPr>
          <w:rFonts w:ascii="Times New Roman" w:hAnsi="Times New Roman"/>
          <w:sz w:val="24"/>
          <w:szCs w:val="24"/>
        </w:rPr>
      </w:pPr>
    </w:p>
    <w:p>
      <w:pPr>
        <w:spacing w:after="0" w:line="480" w:lineRule="auto"/>
        <w:jc w:val="both"/>
        <w:rPr>
          <w:rFonts w:ascii="Times New Roman" w:hAnsi="Times New Roman"/>
          <w:b/>
          <w:bCs/>
          <w:sz w:val="24"/>
          <w:szCs w:val="24"/>
        </w:rPr>
      </w:pPr>
      <w:r>
        <w:rPr>
          <w:rFonts w:ascii="Times New Roman" w:hAnsi="Times New Roman"/>
          <w:b/>
          <w:bCs/>
          <w:sz w:val="24"/>
          <w:szCs w:val="24"/>
        </w:rPr>
        <w:t>FUNDING</w:t>
      </w:r>
    </w:p>
    <w:p>
      <w:pPr>
        <w:spacing w:after="0" w:line="480" w:lineRule="auto"/>
        <w:jc w:val="both"/>
        <w:rPr>
          <w:rFonts w:ascii="Times New Roman" w:hAnsi="Times New Roman"/>
          <w:sz w:val="24"/>
          <w:szCs w:val="24"/>
        </w:rPr>
      </w:pPr>
      <w:r>
        <w:rPr>
          <w:rFonts w:ascii="Times New Roman" w:hAnsi="Times New Roman"/>
          <w:sz w:val="24"/>
          <w:szCs w:val="24"/>
        </w:rPr>
        <w:t>The authors funded themselves to complete this research</w:t>
      </w:r>
    </w:p>
    <w:p>
      <w:pPr>
        <w:spacing w:after="0" w:line="480" w:lineRule="auto"/>
        <w:jc w:val="both"/>
        <w:rPr>
          <w:rFonts w:ascii="Times New Roman" w:hAnsi="Times New Roman" w:cs="Times New Roman"/>
          <w:b/>
          <w:sz w:val="24"/>
          <w:szCs w:val="24"/>
        </w:rPr>
      </w:pPr>
      <w:r>
        <w:rPr>
          <w:rFonts w:ascii="Times New Roman" w:hAnsi="Times New Roman"/>
          <w:b/>
          <w:bCs/>
          <w:sz w:val="24"/>
          <w:szCs w:val="24"/>
        </w:rPr>
        <w:t>AUTHORS CONTRIBUTIONS</w:t>
      </w: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Mahesh Chaudhary: Laboratory work, analysis and interpretation of data, drafting manuscript and finalization, final approval to be submitted.</w:t>
      </w: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Prof.Dr.Indrani Jadhav:Analysis and interpretation of data,supervision, revision of the manuscript,final approval to be submitted.</w:t>
      </w:r>
    </w:p>
    <w:p>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Dr.Megha Raj Banjara: Supervision, revision of the manuscript,final approval to be submitted.</w:t>
      </w:r>
    </w:p>
    <w:p>
      <w:pPr>
        <w:spacing w:after="0" w:line="480" w:lineRule="auto"/>
        <w:jc w:val="both"/>
        <w:rPr>
          <w:rFonts w:ascii="Times New Roman" w:hAnsi="Times New Roman"/>
          <w:b/>
          <w:bCs/>
          <w:sz w:val="24"/>
          <w:szCs w:val="24"/>
        </w:rPr>
      </w:pPr>
    </w:p>
    <w:p>
      <w:pPr>
        <w:spacing w:line="480" w:lineRule="auto"/>
        <w:jc w:val="both"/>
        <w:rPr>
          <w:rFonts w:ascii="Times New Roman" w:hAnsi="Times New Roman"/>
          <w:b/>
          <w:sz w:val="24"/>
          <w:szCs w:val="24"/>
        </w:rPr>
      </w:pPr>
      <w:r>
        <w:rPr>
          <w:rFonts w:ascii="Times New Roman" w:hAnsi="Times New Roman"/>
          <w:b/>
          <w:sz w:val="24"/>
          <w:szCs w:val="24"/>
        </w:rPr>
        <w:t>ACKNOWLEDGEMENTS</w:t>
      </w:r>
    </w:p>
    <w:p>
      <w:pPr>
        <w:spacing w:line="480" w:lineRule="auto"/>
        <w:jc w:val="both"/>
        <w:rPr>
          <w:rFonts w:ascii="Times New Roman" w:hAnsi="Times New Roman"/>
          <w:sz w:val="24"/>
          <w:szCs w:val="24"/>
        </w:rPr>
      </w:pPr>
      <w:r>
        <w:rPr>
          <w:rFonts w:ascii="Times New Roman" w:hAnsi="Times New Roman"/>
          <w:sz w:val="24"/>
          <w:szCs w:val="24"/>
        </w:rPr>
        <w:t>We would like to acknowledge Nepal Mediciti Hospital, Nepal for providing ethical approval and research work. We also thank to the microbiology laboratory staffs for their valuable support to complete this work.</w:t>
      </w:r>
    </w:p>
    <w:p>
      <w:pPr>
        <w:spacing w:line="480" w:lineRule="auto"/>
        <w:jc w:val="both"/>
        <w:rPr>
          <w:rFonts w:ascii="Times New Roman" w:hAnsi="Times New Roman"/>
          <w:b/>
          <w:sz w:val="24"/>
          <w:szCs w:val="24"/>
        </w:rPr>
      </w:pPr>
    </w:p>
    <w:p>
      <w:pPr>
        <w:spacing w:line="480" w:lineRule="auto"/>
        <w:jc w:val="both"/>
        <w:rPr>
          <w:rFonts w:ascii="Times New Roman" w:hAnsi="Times New Roman"/>
          <w:b/>
          <w:sz w:val="24"/>
          <w:szCs w:val="24"/>
        </w:rPr>
      </w:pPr>
      <w:r>
        <w:rPr>
          <w:rFonts w:ascii="Times New Roman" w:hAnsi="Times New Roman"/>
          <w:b/>
          <w:sz w:val="24"/>
          <w:szCs w:val="24"/>
        </w:rPr>
        <w:t>REFERENCES</w:t>
      </w:r>
    </w:p>
    <w:p>
      <w:pPr>
        <w:spacing w:line="480" w:lineRule="auto"/>
        <w:jc w:val="both"/>
        <w:rPr>
          <w:rFonts w:ascii="Times New Roman" w:hAnsi="Times New Roman"/>
          <w:b/>
          <w:sz w:val="24"/>
          <w:szCs w:val="24"/>
        </w:rPr>
      </w:pPr>
      <w:r>
        <w:rPr>
          <w:rFonts w:ascii="Times New Roman" w:hAnsi="Times New Roman"/>
          <w:b/>
          <w:sz w:val="24"/>
          <w:szCs w:val="24"/>
        </w:rPr>
        <w:t>REFERENCES</w:t>
      </w:r>
    </w:p>
    <w:p>
      <w:pPr>
        <w:pStyle w:val="11"/>
        <w:spacing w:line="480" w:lineRule="auto"/>
        <w:ind w:left="240" w:hanging="240" w:hangingChars="100"/>
        <w:jc w:val="both"/>
        <w:rPr>
          <w:rFonts w:ascii="Times New Roman" w:hAnsi="Times New Roman"/>
        </w:rPr>
      </w:pPr>
      <w:r>
        <w:rPr>
          <w:rFonts w:ascii="Times New Roman" w:hAnsi="Times New Roman"/>
        </w:rPr>
        <w:t>1 Ghafourian S, Sadeghifard N, Soheili S, Sekawi Z. Extended Spectrum Beta- lactamases: Definition, Classification and Epidemiology.</w:t>
      </w:r>
      <w:r>
        <w:rPr>
          <w:rStyle w:val="20"/>
          <w:i w:val="0"/>
          <w:iCs w:val="0"/>
          <w:color w:val="222222"/>
          <w:shd w:val="clear" w:color="auto" w:fill="FFFFFF"/>
        </w:rPr>
        <w:t>Curr. Issues Mol. Biol.</w:t>
      </w:r>
      <w:r>
        <w:rPr>
          <w:rFonts w:ascii="Times New Roman" w:hAnsi="Times New Roman"/>
          <w:bCs/>
          <w:color w:val="222222"/>
          <w:shd w:val="clear" w:color="auto" w:fill="FFFFFF"/>
        </w:rPr>
        <w:t xml:space="preserve">2015; </w:t>
      </w:r>
      <w:r>
        <w:rPr>
          <w:rStyle w:val="20"/>
          <w:i w:val="0"/>
          <w:iCs w:val="0"/>
          <w:color w:val="222222"/>
          <w:shd w:val="clear" w:color="auto" w:fill="FFFFFF"/>
        </w:rPr>
        <w:t>17</w:t>
      </w:r>
      <w:r>
        <w:rPr>
          <w:rFonts w:ascii="Times New Roman" w:hAnsi="Times New Roman"/>
          <w:color w:val="222222"/>
          <w:shd w:val="clear" w:color="auto" w:fill="FFFFFF"/>
        </w:rPr>
        <w:t>(1):11-22.</w:t>
      </w:r>
    </w:p>
    <w:p>
      <w:pPr>
        <w:pStyle w:val="11"/>
        <w:spacing w:line="480" w:lineRule="auto"/>
        <w:ind w:firstLine="240" w:firstLineChars="100"/>
        <w:rPr>
          <w:rFonts w:ascii="Times New Roman" w:hAnsi="Times New Roman"/>
        </w:rPr>
      </w:pPr>
      <w:r>
        <w:fldChar w:fldCharType="begin"/>
      </w:r>
      <w:r>
        <w:instrText xml:space="preserve"> HYPERLINK "https://doi.org/10.21775/cimb.017.011" </w:instrText>
      </w:r>
      <w:r>
        <w:fldChar w:fldCharType="separate"/>
      </w:r>
      <w:r>
        <w:rPr>
          <w:rStyle w:val="10"/>
          <w:rFonts w:ascii="Times New Roman" w:hAnsi="Times New Roman"/>
        </w:rPr>
        <w:t>https://doi.org/10.21775/cimb.017.011</w:t>
      </w:r>
      <w:r>
        <w:rPr>
          <w:rStyle w:val="10"/>
          <w:rFonts w:ascii="Times New Roman" w:hAnsi="Times New Roman"/>
        </w:rPr>
        <w:fldChar w:fldCharType="end"/>
      </w:r>
    </w:p>
    <w:p>
      <w:pPr>
        <w:numPr>
          <w:ilvl w:val="0"/>
          <w:numId w:val="1"/>
        </w:numPr>
        <w:spacing w:line="480" w:lineRule="auto"/>
        <w:ind w:left="360"/>
        <w:jc w:val="both"/>
        <w:rPr>
          <w:rFonts w:ascii="Times New Roman" w:hAnsi="Times New Roman"/>
          <w:sz w:val="24"/>
          <w:szCs w:val="24"/>
        </w:rPr>
      </w:pPr>
      <w:r>
        <w:rPr>
          <w:rFonts w:ascii="Times New Roman" w:hAnsi="Times New Roman"/>
          <w:sz w:val="24"/>
          <w:szCs w:val="24"/>
        </w:rPr>
        <w:t>Chaudhary U, Aggarwal R. Extended spectrum β-lactamases (ESBL): Emerging threat to</w:t>
      </w:r>
    </w:p>
    <w:p>
      <w:pPr>
        <w:spacing w:line="480" w:lineRule="auto"/>
        <w:ind w:firstLine="360" w:firstLineChars="150"/>
        <w:jc w:val="both"/>
        <w:rPr>
          <w:rFonts w:ascii="Times New Roman" w:hAnsi="Times New Roman"/>
          <w:sz w:val="24"/>
          <w:szCs w:val="24"/>
        </w:rPr>
      </w:pPr>
      <w:r>
        <w:rPr>
          <w:rFonts w:ascii="Times New Roman" w:hAnsi="Times New Roman"/>
          <w:sz w:val="24"/>
          <w:szCs w:val="24"/>
        </w:rPr>
        <w:t xml:space="preserve">clinical therapeutics. </w:t>
      </w:r>
      <w:r>
        <w:rPr>
          <w:rFonts w:ascii="Times New Roman" w:hAnsi="Times New Roman"/>
          <w:iCs/>
          <w:sz w:val="24"/>
          <w:szCs w:val="24"/>
        </w:rPr>
        <w:t>Indian J Med Microbiol.</w:t>
      </w:r>
      <w:r>
        <w:rPr>
          <w:rFonts w:ascii="Times New Roman" w:hAnsi="Times New Roman"/>
          <w:sz w:val="24"/>
          <w:szCs w:val="24"/>
        </w:rPr>
        <w:t>2004;22(2):7.</w:t>
      </w:r>
    </w:p>
    <w:p>
      <w:pPr>
        <w:spacing w:line="480" w:lineRule="auto"/>
        <w:ind w:firstLine="330" w:firstLineChars="150"/>
        <w:jc w:val="both"/>
        <w:rPr>
          <w:rFonts w:ascii="Times New Roman" w:hAnsi="Times New Roman"/>
          <w:sz w:val="24"/>
          <w:szCs w:val="24"/>
        </w:rPr>
      </w:pPr>
      <w:r>
        <w:fldChar w:fldCharType="begin"/>
      </w:r>
      <w:r>
        <w:instrText xml:space="preserve"> HYPERLINK "https://doi.org/10.1016/S0255-0857(21)02884-X" \t "_blank" \o "Persistent link using digital object identifier" </w:instrText>
      </w:r>
      <w:r>
        <w:fldChar w:fldCharType="separate"/>
      </w:r>
      <w:r>
        <w:rPr>
          <w:rStyle w:val="10"/>
          <w:rFonts w:ascii="Arial" w:hAnsi="Arial" w:cs="Arial"/>
          <w:color w:val="E9711C"/>
          <w:sz w:val="21"/>
          <w:szCs w:val="21"/>
        </w:rPr>
        <w:t>https://doi.org/10.1016/S0255-0857(21)02884-X</w:t>
      </w:r>
      <w:r>
        <w:rPr>
          <w:rStyle w:val="10"/>
          <w:rFonts w:ascii="Arial" w:hAnsi="Arial" w:cs="Arial"/>
          <w:color w:val="E9711C"/>
          <w:sz w:val="21"/>
          <w:szCs w:val="21"/>
        </w:rPr>
        <w:fldChar w:fldCharType="end"/>
      </w:r>
    </w:p>
    <w:p>
      <w:pPr>
        <w:pStyle w:val="11"/>
        <w:spacing w:line="480" w:lineRule="auto"/>
        <w:contextualSpacing/>
        <w:rPr>
          <w:rFonts w:ascii="Times New Roman" w:hAnsi="Times New Roman"/>
        </w:rPr>
      </w:pPr>
    </w:p>
    <w:p>
      <w:pPr>
        <w:pStyle w:val="11"/>
        <w:spacing w:line="480" w:lineRule="auto"/>
        <w:ind w:left="120" w:hanging="120" w:hangingChars="50"/>
        <w:jc w:val="both"/>
        <w:rPr>
          <w:rFonts w:ascii="Times New Roman" w:hAnsi="Times New Roman"/>
        </w:rPr>
      </w:pPr>
      <w:r>
        <w:rPr>
          <w:rFonts w:ascii="Times New Roman" w:hAnsi="Times New Roman"/>
        </w:rPr>
        <w:t xml:space="preserve">3 Shaikh S, Fatima J, Shakil S, Mohd S, Rizvi D, Mohammad AK. Antibiotic resistance and extended spectrum beta-lactamases: Types, epidemiology and treatment, </w:t>
      </w:r>
      <w:r>
        <w:rPr>
          <w:rFonts w:ascii="Times New Roman" w:hAnsi="Times New Roman"/>
          <w:iCs/>
        </w:rPr>
        <w:t>Saudi Journal of Biological Sciences.2015; 22(1):</w:t>
      </w:r>
      <w:r>
        <w:rPr>
          <w:rFonts w:ascii="Times New Roman" w:hAnsi="Times New Roman"/>
        </w:rPr>
        <w:t xml:space="preserve"> 90-101.</w:t>
      </w:r>
    </w:p>
    <w:p>
      <w:pPr>
        <w:spacing w:line="480" w:lineRule="auto"/>
        <w:ind w:firstLine="110" w:firstLineChars="50"/>
        <w:rPr>
          <w:rStyle w:val="10"/>
          <w:rFonts w:ascii="Times New Roman" w:hAnsi="Times New Roman" w:eastAsia="Calibri" w:cs="Times New Roman"/>
          <w:sz w:val="24"/>
          <w:szCs w:val="24"/>
        </w:rPr>
      </w:pPr>
      <w:r>
        <w:fldChar w:fldCharType="begin"/>
      </w:r>
      <w:r>
        <w:instrText xml:space="preserve"> HYPERLINK "https://doi.org/10.1016/j.sjbs.2014.08.002" </w:instrText>
      </w:r>
      <w:r>
        <w:fldChar w:fldCharType="separate"/>
      </w:r>
      <w:r>
        <w:rPr>
          <w:rStyle w:val="10"/>
          <w:rFonts w:ascii="Times New Roman" w:hAnsi="Times New Roman" w:eastAsia="Calibri" w:cs="Times New Roman"/>
          <w:sz w:val="24"/>
          <w:szCs w:val="24"/>
        </w:rPr>
        <w:t>https://doi.org/10.1016/j.sjbs.2014.08.002</w:t>
      </w:r>
      <w:r>
        <w:rPr>
          <w:rStyle w:val="10"/>
          <w:rFonts w:ascii="Times New Roman" w:hAnsi="Times New Roman" w:eastAsia="Calibri" w:cs="Times New Roman"/>
          <w:sz w:val="24"/>
          <w:szCs w:val="24"/>
        </w:rPr>
        <w:fldChar w:fldCharType="end"/>
      </w:r>
    </w:p>
    <w:p>
      <w:pPr>
        <w:pStyle w:val="21"/>
        <w:spacing w:line="480" w:lineRule="auto"/>
        <w:ind w:left="0"/>
        <w:rPr>
          <w:rFonts w:hint="default" w:ascii="Times New Roman" w:hAnsi="Times New Roman" w:eastAsia="Calibri"/>
          <w:sz w:val="24"/>
          <w:szCs w:val="24"/>
        </w:rPr>
      </w:pPr>
      <w:r>
        <w:rPr>
          <w:rFonts w:hint="default" w:ascii="Times New Roman" w:hAnsi="Times New Roman" w:eastAsia="Calibri"/>
          <w:sz w:val="24"/>
          <w:szCs w:val="24"/>
        </w:rPr>
        <w:t>4 Perilli</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M, Segatore</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B, Mugnaioli</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C, Celenza</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G, Rossolini</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GM, Stefani</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S, Luzzaro</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 xml:space="preserve">F, </w:t>
      </w:r>
    </w:p>
    <w:p>
      <w:pPr>
        <w:pStyle w:val="21"/>
        <w:spacing w:line="480" w:lineRule="auto"/>
        <w:ind w:left="240" w:leftChars="109"/>
        <w:rPr>
          <w:rFonts w:hint="default" w:ascii="Times New Roman" w:hAnsi="Times New Roman" w:eastAsia="Calibri"/>
          <w:sz w:val="24"/>
          <w:szCs w:val="24"/>
        </w:rPr>
      </w:pPr>
      <w:r>
        <w:rPr>
          <w:rFonts w:hint="default" w:ascii="Times New Roman" w:hAnsi="Times New Roman" w:eastAsia="Calibri"/>
          <w:sz w:val="24"/>
          <w:szCs w:val="24"/>
        </w:rPr>
        <w:t>Pini</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B, Amicosante</w:t>
      </w:r>
      <w:r>
        <w:rPr>
          <w:rFonts w:hint="default" w:ascii="Times New Roman" w:hAnsi="Times New Roman" w:eastAsia="Calibri"/>
          <w:sz w:val="24"/>
          <w:szCs w:val="24"/>
          <w:lang w:val="en-US"/>
        </w:rPr>
        <w:t xml:space="preserve"> </w:t>
      </w:r>
      <w:r>
        <w:rPr>
          <w:rFonts w:hint="default" w:ascii="Times New Roman" w:hAnsi="Times New Roman" w:eastAsia="Calibri"/>
          <w:sz w:val="24"/>
          <w:szCs w:val="24"/>
        </w:rPr>
        <w:t>G. Persistence of  TEM-52/TEM-92 and SHV-12 extended-spectrum beta-lactamases in clinical isolates of Enterobacteriaceae in Italy.</w:t>
      </w:r>
      <w:r>
        <w:rPr>
          <w:rFonts w:hint="default" w:ascii="Times New Roman" w:hAnsi="Times New Roman" w:eastAsia="Calibri"/>
          <w:iCs/>
          <w:sz w:val="24"/>
          <w:szCs w:val="24"/>
        </w:rPr>
        <w:t>Microb. Drug Resist.</w:t>
      </w:r>
      <w:r>
        <w:rPr>
          <w:rFonts w:hint="default" w:ascii="Times New Roman" w:hAnsi="Times New Roman" w:eastAsia="Calibri"/>
          <w:sz w:val="24"/>
          <w:szCs w:val="24"/>
        </w:rPr>
        <w:t>2011;17(4): 521–524.</w:t>
      </w:r>
    </w:p>
    <w:p>
      <w:pPr>
        <w:spacing w:line="480" w:lineRule="auto"/>
        <w:ind w:firstLine="220" w:firstLineChars="100"/>
        <w:rPr>
          <w:rFonts w:ascii="Times New Roman" w:hAnsi="Times New Roman" w:cs="Times New Roman"/>
          <w:sz w:val="24"/>
          <w:szCs w:val="24"/>
        </w:rPr>
      </w:pPr>
      <w:r>
        <w:fldChar w:fldCharType="begin"/>
      </w:r>
      <w:r>
        <w:instrText xml:space="preserve"> HYPERLINK "https://doi.org/10.1089/mdr.2011.0059" </w:instrText>
      </w:r>
      <w:r>
        <w:fldChar w:fldCharType="separate"/>
      </w:r>
      <w:r>
        <w:rPr>
          <w:rStyle w:val="10"/>
          <w:rFonts w:ascii="Times New Roman" w:hAnsi="Times New Roman" w:eastAsia="Calibri" w:cs="Times New Roman"/>
          <w:sz w:val="24"/>
          <w:szCs w:val="24"/>
        </w:rPr>
        <w:t>https://doi.org/10.1089/mdr.2011.0059</w:t>
      </w:r>
      <w:r>
        <w:rPr>
          <w:rStyle w:val="10"/>
          <w:rFonts w:ascii="Times New Roman" w:hAnsi="Times New Roman" w:eastAsia="Calibri" w:cs="Times New Roman"/>
          <w:sz w:val="24"/>
          <w:szCs w:val="24"/>
        </w:rPr>
        <w:fldChar w:fldCharType="end"/>
      </w:r>
    </w:p>
    <w:p>
      <w:pPr>
        <w:spacing w:line="480" w:lineRule="auto"/>
        <w:ind w:left="240" w:hanging="240" w:hangingChars="100"/>
        <w:jc w:val="both"/>
        <w:rPr>
          <w:rFonts w:ascii="Times New Roman" w:hAnsi="Times New Roman" w:eastAsia="SimSun" w:cs="Times New Roman"/>
          <w:color w:val="232323"/>
          <w:sz w:val="24"/>
          <w:szCs w:val="24"/>
          <w:shd w:val="clear" w:color="auto" w:fill="FFFFFF"/>
        </w:rPr>
      </w:pPr>
      <w:r>
        <w:rPr>
          <w:rFonts w:ascii="Times New Roman" w:hAnsi="Times New Roman" w:eastAsia="Calibri" w:cs="Times New Roman"/>
          <w:sz w:val="24"/>
          <w:szCs w:val="24"/>
          <w:lang w:eastAsia="zh-CN"/>
        </w:rPr>
        <w:t xml:space="preserve">5 </w:t>
      </w:r>
      <w:r>
        <w:rPr>
          <w:rFonts w:ascii="Times New Roman" w:hAnsi="Times New Roman" w:eastAsia="SimSun" w:cs="Times New Roman"/>
          <w:color w:val="232323"/>
          <w:sz w:val="24"/>
          <w:szCs w:val="24"/>
          <w:shd w:val="clear" w:color="auto" w:fill="FFFFFF"/>
          <w:lang w:eastAsia="zh-CN"/>
        </w:rPr>
        <w:t>Kaur</w:t>
      </w:r>
      <w:r>
        <w:rPr>
          <w:rFonts w:hint="default" w:ascii="Times New Roman" w:hAnsi="Times New Roman" w:eastAsia="SimSun" w:cs="Times New Roman"/>
          <w:color w:val="232323"/>
          <w:sz w:val="24"/>
          <w:szCs w:val="24"/>
          <w:shd w:val="clear" w:color="auto" w:fill="FFFFFF"/>
          <w:lang w:val="en-US" w:eastAsia="zh-CN"/>
        </w:rPr>
        <w:t xml:space="preserve"> </w:t>
      </w:r>
      <w:r>
        <w:rPr>
          <w:rFonts w:ascii="Times New Roman" w:hAnsi="Times New Roman" w:eastAsia="SimSun" w:cs="Times New Roman"/>
          <w:color w:val="232323"/>
          <w:sz w:val="24"/>
          <w:szCs w:val="24"/>
          <w:shd w:val="clear" w:color="auto" w:fill="FFFFFF"/>
          <w:lang w:eastAsia="zh-CN"/>
        </w:rPr>
        <w:t>M, Aggarwal</w:t>
      </w:r>
      <w:r>
        <w:rPr>
          <w:rFonts w:hint="default" w:ascii="Times New Roman" w:hAnsi="Times New Roman" w:eastAsia="SimSun" w:cs="Times New Roman"/>
          <w:color w:val="232323"/>
          <w:sz w:val="24"/>
          <w:szCs w:val="24"/>
          <w:shd w:val="clear" w:color="auto" w:fill="FFFFFF"/>
          <w:lang w:val="en-US" w:eastAsia="zh-CN"/>
        </w:rPr>
        <w:t xml:space="preserve"> </w:t>
      </w:r>
      <w:r>
        <w:rPr>
          <w:rFonts w:ascii="Times New Roman" w:hAnsi="Times New Roman" w:eastAsia="SimSun" w:cs="Times New Roman"/>
          <w:color w:val="232323"/>
          <w:sz w:val="24"/>
          <w:szCs w:val="24"/>
          <w:shd w:val="clear" w:color="auto" w:fill="FFFFFF"/>
          <w:lang w:eastAsia="zh-CN"/>
        </w:rPr>
        <w:t>A.Occurrence of the CTX-M, SHV and the TEM Genes among the Extended Spectrum Beta-Lactamase Producing Isolates of Enterobacteriaceae in a Tertiary Care Hospital of North India. Journal of Clinical and Diagnostic Research.2013;7:642-645.</w:t>
      </w:r>
    </w:p>
    <w:p>
      <w:pPr>
        <w:spacing w:line="480" w:lineRule="auto"/>
        <w:ind w:firstLine="220" w:firstLineChars="100"/>
        <w:jc w:val="both"/>
        <w:rPr>
          <w:rStyle w:val="10"/>
          <w:rFonts w:ascii="Times New Roman" w:hAnsi="Times New Roman" w:eastAsia="SimSun" w:cs="Times New Roman"/>
          <w:sz w:val="24"/>
          <w:szCs w:val="24"/>
          <w:shd w:val="clear" w:color="auto" w:fill="FFFFFF"/>
        </w:rPr>
      </w:pPr>
      <w:r>
        <w:fldChar w:fldCharType="begin"/>
      </w:r>
      <w:r>
        <w:instrText xml:space="preserve"> HYPERLINK "https://doi.org/10.7860/JCDR/2013/5081.2872" </w:instrText>
      </w:r>
      <w:r>
        <w:fldChar w:fldCharType="separate"/>
      </w:r>
      <w:r>
        <w:rPr>
          <w:rStyle w:val="10"/>
          <w:rFonts w:ascii="Times New Roman" w:hAnsi="Times New Roman" w:eastAsia="SimSun" w:cs="Times New Roman"/>
          <w:sz w:val="24"/>
          <w:szCs w:val="24"/>
          <w:shd w:val="clear" w:color="auto" w:fill="FFFFFF"/>
        </w:rPr>
        <w:t>https://doi.org/10.7860/JCDR/2013/5081.2872</w:t>
      </w:r>
      <w:r>
        <w:rPr>
          <w:rStyle w:val="10"/>
          <w:rFonts w:ascii="Times New Roman" w:hAnsi="Times New Roman" w:eastAsia="SimSun" w:cs="Times New Roman"/>
          <w:sz w:val="24"/>
          <w:szCs w:val="24"/>
          <w:shd w:val="clear" w:color="auto" w:fill="FFFFFF"/>
        </w:rPr>
        <w:fldChar w:fldCharType="end"/>
      </w:r>
    </w:p>
    <w:p>
      <w:pPr>
        <w:spacing w:line="480" w:lineRule="auto"/>
        <w:ind w:left="240" w:hanging="240" w:hangingChars="100"/>
        <w:jc w:val="both"/>
        <w:rPr>
          <w:rFonts w:ascii="Times New Roman" w:hAnsi="Times New Roman" w:eastAsia="SimSun" w:cs="Times New Roman"/>
          <w:color w:val="232323"/>
          <w:sz w:val="24"/>
          <w:szCs w:val="24"/>
          <w:shd w:val="clear" w:color="auto" w:fill="FFFFFF"/>
        </w:rPr>
      </w:pPr>
      <w:r>
        <w:rPr>
          <w:rFonts w:ascii="Times New Roman" w:hAnsi="Times New Roman" w:eastAsia="Calibri" w:cs="Times New Roman"/>
          <w:sz w:val="24"/>
          <w:szCs w:val="24"/>
          <w:lang w:eastAsia="zh-CN"/>
        </w:rPr>
        <w:t>6 Clinical and Laboratory Standards Institute (CLSI). Performance Standards for Antimicrobial Susceptibility Testing; 32nded.CLSI supplement M100.Clinical and  Laboratory Standards Institute,USA,</w:t>
      </w:r>
      <w:r>
        <w:rPr>
          <w:rFonts w:ascii="Times New Roman" w:hAnsi="Times New Roman" w:eastAsia="Calibri" w:cs="Times New Roman"/>
          <w:iCs/>
          <w:sz w:val="24"/>
          <w:szCs w:val="24"/>
          <w:lang w:eastAsia="zh-CN"/>
        </w:rPr>
        <w:t>2022</w:t>
      </w:r>
      <w:r>
        <w:rPr>
          <w:rFonts w:ascii="Times New Roman" w:hAnsi="Times New Roman" w:eastAsia="Calibri" w:cs="Times New Roman"/>
          <w:i/>
          <w:sz w:val="24"/>
          <w:szCs w:val="24"/>
          <w:lang w:eastAsia="zh-CN"/>
        </w:rPr>
        <w:t>.</w:t>
      </w:r>
    </w:p>
    <w:p>
      <w:pPr>
        <w:pStyle w:val="11"/>
        <w:spacing w:after="160" w:afterAutospacing="0" w:line="480" w:lineRule="auto"/>
        <w:ind w:left="240" w:hanging="240" w:hangingChars="100"/>
        <w:contextualSpacing/>
        <w:rPr>
          <w:rFonts w:ascii="Times New Roman" w:hAnsi="Times New Roman" w:eastAsia="Segoe UI"/>
          <w:shd w:val="clear" w:color="auto" w:fill="FFFFFF"/>
        </w:rPr>
      </w:pPr>
      <w:r>
        <w:rPr>
          <w:rFonts w:ascii="Times New Roman" w:hAnsi="Times New Roman" w:eastAsia="Segoe UI"/>
          <w:shd w:val="clear" w:color="auto" w:fill="FFFFFF"/>
        </w:rPr>
        <w:t>7  Guragain</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N, Pradhan</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A, Dhungel</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B, Banjara</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MR, Rijal KR, Ghimire</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P. Extended Spectrum Beta-lactamase Producing Gram  Negative Bacterial Isolates from Urine of</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Patients Visiting Everest Hospital, Kathmandu, Nepal. Tribhuvan University Journal of Microbiology. 2019;6:26–31.</w:t>
      </w:r>
    </w:p>
    <w:p>
      <w:pPr>
        <w:spacing w:line="480" w:lineRule="auto"/>
        <w:ind w:firstLine="220" w:firstLineChars="100"/>
        <w:rPr>
          <w:rFonts w:ascii="Times New Roman" w:hAnsi="Times New Roman" w:eastAsia="Segoe UI" w:cs="Times New Roman"/>
          <w:sz w:val="24"/>
          <w:szCs w:val="24"/>
          <w:shd w:val="clear" w:color="auto" w:fill="FFFFFF"/>
        </w:rPr>
      </w:pPr>
      <w:r>
        <w:fldChar w:fldCharType="begin"/>
      </w:r>
      <w:r>
        <w:instrText xml:space="preserve"> HYPERLINK "https://doi.org/10.3126/tujm.v6i0.26575" </w:instrText>
      </w:r>
      <w:r>
        <w:fldChar w:fldCharType="separate"/>
      </w:r>
      <w:r>
        <w:rPr>
          <w:rStyle w:val="10"/>
          <w:rFonts w:ascii="Times New Roman" w:hAnsi="Times New Roman" w:eastAsia="Segoe UI" w:cs="Times New Roman"/>
          <w:sz w:val="24"/>
          <w:szCs w:val="24"/>
          <w:shd w:val="clear" w:color="auto" w:fill="FFFFFF"/>
        </w:rPr>
        <w:t>https://doi.org/10.3126/tujm.v6i0.26575</w:t>
      </w:r>
      <w:r>
        <w:rPr>
          <w:rStyle w:val="10"/>
          <w:rFonts w:ascii="Times New Roman" w:hAnsi="Times New Roman" w:eastAsia="Segoe UI" w:cs="Times New Roman"/>
          <w:sz w:val="24"/>
          <w:szCs w:val="24"/>
          <w:shd w:val="clear" w:color="auto" w:fill="FFFFFF"/>
        </w:rPr>
        <w:fldChar w:fldCharType="end"/>
      </w:r>
    </w:p>
    <w:p>
      <w:pPr>
        <w:pStyle w:val="11"/>
        <w:spacing w:after="160" w:afterAutospacing="0" w:line="480" w:lineRule="auto"/>
        <w:ind w:left="240" w:hanging="240" w:hangingChars="100"/>
        <w:contextualSpacing/>
        <w:rPr>
          <w:rFonts w:ascii="Times New Roman" w:hAnsi="Times New Roman" w:eastAsia="Segoe UI"/>
          <w:shd w:val="clear" w:color="auto" w:fill="FFFFFF"/>
        </w:rPr>
      </w:pPr>
      <w:r>
        <w:rPr>
          <w:rFonts w:ascii="Times New Roman" w:hAnsi="Times New Roman" w:eastAsia="Segoe UI"/>
          <w:shd w:val="clear" w:color="auto" w:fill="FFFFFF"/>
        </w:rPr>
        <w:t>8  Khanal</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LK, Amatya</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R, Sah</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AK, Adhikari</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RP, Khadka</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S, Sapkota J, Rai</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SK.</w:t>
      </w:r>
      <w:r>
        <w:rPr>
          <w:rFonts w:hint="default" w:ascii="Times New Roman" w:hAnsi="Times New Roman" w:eastAsia="Segoe UI"/>
          <w:shd w:val="clear" w:color="auto" w:fill="FFFFFF"/>
          <w:lang w:val="en-US"/>
        </w:rPr>
        <w:t xml:space="preserve"> </w:t>
      </w:r>
      <w:r>
        <w:rPr>
          <w:rFonts w:ascii="Times New Roman" w:hAnsi="Times New Roman" w:eastAsia="Segoe UI"/>
          <w:shd w:val="clear" w:color="auto" w:fill="FFFFFF"/>
        </w:rPr>
        <w:t xml:space="preserve">Prevalence of Extended Spectrum Beta Lactamase producing </w:t>
      </w:r>
      <w:r>
        <w:rPr>
          <w:rFonts w:ascii="Times New Roman" w:hAnsi="Times New Roman" w:eastAsia="Segoe UI"/>
          <w:i/>
          <w:iCs/>
          <w:shd w:val="clear" w:color="auto" w:fill="FFFFFF"/>
        </w:rPr>
        <w:t>Escherichia coli</w:t>
      </w:r>
      <w:r>
        <w:rPr>
          <w:rFonts w:ascii="Times New Roman" w:hAnsi="Times New Roman" w:eastAsia="Segoe UI"/>
          <w:shd w:val="clear" w:color="auto" w:fill="FFFFFF"/>
        </w:rPr>
        <w:t xml:space="preserve"> and  </w:t>
      </w:r>
      <w:r>
        <w:rPr>
          <w:rFonts w:ascii="Times New Roman" w:hAnsi="Times New Roman" w:eastAsia="Segoe UI"/>
          <w:i/>
          <w:iCs/>
          <w:shd w:val="clear" w:color="auto" w:fill="FFFFFF"/>
        </w:rPr>
        <w:t xml:space="preserve">Klebsiella </w:t>
      </w:r>
      <w:r>
        <w:rPr>
          <w:rFonts w:ascii="Times New Roman" w:hAnsi="Times New Roman" w:eastAsia="Segoe UI"/>
          <w:shd w:val="clear" w:color="auto" w:fill="FFFFFF"/>
        </w:rPr>
        <w:t>spp. from urinary specimen in a tertiary care hospital. Nepal Medical College Journal.2022; 24(1):75–80.</w:t>
      </w:r>
    </w:p>
    <w:p>
      <w:pPr>
        <w:spacing w:line="480" w:lineRule="auto"/>
        <w:ind w:firstLine="220" w:firstLineChars="100"/>
        <w:rPr>
          <w:rFonts w:ascii="Times New Roman" w:hAnsi="Times New Roman" w:cs="Times New Roman"/>
          <w:sz w:val="24"/>
          <w:szCs w:val="24"/>
        </w:rPr>
      </w:pPr>
      <w:r>
        <w:fldChar w:fldCharType="begin"/>
      </w:r>
      <w:r>
        <w:instrText xml:space="preserve"> HYPERLINK "https://doi.org/10.3126/nmcj.v24i1.44145" </w:instrText>
      </w:r>
      <w:r>
        <w:fldChar w:fldCharType="separate"/>
      </w:r>
      <w:r>
        <w:rPr>
          <w:rStyle w:val="10"/>
          <w:rFonts w:ascii="Times New Roman" w:hAnsi="Times New Roman" w:eastAsia="Segoe UI" w:cs="Times New Roman"/>
          <w:sz w:val="24"/>
          <w:szCs w:val="24"/>
          <w:shd w:val="clear" w:color="auto" w:fill="FFFFFF"/>
        </w:rPr>
        <w:t>https://doi.org/10.3126/nmcj.v24i1.44145</w:t>
      </w:r>
      <w:r>
        <w:rPr>
          <w:rStyle w:val="10"/>
          <w:rFonts w:ascii="Times New Roman" w:hAnsi="Times New Roman" w:eastAsia="Segoe UI" w:cs="Times New Roman"/>
          <w:sz w:val="24"/>
          <w:szCs w:val="24"/>
          <w:shd w:val="clear" w:color="auto" w:fill="FFFFFF"/>
        </w:rPr>
        <w:fldChar w:fldCharType="end"/>
      </w:r>
    </w:p>
    <w:p>
      <w:pPr>
        <w:spacing w:line="480" w:lineRule="auto"/>
        <w:ind w:left="240" w:hanging="240" w:hangingChars="100"/>
        <w:rPr>
          <w:rFonts w:ascii="Times New Roman" w:hAnsi="Times New Roman" w:eastAsia="Segoe UI" w:cs="Times New Roman"/>
          <w:sz w:val="24"/>
          <w:szCs w:val="24"/>
          <w:shd w:val="clear" w:color="auto" w:fill="FFFFFF"/>
          <w:lang w:eastAsia="zh-CN"/>
        </w:rPr>
      </w:pPr>
      <w:r>
        <w:rPr>
          <w:rFonts w:ascii="Times New Roman" w:hAnsi="Times New Roman" w:eastAsia="Segoe UI" w:cs="Times New Roman"/>
          <w:sz w:val="24"/>
          <w:szCs w:val="24"/>
          <w:shd w:val="clear" w:color="auto" w:fill="FFFFFF"/>
          <w:lang w:eastAsia="zh-CN"/>
        </w:rPr>
        <w:t>9  Fanta G,</w:t>
      </w:r>
      <w:r>
        <w:rPr>
          <w:rFonts w:hint="default" w:ascii="Times New Roman" w:hAnsi="Times New Roman" w:eastAsia="Segoe UI" w:cs="Times New Roman"/>
          <w:sz w:val="24"/>
          <w:szCs w:val="24"/>
          <w:shd w:val="clear" w:color="auto" w:fill="FFFFFF"/>
          <w:lang w:val="en-US" w:eastAsia="zh-CN"/>
        </w:rPr>
        <w:t xml:space="preserve"> </w:t>
      </w:r>
      <w:r>
        <w:rPr>
          <w:rFonts w:ascii="Times New Roman" w:hAnsi="Times New Roman" w:eastAsia="Segoe UI" w:cs="Times New Roman"/>
          <w:sz w:val="24"/>
          <w:szCs w:val="24"/>
          <w:shd w:val="clear" w:color="auto" w:fill="FFFFFF"/>
          <w:lang w:eastAsia="zh-CN"/>
        </w:rPr>
        <w:t>Eshetu M,</w:t>
      </w:r>
      <w:r>
        <w:rPr>
          <w:rFonts w:hint="default" w:ascii="Times New Roman" w:hAnsi="Times New Roman" w:eastAsia="Segoe UI" w:cs="Times New Roman"/>
          <w:sz w:val="24"/>
          <w:szCs w:val="24"/>
          <w:shd w:val="clear" w:color="auto" w:fill="FFFFFF"/>
          <w:lang w:val="en-US" w:eastAsia="zh-CN"/>
        </w:rPr>
        <w:t xml:space="preserve"> </w:t>
      </w:r>
      <w:r>
        <w:rPr>
          <w:rFonts w:ascii="Times New Roman" w:hAnsi="Times New Roman" w:eastAsia="Segoe UI" w:cs="Times New Roman"/>
          <w:sz w:val="24"/>
          <w:szCs w:val="24"/>
          <w:shd w:val="clear" w:color="auto" w:fill="FFFFFF"/>
          <w:lang w:eastAsia="zh-CN"/>
        </w:rPr>
        <w:t>Mekidim M,</w:t>
      </w:r>
      <w:r>
        <w:rPr>
          <w:rFonts w:hint="default" w:ascii="Times New Roman" w:hAnsi="Times New Roman" w:eastAsia="Segoe UI" w:cs="Times New Roman"/>
          <w:sz w:val="24"/>
          <w:szCs w:val="24"/>
          <w:shd w:val="clear" w:color="auto" w:fill="FFFFFF"/>
          <w:lang w:val="en-US" w:eastAsia="zh-CN"/>
        </w:rPr>
        <w:t xml:space="preserve"> </w:t>
      </w:r>
      <w:r>
        <w:rPr>
          <w:rFonts w:ascii="Times New Roman" w:hAnsi="Times New Roman" w:eastAsia="Segoe UI" w:cs="Times New Roman"/>
          <w:sz w:val="24"/>
          <w:szCs w:val="24"/>
          <w:shd w:val="clear" w:color="auto" w:fill="FFFFFF"/>
          <w:lang w:eastAsia="zh-CN"/>
        </w:rPr>
        <w:t>Gemechu Z.</w:t>
      </w:r>
      <w:r>
        <w:rPr>
          <w:rFonts w:hint="default" w:ascii="Times New Roman" w:hAnsi="Times New Roman" w:eastAsia="Segoe UI" w:cs="Times New Roman"/>
          <w:sz w:val="24"/>
          <w:szCs w:val="24"/>
          <w:shd w:val="clear" w:color="auto" w:fill="FFFFFF"/>
          <w:lang w:val="en-US" w:eastAsia="zh-CN"/>
        </w:rPr>
        <w:t xml:space="preserve"> </w:t>
      </w:r>
      <w:r>
        <w:rPr>
          <w:rFonts w:ascii="Times New Roman" w:hAnsi="Times New Roman" w:eastAsia="Segoe UI" w:cs="Times New Roman"/>
          <w:sz w:val="24"/>
          <w:szCs w:val="24"/>
          <w:shd w:val="clear" w:color="auto" w:fill="FFFFFF"/>
          <w:lang w:eastAsia="zh-CN"/>
        </w:rPr>
        <w:t xml:space="preserve">Antimicrobial Resistance  Profile of Different Clinical Isolates against Third-Generation Cephalosporins. Journal of </w:t>
      </w:r>
    </w:p>
    <w:p>
      <w:pPr>
        <w:spacing w:line="480" w:lineRule="auto"/>
        <w:ind w:left="720" w:hanging="615"/>
        <w:rPr>
          <w:rFonts w:ascii="Times New Roman" w:hAnsi="Times New Roman" w:eastAsia="Segoe UI" w:cs="Times New Roman"/>
          <w:sz w:val="24"/>
          <w:szCs w:val="24"/>
          <w:shd w:val="clear" w:color="auto" w:fill="FFFFFF"/>
          <w:lang w:eastAsia="zh-CN"/>
        </w:rPr>
      </w:pPr>
      <w:r>
        <w:rPr>
          <w:rFonts w:ascii="Times New Roman" w:hAnsi="Times New Roman" w:eastAsia="Segoe UI" w:cs="Times New Roman"/>
          <w:sz w:val="24"/>
          <w:szCs w:val="24"/>
          <w:shd w:val="clear" w:color="auto" w:fill="FFFFFF"/>
          <w:lang w:eastAsia="zh-CN"/>
        </w:rPr>
        <w:t xml:space="preserve">    Pharmaceutics.2018;7</w:t>
      </w:r>
      <w:r>
        <w:rPr>
          <w:rFonts w:hint="default" w:ascii="Times New Roman" w:hAnsi="Times New Roman" w:eastAsia="Segoe UI" w:cs="Times New Roman"/>
          <w:sz w:val="24"/>
          <w:szCs w:val="24"/>
          <w:shd w:val="clear" w:color="auto" w:fill="FFFFFF"/>
          <w:lang w:val="en-US" w:eastAsia="zh-CN"/>
        </w:rPr>
        <w:t>:</w:t>
      </w:r>
      <w:r>
        <w:rPr>
          <w:rFonts w:ascii="Segoe UI" w:hAnsi="Segoe UI" w:eastAsia="Segoe UI" w:cs="Segoe UI"/>
          <w:i w:val="0"/>
          <w:iCs w:val="0"/>
          <w:caps w:val="0"/>
          <w:color w:val="5B616B"/>
          <w:spacing w:val="0"/>
          <w:sz w:val="24"/>
          <w:szCs w:val="24"/>
          <w:shd w:val="clear" w:fill="FFFFFF"/>
        </w:rPr>
        <w:t>5070742</w:t>
      </w:r>
    </w:p>
    <w:p>
      <w:pPr>
        <w:spacing w:line="480" w:lineRule="auto"/>
        <w:ind w:left="826" w:leftChars="147" w:hanging="503" w:hangingChars="229"/>
        <w:rPr>
          <w:rStyle w:val="10"/>
          <w:rFonts w:ascii="Times New Roman" w:hAnsi="Times New Roman" w:eastAsia="Segoe UI" w:cs="Times New Roman"/>
          <w:iCs/>
          <w:sz w:val="24"/>
          <w:szCs w:val="24"/>
          <w:shd w:val="clear" w:color="auto" w:fill="FFFFFF"/>
          <w:lang w:eastAsia="zh-CN"/>
        </w:rPr>
      </w:pPr>
      <w:r>
        <w:fldChar w:fldCharType="begin"/>
      </w:r>
      <w:r>
        <w:instrText xml:space="preserve"> HYPERLINK "https://doi.org/10.1155/2018/5070742" </w:instrText>
      </w:r>
      <w:r>
        <w:fldChar w:fldCharType="separate"/>
      </w:r>
      <w:r>
        <w:rPr>
          <w:rStyle w:val="10"/>
          <w:rFonts w:ascii="Times New Roman" w:hAnsi="Times New Roman" w:eastAsia="Segoe UI" w:cs="Times New Roman"/>
          <w:iCs/>
          <w:sz w:val="24"/>
          <w:szCs w:val="24"/>
          <w:shd w:val="clear" w:color="auto" w:fill="FFFFFF"/>
          <w:lang w:eastAsia="zh-CN"/>
        </w:rPr>
        <w:t>https://doi.org/10.1155/2018/5070742</w:t>
      </w:r>
      <w:r>
        <w:rPr>
          <w:rStyle w:val="10"/>
          <w:rFonts w:ascii="Times New Roman" w:hAnsi="Times New Roman" w:eastAsia="Segoe UI" w:cs="Times New Roman"/>
          <w:iCs/>
          <w:sz w:val="24"/>
          <w:szCs w:val="24"/>
          <w:shd w:val="clear" w:color="auto" w:fill="FFFFFF"/>
          <w:lang w:eastAsia="zh-CN"/>
        </w:rPr>
        <w:fldChar w:fldCharType="end"/>
      </w:r>
    </w:p>
    <w:p>
      <w:pPr>
        <w:spacing w:line="480" w:lineRule="auto"/>
        <w:ind w:left="480" w:hanging="480" w:hangingChars="200"/>
        <w:rPr>
          <w:rFonts w:ascii="Times New Roman" w:hAnsi="Times New Roman" w:eastAsia="Helvetica" w:cs="Times New Roman"/>
          <w:color w:val="202020"/>
          <w:sz w:val="24"/>
          <w:szCs w:val="24"/>
          <w:shd w:val="clear" w:color="auto" w:fill="FFFFFF"/>
          <w:lang w:eastAsia="zh-CN"/>
        </w:rPr>
      </w:pPr>
      <w:r>
        <w:rPr>
          <w:rFonts w:ascii="Times New Roman" w:hAnsi="Times New Roman" w:eastAsia="Helvetica" w:cs="Times New Roman"/>
          <w:color w:val="202020"/>
          <w:sz w:val="24"/>
          <w:szCs w:val="24"/>
          <w:shd w:val="clear" w:color="auto" w:fill="FFFFFF"/>
          <w:lang w:eastAsia="zh-CN"/>
        </w:rPr>
        <w:t xml:space="preserve">10    Mitman SL, Amato HK, Saraiva-Garcia C, Loayza F, Salinas L, Kurowski K, et al. Risk factors for third-generation cephalosporin-resistant and extended-spectrum β-  </w:t>
      </w:r>
    </w:p>
    <w:p>
      <w:pPr>
        <w:spacing w:line="480" w:lineRule="auto"/>
        <w:ind w:left="480" w:hanging="480" w:hangingChars="200"/>
        <w:rPr>
          <w:rFonts w:ascii="Times New Roman" w:hAnsi="Times New Roman" w:eastAsia="Helvetica" w:cs="Times New Roman"/>
          <w:color w:val="202020"/>
          <w:sz w:val="24"/>
          <w:szCs w:val="24"/>
          <w:shd w:val="clear" w:color="auto" w:fill="FFFFFF"/>
        </w:rPr>
      </w:pPr>
      <w:r>
        <w:rPr>
          <w:rFonts w:ascii="Times New Roman" w:hAnsi="Times New Roman" w:eastAsia="Helvetica" w:cs="Times New Roman"/>
          <w:color w:val="202020"/>
          <w:sz w:val="24"/>
          <w:szCs w:val="24"/>
          <w:shd w:val="clear" w:color="auto" w:fill="FFFFFF"/>
          <w:lang w:eastAsia="zh-CN"/>
        </w:rPr>
        <w:t xml:space="preserve">        lactamase-producing </w:t>
      </w:r>
      <w:r>
        <w:rPr>
          <w:rFonts w:ascii="Times New Roman" w:hAnsi="Times New Roman" w:eastAsia="Helvetica" w:cs="Times New Roman"/>
          <w:i/>
          <w:iCs/>
          <w:color w:val="202020"/>
          <w:sz w:val="24"/>
          <w:szCs w:val="24"/>
          <w:shd w:val="clear" w:color="auto" w:fill="FFFFFF"/>
          <w:lang w:eastAsia="zh-CN"/>
        </w:rPr>
        <w:t>Escherichia coli</w:t>
      </w:r>
      <w:r>
        <w:rPr>
          <w:rFonts w:ascii="Times New Roman" w:hAnsi="Times New Roman" w:eastAsia="Helvetica" w:cs="Times New Roman"/>
          <w:color w:val="202020"/>
          <w:sz w:val="24"/>
          <w:szCs w:val="24"/>
          <w:shd w:val="clear" w:color="auto" w:fill="FFFFFF"/>
          <w:lang w:eastAsia="zh-CN"/>
        </w:rPr>
        <w:t xml:space="preserve"> carriage in domestic animals of semirural parishes </w:t>
      </w:r>
      <w:r>
        <w:rPr>
          <w:rFonts w:ascii="Times New Roman" w:hAnsi="Times New Roman" w:eastAsia="Helvetica" w:cs="Times New Roman"/>
          <w:color w:val="202020"/>
          <w:sz w:val="24"/>
          <w:szCs w:val="24"/>
          <w:shd w:val="clear" w:color="auto" w:fill="FFFFFF"/>
          <w:lang w:eastAsia="zh-CN"/>
        </w:rPr>
        <w:tab/>
      </w:r>
      <w:r>
        <w:rPr>
          <w:rFonts w:ascii="Times New Roman" w:hAnsi="Times New Roman" w:eastAsia="Helvetica" w:cs="Times New Roman"/>
          <w:color w:val="202020"/>
          <w:sz w:val="24"/>
          <w:szCs w:val="24"/>
          <w:shd w:val="clear" w:color="auto" w:fill="FFFFFF"/>
          <w:lang w:eastAsia="zh-CN"/>
        </w:rPr>
        <w:t>east of Quito,Ecuador. PLOS Glob Public Health.2022; 2(3):e0000206.</w:t>
      </w:r>
    </w:p>
    <w:p>
      <w:pPr>
        <w:spacing w:line="480" w:lineRule="auto"/>
        <w:ind w:firstLine="440" w:firstLineChars="200"/>
        <w:rPr>
          <w:rFonts w:ascii="Times New Roman" w:hAnsi="Times New Roman" w:eastAsia="SimSun" w:cs="Times New Roman"/>
          <w:color w:val="535353"/>
          <w:sz w:val="24"/>
          <w:szCs w:val="24"/>
        </w:rPr>
      </w:pPr>
      <w:r>
        <w:fldChar w:fldCharType="begin"/>
      </w:r>
      <w:r>
        <w:instrText xml:space="preserve"> HYPERLINK "https://doi.org/10.1371/journal.pgph.0000206" </w:instrText>
      </w:r>
      <w:r>
        <w:fldChar w:fldCharType="separate"/>
      </w:r>
      <w:r>
        <w:rPr>
          <w:rStyle w:val="10"/>
          <w:rFonts w:ascii="Times New Roman" w:hAnsi="Times New Roman" w:eastAsia="Helvetica" w:cs="Times New Roman"/>
          <w:sz w:val="24"/>
          <w:szCs w:val="24"/>
          <w:shd w:val="clear" w:color="auto" w:fill="FFFFFF"/>
        </w:rPr>
        <w:t>https://doi.org/10.1371/journal.pgph.0000206</w:t>
      </w:r>
      <w:r>
        <w:rPr>
          <w:rStyle w:val="10"/>
          <w:rFonts w:ascii="Times New Roman" w:hAnsi="Times New Roman" w:eastAsia="Helvetica" w:cs="Times New Roman"/>
          <w:sz w:val="24"/>
          <w:szCs w:val="24"/>
          <w:shd w:val="clear" w:color="auto" w:fill="FFFFFF"/>
        </w:rPr>
        <w:fldChar w:fldCharType="end"/>
      </w:r>
    </w:p>
    <w:p>
      <w:pPr>
        <w:spacing w:line="480" w:lineRule="auto"/>
        <w:ind w:left="480" w:hanging="480" w:hangingChars="200"/>
        <w:rPr>
          <w:rFonts w:ascii="Times New Roman" w:hAnsi="Times New Roman" w:eastAsia="SimSun" w:cs="Times New Roman"/>
          <w:color w:val="535353"/>
          <w:sz w:val="24"/>
          <w:szCs w:val="24"/>
        </w:rPr>
      </w:pPr>
      <w:r>
        <w:rPr>
          <w:rFonts w:ascii="Times New Roman" w:hAnsi="Times New Roman" w:eastAsia="SimSun" w:cs="Times New Roman"/>
          <w:color w:val="535353"/>
          <w:sz w:val="24"/>
          <w:szCs w:val="24"/>
        </w:rPr>
        <w:t xml:space="preserve"> 11   Salem MA, Ahmed FA. Bacterial Profile of Urinary Tract Infection and Antimicrobial Susceptibility Pattern Among Patients Attending at Bushra Medical Laboratory, Tripoli, Libya. Journal of Gastroenterology and Hepatology Research. 2018; </w:t>
      </w:r>
      <w:r>
        <w:rPr>
          <w:rStyle w:val="12"/>
          <w:rFonts w:ascii="Times New Roman" w:hAnsi="Times New Roman" w:eastAsia="SimSun" w:cs="Times New Roman"/>
          <w:b w:val="0"/>
          <w:bCs w:val="0"/>
          <w:color w:val="535353"/>
          <w:sz w:val="24"/>
          <w:szCs w:val="24"/>
        </w:rPr>
        <w:t>7(4)</w:t>
      </w:r>
      <w:r>
        <w:rPr>
          <w:rFonts w:ascii="Times New Roman" w:hAnsi="Times New Roman" w:eastAsia="SimSun" w:cs="Times New Roman"/>
          <w:color w:val="535353"/>
          <w:sz w:val="24"/>
          <w:szCs w:val="24"/>
        </w:rPr>
        <w:t>: 2671-2675.</w:t>
      </w:r>
    </w:p>
    <w:p>
      <w:pPr>
        <w:spacing w:line="480" w:lineRule="auto"/>
        <w:ind w:firstLine="440" w:firstLineChars="200"/>
        <w:rPr>
          <w:rStyle w:val="10"/>
          <w:rFonts w:ascii="Times New Roman" w:hAnsi="Times New Roman" w:eastAsia="SimSun" w:cs="Times New Roman"/>
          <w:sz w:val="24"/>
          <w:szCs w:val="24"/>
        </w:rPr>
      </w:pPr>
      <w:r>
        <w:fldChar w:fldCharType="begin"/>
      </w:r>
      <w:r>
        <w:instrText xml:space="preserve"> HYPERLINK "http://www.ghrnet.org/index.php/joghr/article/view/2380" </w:instrText>
      </w:r>
      <w:r>
        <w:fldChar w:fldCharType="separate"/>
      </w:r>
      <w:r>
        <w:rPr>
          <w:rStyle w:val="10"/>
          <w:rFonts w:ascii="Times New Roman" w:hAnsi="Times New Roman" w:eastAsia="SimSun" w:cs="Times New Roman"/>
          <w:sz w:val="24"/>
          <w:szCs w:val="24"/>
        </w:rPr>
        <w:t>http://www.ghrnet.org/index.php/joghr/article/view/2380</w:t>
      </w:r>
      <w:r>
        <w:rPr>
          <w:rStyle w:val="10"/>
          <w:rFonts w:ascii="Times New Roman" w:hAnsi="Times New Roman" w:eastAsia="SimSun" w:cs="Times New Roman"/>
          <w:sz w:val="24"/>
          <w:szCs w:val="24"/>
        </w:rPr>
        <w:fldChar w:fldCharType="end"/>
      </w:r>
    </w:p>
    <w:p>
      <w:pPr>
        <w:pStyle w:val="14"/>
        <w:spacing w:line="480" w:lineRule="auto"/>
        <w:ind w:left="719" w:leftChars="163" w:hanging="360" w:hangingChars="150"/>
        <w:jc w:val="both"/>
        <w:rPr>
          <w:rFonts w:ascii="Times New Roman" w:hAnsi="Times New Roman"/>
          <w:sz w:val="24"/>
          <w:szCs w:val="24"/>
        </w:rPr>
      </w:pPr>
      <w:r>
        <w:rPr>
          <w:rFonts w:ascii="Times New Roman" w:hAnsi="Times New Roman"/>
          <w:sz w:val="24"/>
          <w:szCs w:val="24"/>
        </w:rPr>
        <w:t>12 Subedi S,</w:t>
      </w:r>
      <w:r>
        <w:rPr>
          <w:rFonts w:hint="default" w:ascii="Times New Roman" w:hAnsi="Times New Roman"/>
          <w:sz w:val="24"/>
          <w:szCs w:val="24"/>
          <w:lang w:val="en-US"/>
        </w:rPr>
        <w:t xml:space="preserve"> </w:t>
      </w:r>
      <w:r>
        <w:rPr>
          <w:rFonts w:ascii="Times New Roman" w:hAnsi="Times New Roman"/>
          <w:sz w:val="24"/>
          <w:szCs w:val="24"/>
        </w:rPr>
        <w:t>Chaudhary M,</w:t>
      </w:r>
      <w:r>
        <w:rPr>
          <w:rFonts w:hint="default" w:ascii="Times New Roman" w:hAnsi="Times New Roman"/>
          <w:sz w:val="24"/>
          <w:szCs w:val="24"/>
          <w:lang w:val="en-US"/>
        </w:rPr>
        <w:t xml:space="preserve"> </w:t>
      </w:r>
      <w:r>
        <w:rPr>
          <w:rFonts w:ascii="Times New Roman" w:hAnsi="Times New Roman"/>
          <w:sz w:val="24"/>
          <w:szCs w:val="24"/>
        </w:rPr>
        <w:t>Shrestha B.</w:t>
      </w:r>
      <w:r>
        <w:rPr>
          <w:rFonts w:hint="default" w:ascii="Times New Roman" w:hAnsi="Times New Roman"/>
          <w:sz w:val="24"/>
          <w:szCs w:val="24"/>
          <w:lang w:val="en-US"/>
        </w:rPr>
        <w:t xml:space="preserve"> </w:t>
      </w:r>
      <w:r>
        <w:rPr>
          <w:rFonts w:ascii="Times New Roman" w:hAnsi="Times New Roman"/>
          <w:sz w:val="24"/>
          <w:szCs w:val="24"/>
        </w:rPr>
        <w:t xml:space="preserve">High MDR AND ESBL Producing </w:t>
      </w:r>
      <w:r>
        <w:rPr>
          <w:rFonts w:ascii="Times New Roman" w:hAnsi="Times New Roman"/>
          <w:i/>
          <w:sz w:val="24"/>
          <w:szCs w:val="24"/>
        </w:rPr>
        <w:t>Escherichia coli</w:t>
      </w:r>
      <w:r>
        <w:rPr>
          <w:rFonts w:ascii="Times New Roman" w:hAnsi="Times New Roman"/>
          <w:sz w:val="24"/>
          <w:szCs w:val="24"/>
        </w:rPr>
        <w:t xml:space="preserve"> and </w:t>
      </w:r>
      <w:r>
        <w:rPr>
          <w:rFonts w:ascii="Times New Roman" w:hAnsi="Times New Roman"/>
          <w:i/>
          <w:sz w:val="24"/>
          <w:szCs w:val="24"/>
        </w:rPr>
        <w:t>Klebsiella pneumoniae</w:t>
      </w:r>
      <w:r>
        <w:rPr>
          <w:rFonts w:ascii="Times New Roman" w:hAnsi="Times New Roman"/>
          <w:sz w:val="24"/>
          <w:szCs w:val="24"/>
        </w:rPr>
        <w:t xml:space="preserve"> from Urine,Pus and Sputum Samples. </w:t>
      </w:r>
      <w:r>
        <w:rPr>
          <w:rFonts w:ascii="Times New Roman" w:hAnsi="Times New Roman"/>
          <w:iCs/>
          <w:sz w:val="24"/>
          <w:szCs w:val="24"/>
        </w:rPr>
        <w:t>British Journal of Medicine &amp;Medical Research.</w:t>
      </w:r>
      <w:r>
        <w:rPr>
          <w:rFonts w:ascii="Times New Roman" w:hAnsi="Times New Roman"/>
          <w:sz w:val="24"/>
          <w:szCs w:val="24"/>
        </w:rPr>
        <w:t>2016; 13(10):1-10.</w:t>
      </w:r>
    </w:p>
    <w:p>
      <w:pPr>
        <w:spacing w:line="480" w:lineRule="auto"/>
        <w:ind w:firstLine="720"/>
        <w:jc w:val="both"/>
        <w:rPr>
          <w:rStyle w:val="10"/>
          <w:rFonts w:ascii="Times New Roman" w:hAnsi="Times New Roman" w:cs="Times New Roman"/>
          <w:sz w:val="24"/>
          <w:szCs w:val="24"/>
        </w:rPr>
      </w:pPr>
      <w:r>
        <w:fldChar w:fldCharType="begin"/>
      </w:r>
      <w:r>
        <w:instrText xml:space="preserve"> HYPERLINK "http://dx.doi.org/10.9734/BJMMR/2016/23350" </w:instrText>
      </w:r>
      <w:r>
        <w:fldChar w:fldCharType="separate"/>
      </w:r>
      <w:r>
        <w:rPr>
          <w:rStyle w:val="10"/>
          <w:rFonts w:ascii="Times New Roman" w:hAnsi="Times New Roman" w:cs="Times New Roman"/>
          <w:sz w:val="24"/>
          <w:szCs w:val="24"/>
        </w:rPr>
        <w:t>http://dx.doi.org/10.9734/BJMMR/2016/23350</w:t>
      </w:r>
      <w:r>
        <w:rPr>
          <w:rStyle w:val="10"/>
          <w:rFonts w:ascii="Times New Roman" w:hAnsi="Times New Roman" w:cs="Times New Roman"/>
          <w:sz w:val="24"/>
          <w:szCs w:val="24"/>
        </w:rPr>
        <w:fldChar w:fldCharType="end"/>
      </w:r>
    </w:p>
    <w:p>
      <w:pPr>
        <w:pStyle w:val="14"/>
        <w:numPr>
          <w:ilvl w:val="0"/>
          <w:numId w:val="3"/>
        </w:numPr>
        <w:spacing w:line="480" w:lineRule="auto"/>
        <w:jc w:val="both"/>
        <w:rPr>
          <w:rFonts w:ascii="Times New Roman" w:hAnsi="Times New Roman"/>
          <w:sz w:val="24"/>
          <w:szCs w:val="24"/>
        </w:rPr>
      </w:pPr>
      <w:r>
        <w:rPr>
          <w:rFonts w:ascii="Times New Roman" w:hAnsi="Times New Roman"/>
          <w:sz w:val="24"/>
          <w:szCs w:val="24"/>
        </w:rPr>
        <w:t>Rimal</w:t>
      </w:r>
      <w:r>
        <w:rPr>
          <w:rFonts w:hint="default" w:ascii="Times New Roman" w:hAnsi="Times New Roman"/>
          <w:sz w:val="24"/>
          <w:szCs w:val="24"/>
          <w:lang w:val="en-US"/>
        </w:rPr>
        <w:t xml:space="preserve"> </w:t>
      </w:r>
      <w:r>
        <w:rPr>
          <w:rFonts w:ascii="Times New Roman" w:hAnsi="Times New Roman"/>
          <w:sz w:val="24"/>
          <w:szCs w:val="24"/>
        </w:rPr>
        <w:t>U,</w:t>
      </w:r>
      <w:r>
        <w:rPr>
          <w:rFonts w:hint="default" w:ascii="Times New Roman" w:hAnsi="Times New Roman"/>
          <w:sz w:val="24"/>
          <w:szCs w:val="24"/>
          <w:lang w:val="en-US"/>
        </w:rPr>
        <w:t xml:space="preserve"> </w:t>
      </w:r>
      <w:r>
        <w:rPr>
          <w:rFonts w:ascii="Times New Roman" w:hAnsi="Times New Roman"/>
          <w:sz w:val="24"/>
          <w:szCs w:val="24"/>
        </w:rPr>
        <w:t>Thapa S,</w:t>
      </w:r>
      <w:r>
        <w:rPr>
          <w:rFonts w:hint="default" w:ascii="Times New Roman" w:hAnsi="Times New Roman"/>
          <w:sz w:val="24"/>
          <w:szCs w:val="24"/>
          <w:lang w:val="en-US"/>
        </w:rPr>
        <w:t xml:space="preserve"> </w:t>
      </w:r>
      <w:r>
        <w:rPr>
          <w:rFonts w:ascii="Times New Roman" w:hAnsi="Times New Roman"/>
          <w:sz w:val="24"/>
          <w:szCs w:val="24"/>
        </w:rPr>
        <w:t>Maharjan R.</w:t>
      </w:r>
      <w:r>
        <w:rPr>
          <w:rFonts w:hint="default" w:ascii="Times New Roman" w:hAnsi="Times New Roman"/>
          <w:sz w:val="24"/>
          <w:szCs w:val="24"/>
          <w:lang w:val="en-US"/>
        </w:rPr>
        <w:t xml:space="preserve"> </w:t>
      </w:r>
      <w:r>
        <w:rPr>
          <w:rFonts w:ascii="Times New Roman" w:hAnsi="Times New Roman"/>
          <w:sz w:val="24"/>
          <w:szCs w:val="24"/>
        </w:rPr>
        <w:t xml:space="preserve">Prevalence of Extended Spectrum Beta-Lactamase Producing </w:t>
      </w:r>
      <w:r>
        <w:rPr>
          <w:rFonts w:ascii="Times New Roman" w:hAnsi="Times New Roman"/>
          <w:i/>
          <w:sz w:val="24"/>
          <w:szCs w:val="24"/>
        </w:rPr>
        <w:t>Escherichia coli</w:t>
      </w:r>
      <w:r>
        <w:rPr>
          <w:rFonts w:ascii="Times New Roman" w:hAnsi="Times New Roman"/>
          <w:sz w:val="24"/>
          <w:szCs w:val="24"/>
        </w:rPr>
        <w:t xml:space="preserve"> and </w:t>
      </w:r>
      <w:r>
        <w:rPr>
          <w:rFonts w:ascii="Times New Roman" w:hAnsi="Times New Roman"/>
          <w:i/>
          <w:sz w:val="24"/>
          <w:szCs w:val="24"/>
        </w:rPr>
        <w:t xml:space="preserve">Klebsiella </w:t>
      </w:r>
      <w:r>
        <w:rPr>
          <w:rFonts w:ascii="Times New Roman" w:hAnsi="Times New Roman"/>
          <w:iCs/>
          <w:sz w:val="24"/>
          <w:szCs w:val="24"/>
        </w:rPr>
        <w:t>species</w:t>
      </w:r>
      <w:r>
        <w:rPr>
          <w:rFonts w:ascii="Times New Roman" w:hAnsi="Times New Roman"/>
          <w:sz w:val="24"/>
          <w:szCs w:val="24"/>
        </w:rPr>
        <w:t xml:space="preserve"> from Urinary Specimens of Children attending Friendship International Children’s Hospital.</w:t>
      </w:r>
      <w:r>
        <w:rPr>
          <w:rFonts w:ascii="Times New Roman" w:hAnsi="Times New Roman"/>
          <w:iCs/>
          <w:sz w:val="24"/>
          <w:szCs w:val="24"/>
        </w:rPr>
        <w:t>Nepal Journal of Biotechnology.</w:t>
      </w:r>
      <w:r>
        <w:rPr>
          <w:rFonts w:ascii="Times New Roman" w:hAnsi="Times New Roman"/>
          <w:sz w:val="24"/>
          <w:szCs w:val="24"/>
        </w:rPr>
        <w:t>2017;5(1):32-38.</w:t>
      </w:r>
    </w:p>
    <w:p>
      <w:pPr>
        <w:spacing w:line="480" w:lineRule="auto"/>
        <w:ind w:firstLine="720"/>
        <w:jc w:val="both"/>
        <w:rPr>
          <w:rStyle w:val="10"/>
          <w:rFonts w:ascii="Times New Roman" w:hAnsi="Times New Roman" w:cs="Times New Roman"/>
          <w:sz w:val="24"/>
          <w:szCs w:val="24"/>
        </w:rPr>
      </w:pPr>
      <w:r>
        <w:fldChar w:fldCharType="begin"/>
      </w:r>
      <w:r>
        <w:instrText xml:space="preserve"> HYPERLINK "http://dx.doi.org/10.3126/njb.v5i1.18868" </w:instrText>
      </w:r>
      <w:r>
        <w:fldChar w:fldCharType="separate"/>
      </w:r>
      <w:r>
        <w:rPr>
          <w:rStyle w:val="10"/>
          <w:rFonts w:ascii="Times New Roman" w:hAnsi="Times New Roman" w:cs="Times New Roman"/>
          <w:sz w:val="24"/>
          <w:szCs w:val="24"/>
        </w:rPr>
        <w:t>http://dx.doi.org/10.3126/njb.v5i1.18868</w:t>
      </w:r>
      <w:r>
        <w:rPr>
          <w:rStyle w:val="10"/>
          <w:rFonts w:ascii="Times New Roman" w:hAnsi="Times New Roman" w:cs="Times New Roman"/>
          <w:sz w:val="24"/>
          <w:szCs w:val="24"/>
        </w:rPr>
        <w:fldChar w:fldCharType="end"/>
      </w:r>
    </w:p>
    <w:p>
      <w:pPr>
        <w:pStyle w:val="14"/>
        <w:numPr>
          <w:ilvl w:val="0"/>
          <w:numId w:val="3"/>
        </w:numPr>
        <w:spacing w:line="480" w:lineRule="auto"/>
        <w:jc w:val="both"/>
        <w:rPr>
          <w:rFonts w:ascii="Times New Roman" w:hAnsi="Times New Roman" w:eastAsia="Arial"/>
          <w:color w:val="111111"/>
          <w:sz w:val="24"/>
          <w:szCs w:val="24"/>
          <w:shd w:val="clear" w:color="auto" w:fill="FFFFFF"/>
        </w:rPr>
      </w:pPr>
      <w:r>
        <w:rPr>
          <w:rFonts w:ascii="Times New Roman" w:hAnsi="Times New Roman" w:eastAsia="Arial"/>
          <w:color w:val="111111"/>
          <w:sz w:val="24"/>
          <w:szCs w:val="24"/>
          <w:shd w:val="clear" w:color="auto" w:fill="FFFFFF"/>
        </w:rPr>
        <w:t>Naqid IA,</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Balatay AA,</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Hussein NR,</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Saeed KA,</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Ahmed HA,</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et</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al.</w:t>
      </w:r>
      <w:r>
        <w:rPr>
          <w:rFonts w:hint="default" w:ascii="Times New Roman" w:hAnsi="Times New Roman" w:eastAsia="Arial"/>
          <w:color w:val="111111"/>
          <w:sz w:val="24"/>
          <w:szCs w:val="24"/>
          <w:shd w:val="clear" w:color="auto" w:fill="FFFFFF"/>
          <w:lang w:val="en-US"/>
        </w:rPr>
        <w:t xml:space="preserve"> </w:t>
      </w:r>
      <w:r>
        <w:rPr>
          <w:rFonts w:ascii="Times New Roman" w:hAnsi="Times New Roman" w:eastAsia="Arial"/>
          <w:color w:val="111111"/>
          <w:sz w:val="24"/>
          <w:szCs w:val="24"/>
          <w:shd w:val="clear" w:color="auto" w:fill="FFFFFF"/>
        </w:rPr>
        <w:t xml:space="preserve">Antibiotic Susceptibility Pattern of </w:t>
      </w:r>
      <w:r>
        <w:rPr>
          <w:rFonts w:ascii="Times New Roman" w:hAnsi="Times New Roman" w:eastAsia="Arial"/>
          <w:i/>
          <w:iCs/>
          <w:color w:val="111111"/>
          <w:sz w:val="24"/>
          <w:szCs w:val="24"/>
          <w:shd w:val="clear" w:color="auto" w:fill="FFFFFF"/>
        </w:rPr>
        <w:t>Escherichia coli</w:t>
      </w:r>
      <w:r>
        <w:rPr>
          <w:rFonts w:ascii="Times New Roman" w:hAnsi="Times New Roman" w:eastAsia="Arial"/>
          <w:color w:val="111111"/>
          <w:sz w:val="24"/>
          <w:szCs w:val="24"/>
          <w:shd w:val="clear" w:color="auto" w:fill="FFFFFF"/>
        </w:rPr>
        <w:t xml:space="preserve"> Isolated from Various Clinical Samples in Duhok City, Kurdistan Region of Iraq.Int J Infect.2020;7(3):e103740.</w:t>
      </w:r>
    </w:p>
    <w:p>
      <w:pPr>
        <w:spacing w:line="480" w:lineRule="auto"/>
        <w:rPr>
          <w:rFonts w:ascii="Times New Roman" w:hAnsi="Times New Roman" w:eastAsia="SimSun" w:cs="Times New Roman"/>
          <w:color w:val="535353"/>
          <w:sz w:val="24"/>
          <w:szCs w:val="24"/>
        </w:rPr>
      </w:pPr>
      <w:r>
        <w:rPr>
          <w:rFonts w:ascii="Times New Roman" w:hAnsi="Times New Roman" w:eastAsia="SimSun" w:cs="Times New Roman"/>
          <w:color w:val="535353"/>
          <w:sz w:val="24"/>
          <w:szCs w:val="24"/>
        </w:rPr>
        <w:tab/>
      </w:r>
      <w:r>
        <w:fldChar w:fldCharType="begin"/>
      </w:r>
      <w:r>
        <w:instrText xml:space="preserve"> HYPERLINK "https://dx.doi.org/10.5812/iji.103740" </w:instrText>
      </w:r>
      <w:r>
        <w:fldChar w:fldCharType="separate"/>
      </w:r>
      <w:r>
        <w:rPr>
          <w:rStyle w:val="10"/>
          <w:rFonts w:ascii="Times New Roman" w:hAnsi="Times New Roman" w:eastAsia="SimSun" w:cs="Times New Roman"/>
          <w:sz w:val="24"/>
          <w:szCs w:val="24"/>
        </w:rPr>
        <w:t>https://dx.doi.org/10.5812/iji.103740</w:t>
      </w:r>
      <w:r>
        <w:rPr>
          <w:rStyle w:val="10"/>
          <w:rFonts w:ascii="Times New Roman" w:hAnsi="Times New Roman" w:eastAsia="SimSun" w:cs="Times New Roman"/>
          <w:sz w:val="24"/>
          <w:szCs w:val="24"/>
        </w:rPr>
        <w:fldChar w:fldCharType="end"/>
      </w:r>
    </w:p>
    <w:p>
      <w:pPr>
        <w:pStyle w:val="14"/>
        <w:numPr>
          <w:ilvl w:val="0"/>
          <w:numId w:val="3"/>
        </w:numPr>
        <w:spacing w:line="480" w:lineRule="auto"/>
        <w:jc w:val="both"/>
        <w:rPr>
          <w:rFonts w:ascii="Times New Roman" w:hAnsi="Times New Roman" w:eastAsia="Arial"/>
          <w:color w:val="212121"/>
          <w:sz w:val="24"/>
          <w:szCs w:val="24"/>
          <w:shd w:val="clear" w:color="auto" w:fill="FFFFFF"/>
        </w:rPr>
      </w:pPr>
      <w:r>
        <w:rPr>
          <w:rFonts w:ascii="Times New Roman" w:hAnsi="Times New Roman" w:eastAsia="Arial"/>
          <w:color w:val="212121"/>
          <w:sz w:val="24"/>
          <w:szCs w:val="24"/>
          <w:shd w:val="clear" w:color="auto" w:fill="FFFFFF"/>
        </w:rPr>
        <w:t>Shilpakar A, Ansari M, Rai KR, Rai G, Rai SK. Prevalence of multidrug-resistant and extended-spectrum beta-lactamase producing Gram-negative isolates from clinical samples in a tertiary care hospital of Nepal. Trop Med Health. 2021;49(1):23.</w:t>
      </w:r>
    </w:p>
    <w:p>
      <w:pPr>
        <w:spacing w:line="480" w:lineRule="auto"/>
        <w:ind w:left="110" w:leftChars="50"/>
        <w:rPr>
          <w:rFonts w:ascii="Times New Roman" w:hAnsi="Times New Roman" w:eastAsia="Arial" w:cs="Times New Roman"/>
          <w:color w:val="212121"/>
          <w:sz w:val="24"/>
          <w:szCs w:val="24"/>
          <w:shd w:val="clear" w:color="auto" w:fill="FFFFFF"/>
        </w:rPr>
      </w:pPr>
      <w:r>
        <w:rPr>
          <w:rFonts w:ascii="Times New Roman" w:hAnsi="Times New Roman" w:eastAsia="Arial" w:cs="Times New Roman"/>
          <w:color w:val="212121"/>
          <w:sz w:val="24"/>
          <w:szCs w:val="24"/>
          <w:shd w:val="clear" w:color="auto" w:fill="FFFFFF"/>
        </w:rPr>
        <w:tab/>
      </w:r>
      <w:r>
        <w:fldChar w:fldCharType="begin"/>
      </w:r>
      <w:r>
        <w:instrText xml:space="preserve"> HYPERLINK "https://doi.org/10.1186%2Fs41182-021-00313-3" </w:instrText>
      </w:r>
      <w:r>
        <w:fldChar w:fldCharType="separate"/>
      </w:r>
      <w:r>
        <w:rPr>
          <w:rStyle w:val="10"/>
          <w:rFonts w:ascii="Times New Roman" w:hAnsi="Times New Roman" w:eastAsia="Arial" w:cs="Times New Roman"/>
          <w:sz w:val="24"/>
          <w:szCs w:val="24"/>
          <w:shd w:val="clear" w:color="auto" w:fill="FFFFFF"/>
        </w:rPr>
        <w:t>https://doi.org/10.1186%2Fs41182-021-00313-3</w:t>
      </w:r>
      <w:r>
        <w:rPr>
          <w:rStyle w:val="10"/>
          <w:rFonts w:ascii="Times New Roman" w:hAnsi="Times New Roman" w:eastAsia="Arial" w:cs="Times New Roman"/>
          <w:sz w:val="24"/>
          <w:szCs w:val="24"/>
          <w:shd w:val="clear" w:color="auto" w:fill="FFFFFF"/>
        </w:rPr>
        <w:fldChar w:fldCharType="end"/>
      </w:r>
    </w:p>
    <w:p>
      <w:pPr>
        <w:spacing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Yadav K,</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Prakash S. Screening of ESBL Producing Multidrug Resistant </w:t>
      </w:r>
      <w:r>
        <w:rPr>
          <w:rFonts w:ascii="Times New Roman" w:hAnsi="Times New Roman" w:cs="Times New Roman"/>
          <w:i/>
          <w:sz w:val="24"/>
          <w:szCs w:val="24"/>
        </w:rPr>
        <w:t>E.coli</w:t>
      </w:r>
      <w:r>
        <w:rPr>
          <w:rFonts w:ascii="Times New Roman" w:hAnsi="Times New Roman" w:cs="Times New Roman"/>
          <w:sz w:val="24"/>
          <w:szCs w:val="24"/>
        </w:rPr>
        <w:t xml:space="preserve"> from Urinary Tract Infection Suspected Cases in Southern Terai of Nepal. </w:t>
      </w:r>
      <w:r>
        <w:rPr>
          <w:rFonts w:ascii="Times New Roman" w:hAnsi="Times New Roman" w:cs="Times New Roman"/>
          <w:iCs/>
          <w:sz w:val="24"/>
          <w:szCs w:val="24"/>
        </w:rPr>
        <w:t>J Infect Dis Diagn.</w:t>
      </w:r>
      <w:r>
        <w:rPr>
          <w:rFonts w:ascii="Times New Roman" w:hAnsi="Times New Roman" w:cs="Times New Roman"/>
          <w:sz w:val="24"/>
          <w:szCs w:val="24"/>
        </w:rPr>
        <w:t>2017;2:2.</w:t>
      </w:r>
    </w:p>
    <w:p>
      <w:pPr>
        <w:spacing w:line="480" w:lineRule="auto"/>
        <w:ind w:firstLine="720"/>
        <w:jc w:val="both"/>
        <w:rPr>
          <w:rFonts w:ascii="Times New Roman" w:hAnsi="Times New Roman" w:eastAsia="Calibri" w:cs="Times New Roman"/>
          <w:sz w:val="24"/>
          <w:szCs w:val="24"/>
        </w:rPr>
      </w:pPr>
      <w:r>
        <w:fldChar w:fldCharType="begin"/>
      </w:r>
      <w:r>
        <w:instrText xml:space="preserve"> HYPERLINK "https://dx.doi.org/10.4172/2576-389x.1000116" </w:instrText>
      </w:r>
      <w:r>
        <w:fldChar w:fldCharType="separate"/>
      </w:r>
      <w:r>
        <w:rPr>
          <w:rStyle w:val="10"/>
          <w:rFonts w:ascii="Times New Roman" w:hAnsi="Times New Roman" w:cs="Times New Roman"/>
          <w:sz w:val="24"/>
          <w:szCs w:val="24"/>
        </w:rPr>
        <w:t>https://dx.doi.org/10.4172/2576-389x.1000116</w:t>
      </w:r>
      <w:r>
        <w:rPr>
          <w:rStyle w:val="10"/>
          <w:rFonts w:ascii="Times New Roman" w:hAnsi="Times New Roman" w:cs="Times New Roman"/>
          <w:sz w:val="24"/>
          <w:szCs w:val="24"/>
        </w:rPr>
        <w:fldChar w:fldCharType="end"/>
      </w:r>
    </w:p>
    <w:p>
      <w:pPr>
        <w:spacing w:line="480" w:lineRule="auto"/>
        <w:ind w:left="710" w:leftChars="50" w:hanging="600" w:hangingChars="250"/>
        <w:rPr>
          <w:rFonts w:ascii="Times New Roman" w:hAnsi="Times New Roman" w:eastAsia="SimSun" w:cs="Times New Roman"/>
          <w:color w:val="222222"/>
          <w:sz w:val="24"/>
          <w:szCs w:val="24"/>
          <w:shd w:val="clear" w:color="auto" w:fill="FFFFFF"/>
        </w:rPr>
      </w:pPr>
      <w:r>
        <w:rPr>
          <w:rFonts w:ascii="Times New Roman" w:hAnsi="Times New Roman" w:cs="Times New Roman"/>
          <w:sz w:val="24"/>
          <w:szCs w:val="24"/>
        </w:rPr>
        <w:t xml:space="preserve">    17</w:t>
      </w:r>
      <w:r>
        <w:rPr>
          <w:rFonts w:hint="default" w:ascii="Times New Roman" w:hAnsi="Times New Roman" w:cs="Times New Roman"/>
          <w:sz w:val="24"/>
          <w:szCs w:val="24"/>
          <w:lang w:val="en-US"/>
        </w:rPr>
        <w:t xml:space="preserve"> </w:t>
      </w:r>
      <w:r>
        <w:rPr>
          <w:rFonts w:ascii="Times New Roman" w:hAnsi="Times New Roman" w:eastAsia="SimSun" w:cs="Times New Roman"/>
          <w:color w:val="222222"/>
          <w:sz w:val="24"/>
          <w:szCs w:val="24"/>
          <w:shd w:val="clear" w:color="auto" w:fill="FFFFFF"/>
        </w:rPr>
        <w:t xml:space="preserve">Kubone PZ, Mlisana KP, Govinden U, Abia ALK, Essack SY. Antibiotic Susceptibility </w:t>
      </w:r>
      <w:r>
        <w:rPr>
          <w:rFonts w:ascii="Times New Roman" w:hAnsi="Times New Roman" w:eastAsia="SimSun" w:cs="Times New Roman"/>
          <w:color w:val="222222"/>
          <w:sz w:val="24"/>
          <w:szCs w:val="24"/>
          <w:shd w:val="clear" w:color="auto" w:fill="FFFFFF"/>
        </w:rPr>
        <w:tab/>
      </w:r>
      <w:r>
        <w:rPr>
          <w:rFonts w:ascii="Times New Roman" w:hAnsi="Times New Roman" w:eastAsia="SimSun" w:cs="Times New Roman"/>
          <w:color w:val="222222"/>
          <w:sz w:val="24"/>
          <w:szCs w:val="24"/>
          <w:shd w:val="clear" w:color="auto" w:fill="FFFFFF"/>
        </w:rPr>
        <w:t>and</w:t>
      </w:r>
      <w:r>
        <w:rPr>
          <w:rFonts w:hint="default" w:ascii="Times New Roman" w:hAnsi="Times New Roman" w:eastAsia="SimSun" w:cs="Times New Roman"/>
          <w:color w:val="222222"/>
          <w:sz w:val="24"/>
          <w:szCs w:val="24"/>
          <w:shd w:val="clear" w:color="auto" w:fill="FFFFFF"/>
          <w:lang w:val="en-US"/>
        </w:rPr>
        <w:t xml:space="preserve"> </w:t>
      </w:r>
      <w:r>
        <w:rPr>
          <w:rFonts w:ascii="Times New Roman" w:hAnsi="Times New Roman" w:eastAsia="SimSun" w:cs="Times New Roman"/>
          <w:color w:val="222222"/>
          <w:sz w:val="24"/>
          <w:szCs w:val="24"/>
          <w:shd w:val="clear" w:color="auto" w:fill="FFFFFF"/>
        </w:rPr>
        <w:t>Molecular Characterization of Uropathogenic </w:t>
      </w:r>
      <w:r>
        <w:rPr>
          <w:rFonts w:ascii="Times New Roman" w:hAnsi="Times New Roman" w:eastAsia="SimSun" w:cs="Times New Roman"/>
          <w:i/>
          <w:iCs/>
          <w:color w:val="222222"/>
          <w:sz w:val="24"/>
          <w:szCs w:val="24"/>
          <w:shd w:val="clear" w:color="auto" w:fill="FFFFFF"/>
        </w:rPr>
        <w:t>Escherichia coli</w:t>
      </w:r>
      <w:r>
        <w:rPr>
          <w:rFonts w:ascii="Times New Roman" w:hAnsi="Times New Roman" w:eastAsia="SimSun" w:cs="Times New Roman"/>
          <w:color w:val="222222"/>
          <w:sz w:val="24"/>
          <w:szCs w:val="24"/>
          <w:shd w:val="clear" w:color="auto" w:fill="FFFFFF"/>
        </w:rPr>
        <w:t> Associated with Community-Acquired Urinary Tract Infections in Urban and Rural Settings in South Africa. </w:t>
      </w:r>
      <w:r>
        <w:rPr>
          <w:rStyle w:val="9"/>
          <w:rFonts w:ascii="Times New Roman" w:hAnsi="Times New Roman" w:eastAsia="SimSun" w:cs="Times New Roman"/>
          <w:i w:val="0"/>
          <w:iCs w:val="0"/>
          <w:color w:val="222222"/>
          <w:sz w:val="24"/>
          <w:szCs w:val="24"/>
          <w:shd w:val="clear" w:color="auto" w:fill="FFFFFF"/>
        </w:rPr>
        <w:t>Tropical Medicine and Infectious Disease</w:t>
      </w:r>
      <w:r>
        <w:rPr>
          <w:rFonts w:ascii="Times New Roman" w:hAnsi="Times New Roman" w:eastAsia="SimSun" w:cs="Times New Roman"/>
          <w:color w:val="222222"/>
          <w:sz w:val="24"/>
          <w:szCs w:val="24"/>
          <w:shd w:val="clear" w:color="auto" w:fill="FFFFFF"/>
        </w:rPr>
        <w:t>. 2020; 5(4):176.</w:t>
      </w:r>
    </w:p>
    <w:p>
      <w:pPr>
        <w:spacing w:line="480" w:lineRule="auto"/>
        <w:ind w:left="110" w:leftChars="50"/>
        <w:rPr>
          <w:rFonts w:ascii="Times New Roman" w:hAnsi="Times New Roman" w:eastAsia="Arial" w:cs="Times New Roman"/>
          <w:color w:val="212121"/>
          <w:sz w:val="24"/>
          <w:szCs w:val="24"/>
          <w:shd w:val="clear" w:color="auto" w:fill="FFFFFF"/>
        </w:rPr>
      </w:pPr>
      <w:r>
        <w:rPr>
          <w:rFonts w:ascii="Times New Roman" w:hAnsi="Times New Roman" w:eastAsia="SimSun" w:cs="Times New Roman"/>
          <w:color w:val="222222"/>
          <w:sz w:val="24"/>
          <w:szCs w:val="24"/>
          <w:shd w:val="clear" w:color="auto" w:fill="FFFFFF"/>
        </w:rPr>
        <w:tab/>
      </w:r>
      <w:r>
        <w:fldChar w:fldCharType="begin"/>
      </w:r>
      <w:r>
        <w:instrText xml:space="preserve"> HYPERLINK "https://doi.org/10.3390/tropicalmed5040176" </w:instrText>
      </w:r>
      <w:r>
        <w:fldChar w:fldCharType="separate"/>
      </w:r>
      <w:r>
        <w:rPr>
          <w:rStyle w:val="10"/>
          <w:rFonts w:ascii="Times New Roman" w:hAnsi="Times New Roman" w:eastAsia="SimSun" w:cs="Times New Roman"/>
          <w:sz w:val="24"/>
          <w:szCs w:val="24"/>
          <w:shd w:val="clear" w:color="auto" w:fill="FFFFFF"/>
        </w:rPr>
        <w:t>https://doi.org/10.3390/tropicalmed5040176</w:t>
      </w:r>
      <w:r>
        <w:rPr>
          <w:rStyle w:val="10"/>
          <w:rFonts w:ascii="Times New Roman" w:hAnsi="Times New Roman" w:eastAsia="SimSun" w:cs="Times New Roman"/>
          <w:sz w:val="24"/>
          <w:szCs w:val="24"/>
          <w:shd w:val="clear" w:color="auto" w:fill="FFFFFF"/>
        </w:rPr>
        <w:fldChar w:fldCharType="end"/>
      </w:r>
    </w:p>
    <w:p>
      <w:pPr>
        <w:spacing w:line="480" w:lineRule="auto"/>
        <w:ind w:left="829" w:leftChars="213" w:hanging="360" w:hangingChars="150"/>
        <w:rPr>
          <w:rFonts w:ascii="Times New Roman" w:hAnsi="Times New Roman" w:eastAsia="Georgia" w:cs="Times New Roman"/>
          <w:color w:val="505050"/>
          <w:sz w:val="24"/>
          <w:szCs w:val="24"/>
        </w:rPr>
      </w:pPr>
      <w:r>
        <w:rPr>
          <w:rFonts w:ascii="Times New Roman" w:hAnsi="Times New Roman" w:cs="Times New Roman"/>
          <w:sz w:val="24"/>
          <w:szCs w:val="24"/>
        </w:rPr>
        <w:t xml:space="preserve">18 </w:t>
      </w:r>
      <w:r>
        <w:rPr>
          <w:rFonts w:ascii="Times New Roman" w:hAnsi="Times New Roman" w:eastAsia="Arial" w:cs="Times New Roman"/>
          <w:color w:val="212121"/>
          <w:sz w:val="24"/>
          <w:szCs w:val="24"/>
          <w:shd w:val="clear" w:color="auto" w:fill="FFFFFF"/>
        </w:rPr>
        <w:t xml:space="preserve"> Iftekhar A,</w:t>
      </w:r>
      <w:r>
        <w:rPr>
          <w:rFonts w:hint="default" w:ascii="Times New Roman" w:hAnsi="Times New Roman" w:eastAsia="Arial" w:cs="Times New Roman"/>
          <w:color w:val="212121"/>
          <w:sz w:val="24"/>
          <w:szCs w:val="24"/>
          <w:shd w:val="clear" w:color="auto" w:fill="FFFFFF"/>
          <w:lang w:val="en-US"/>
        </w:rPr>
        <w:t xml:space="preserve"> </w:t>
      </w:r>
      <w:r>
        <w:rPr>
          <w:rFonts w:ascii="Times New Roman" w:hAnsi="Times New Roman" w:eastAsia="Arial" w:cs="Times New Roman"/>
          <w:color w:val="212121"/>
          <w:sz w:val="24"/>
          <w:szCs w:val="24"/>
          <w:shd w:val="clear" w:color="auto" w:fill="FFFFFF"/>
        </w:rPr>
        <w:t>Md.</w:t>
      </w:r>
      <w:r>
        <w:rPr>
          <w:rFonts w:hint="default" w:ascii="Times New Roman" w:hAnsi="Times New Roman" w:eastAsia="Arial" w:cs="Times New Roman"/>
          <w:color w:val="212121"/>
          <w:sz w:val="24"/>
          <w:szCs w:val="24"/>
          <w:shd w:val="clear" w:color="auto" w:fill="FFFFFF"/>
          <w:lang w:val="en-US"/>
        </w:rPr>
        <w:t xml:space="preserve"> </w:t>
      </w:r>
      <w:r>
        <w:rPr>
          <w:rFonts w:ascii="Times New Roman" w:hAnsi="Times New Roman" w:eastAsia="Arial" w:cs="Times New Roman"/>
          <w:color w:val="212121"/>
          <w:sz w:val="24"/>
          <w:szCs w:val="24"/>
          <w:shd w:val="clear" w:color="auto" w:fill="FFFFFF"/>
        </w:rPr>
        <w:t>Bodiuzzaman R,</w:t>
      </w:r>
      <w:r>
        <w:rPr>
          <w:rFonts w:hint="default" w:ascii="Times New Roman" w:hAnsi="Times New Roman" w:eastAsia="Arial" w:cs="Times New Roman"/>
          <w:color w:val="212121"/>
          <w:sz w:val="24"/>
          <w:szCs w:val="24"/>
          <w:shd w:val="clear" w:color="auto" w:fill="FFFFFF"/>
          <w:lang w:val="en-US"/>
        </w:rPr>
        <w:t xml:space="preserve"> </w:t>
      </w:r>
      <w:r>
        <w:rPr>
          <w:rFonts w:ascii="Times New Roman" w:hAnsi="Times New Roman" w:eastAsia="Arial" w:cs="Times New Roman"/>
          <w:color w:val="212121"/>
          <w:sz w:val="24"/>
          <w:szCs w:val="24"/>
          <w:shd w:val="clear" w:color="auto" w:fill="FFFFFF"/>
        </w:rPr>
        <w:t xml:space="preserve">Sakina S. </w:t>
      </w:r>
      <w:r>
        <w:rPr>
          <w:rFonts w:ascii="Times New Roman" w:hAnsi="Times New Roman" w:eastAsia="Georgia" w:cs="Times New Roman"/>
          <w:color w:val="505050"/>
          <w:sz w:val="24"/>
          <w:szCs w:val="24"/>
        </w:rPr>
        <w:t>Antibiotic resistance in  Bangladesh: Asystematic review.International Journal of Infectious Diseases.2019;80:54-61.</w:t>
      </w:r>
    </w:p>
    <w:p>
      <w:pPr>
        <w:spacing w:line="480" w:lineRule="auto"/>
        <w:ind w:firstLine="720"/>
        <w:rPr>
          <w:rFonts w:ascii="Times New Roman" w:hAnsi="Times New Roman" w:cs="Times New Roman"/>
          <w:sz w:val="24"/>
          <w:szCs w:val="24"/>
        </w:rPr>
      </w:pPr>
      <w:r>
        <w:fldChar w:fldCharType="begin"/>
      </w:r>
      <w:r>
        <w:instrText xml:space="preserve"> HYPERLINK "https://doi.org/10.1016/j.ijid.2018.12.017" </w:instrText>
      </w:r>
      <w:r>
        <w:fldChar w:fldCharType="separate"/>
      </w:r>
      <w:r>
        <w:rPr>
          <w:rStyle w:val="10"/>
          <w:rFonts w:ascii="Times New Roman" w:hAnsi="Times New Roman" w:cs="Times New Roman"/>
          <w:sz w:val="24"/>
          <w:szCs w:val="24"/>
        </w:rPr>
        <w:t>https://doi.org/10.1016/j.ijid.2018.12.017</w:t>
      </w:r>
      <w:r>
        <w:rPr>
          <w:rStyle w:val="10"/>
          <w:rFonts w:ascii="Times New Roman" w:hAnsi="Times New Roman" w:cs="Times New Roman"/>
          <w:sz w:val="24"/>
          <w:szCs w:val="24"/>
        </w:rPr>
        <w:fldChar w:fldCharType="end"/>
      </w:r>
    </w:p>
    <w:p>
      <w:pPr>
        <w:spacing w:line="480" w:lineRule="auto"/>
        <w:ind w:firstLine="480" w:firstLineChars="200"/>
        <w:rPr>
          <w:rFonts w:ascii="Times New Roman" w:hAnsi="Times New Roman" w:eastAsia="Segoe UI" w:cs="Times New Roman"/>
          <w:color w:val="222222"/>
          <w:sz w:val="24"/>
          <w:szCs w:val="24"/>
          <w:shd w:val="clear" w:color="auto" w:fill="FFFFFF"/>
        </w:rPr>
      </w:pPr>
      <w:r>
        <w:rPr>
          <w:rFonts w:ascii="Times New Roman" w:hAnsi="Times New Roman" w:eastAsia="Segoe UI" w:cs="Times New Roman"/>
          <w:color w:val="222222"/>
          <w:sz w:val="24"/>
          <w:szCs w:val="24"/>
          <w:shd w:val="clear" w:color="auto" w:fill="FFFFFF"/>
        </w:rPr>
        <w:t>19</w:t>
      </w:r>
      <w:r>
        <w:rPr>
          <w:rFonts w:hint="default" w:ascii="Times New Roman" w:hAnsi="Times New Roman" w:eastAsia="Segoe UI" w:cs="Times New Roman"/>
          <w:color w:val="222222"/>
          <w:sz w:val="24"/>
          <w:szCs w:val="24"/>
          <w:shd w:val="clear" w:color="auto" w:fill="FFFFFF"/>
          <w:lang w:val="en-US"/>
        </w:rPr>
        <w:t xml:space="preserve"> </w:t>
      </w:r>
      <w:r>
        <w:rPr>
          <w:rFonts w:ascii="Times New Roman" w:hAnsi="Times New Roman" w:eastAsia="Segoe UI" w:cs="Times New Roman"/>
          <w:color w:val="222222"/>
          <w:sz w:val="24"/>
          <w:szCs w:val="24"/>
          <w:shd w:val="clear" w:color="auto" w:fill="FFFFFF"/>
        </w:rPr>
        <w:t>Rijal</w:t>
      </w:r>
      <w:r>
        <w:rPr>
          <w:rFonts w:hint="default" w:ascii="Times New Roman" w:hAnsi="Times New Roman" w:eastAsia="Segoe UI" w:cs="Times New Roman"/>
          <w:color w:val="222222"/>
          <w:sz w:val="24"/>
          <w:szCs w:val="24"/>
          <w:shd w:val="clear" w:color="auto" w:fill="FFFFFF"/>
          <w:lang w:val="en-US"/>
        </w:rPr>
        <w:t xml:space="preserve"> </w:t>
      </w:r>
      <w:r>
        <w:rPr>
          <w:rFonts w:ascii="Times New Roman" w:hAnsi="Times New Roman" w:eastAsia="Segoe UI" w:cs="Times New Roman"/>
          <w:color w:val="222222"/>
          <w:sz w:val="24"/>
          <w:szCs w:val="24"/>
          <w:shd w:val="clear" w:color="auto" w:fill="FFFFFF"/>
        </w:rPr>
        <w:t>KR, Banjara</w:t>
      </w:r>
      <w:r>
        <w:rPr>
          <w:rFonts w:hint="default" w:ascii="Times New Roman" w:hAnsi="Times New Roman" w:eastAsia="Segoe UI" w:cs="Times New Roman"/>
          <w:color w:val="222222"/>
          <w:sz w:val="24"/>
          <w:szCs w:val="24"/>
          <w:shd w:val="clear" w:color="auto" w:fill="FFFFFF"/>
          <w:lang w:val="en-US"/>
        </w:rPr>
        <w:t xml:space="preserve"> </w:t>
      </w:r>
      <w:r>
        <w:rPr>
          <w:rFonts w:ascii="Times New Roman" w:hAnsi="Times New Roman" w:eastAsia="Segoe UI" w:cs="Times New Roman"/>
          <w:color w:val="222222"/>
          <w:sz w:val="24"/>
          <w:szCs w:val="24"/>
          <w:shd w:val="clear" w:color="auto" w:fill="FFFFFF"/>
        </w:rPr>
        <w:t>MR, Dhungel</w:t>
      </w:r>
      <w:r>
        <w:rPr>
          <w:rFonts w:hint="default" w:ascii="Times New Roman" w:hAnsi="Times New Roman" w:eastAsia="Segoe UI" w:cs="Times New Roman"/>
          <w:color w:val="222222"/>
          <w:sz w:val="24"/>
          <w:szCs w:val="24"/>
          <w:shd w:val="clear" w:color="auto" w:fill="FFFFFF"/>
          <w:lang w:val="en-US"/>
        </w:rPr>
        <w:t xml:space="preserve"> </w:t>
      </w:r>
      <w:r>
        <w:rPr>
          <w:rFonts w:ascii="Times New Roman" w:hAnsi="Times New Roman" w:eastAsia="Segoe UI" w:cs="Times New Roman"/>
          <w:color w:val="222222"/>
          <w:sz w:val="24"/>
          <w:szCs w:val="24"/>
          <w:shd w:val="clear" w:color="auto" w:fill="FFFFFF"/>
        </w:rPr>
        <w:t xml:space="preserve">B, et al. Use of antimicrobials and antimicrobial </w:t>
      </w:r>
    </w:p>
    <w:p>
      <w:pPr>
        <w:spacing w:line="480" w:lineRule="auto"/>
        <w:ind w:firstLine="840" w:firstLineChars="350"/>
        <w:rPr>
          <w:rFonts w:ascii="Times New Roman" w:hAnsi="Times New Roman" w:cs="Times New Roman"/>
          <w:sz w:val="24"/>
          <w:szCs w:val="24"/>
        </w:rPr>
      </w:pPr>
      <w:r>
        <w:rPr>
          <w:rFonts w:ascii="Times New Roman" w:hAnsi="Times New Roman" w:eastAsia="Segoe UI" w:cs="Times New Roman"/>
          <w:color w:val="222222"/>
          <w:sz w:val="24"/>
          <w:szCs w:val="24"/>
          <w:shd w:val="clear" w:color="auto" w:fill="FFFFFF"/>
        </w:rPr>
        <w:t>resistance in Nepal: a nationwide survey. Sci Rep.2021; 11,11554.</w:t>
      </w:r>
    </w:p>
    <w:p>
      <w:pPr>
        <w:spacing w:line="480" w:lineRule="auto"/>
        <w:rPr>
          <w:rFonts w:ascii="Times New Roman" w:hAnsi="Times New Roman" w:eastAsia="Arial" w:cs="Times New Roman"/>
          <w:color w:val="212121"/>
          <w:sz w:val="24"/>
          <w:szCs w:val="24"/>
          <w:shd w:val="clear" w:color="auto" w:fill="FFFFFF"/>
        </w:rPr>
      </w:pPr>
      <w:r>
        <w:rPr>
          <w:rFonts w:ascii="Times New Roman" w:hAnsi="Times New Roman" w:eastAsia="Arial" w:cs="Times New Roman"/>
          <w:color w:val="212121"/>
          <w:sz w:val="24"/>
          <w:szCs w:val="24"/>
          <w:shd w:val="clear" w:color="auto" w:fill="FFFFFF"/>
        </w:rPr>
        <w:tab/>
      </w:r>
      <w:r>
        <w:fldChar w:fldCharType="begin"/>
      </w:r>
      <w:r>
        <w:instrText xml:space="preserve"> HYPERLINK "https://doi.org/10.1038/s41598-021-90812-4" </w:instrText>
      </w:r>
      <w:r>
        <w:fldChar w:fldCharType="separate"/>
      </w:r>
      <w:r>
        <w:rPr>
          <w:rStyle w:val="10"/>
          <w:rFonts w:ascii="Times New Roman" w:hAnsi="Times New Roman" w:eastAsia="Segoe UI" w:cs="Times New Roman"/>
          <w:sz w:val="24"/>
          <w:szCs w:val="24"/>
          <w:shd w:val="clear" w:color="auto" w:fill="FFFFFF"/>
        </w:rPr>
        <w:t>https://doi.org/10.1038/s41598-021-90812-4</w:t>
      </w:r>
      <w:r>
        <w:rPr>
          <w:rStyle w:val="10"/>
          <w:rFonts w:ascii="Times New Roman" w:hAnsi="Times New Roman" w:eastAsia="Segoe UI" w:cs="Times New Roman"/>
          <w:sz w:val="24"/>
          <w:szCs w:val="24"/>
          <w:shd w:val="clear" w:color="auto" w:fill="FFFFFF"/>
        </w:rPr>
        <w:fldChar w:fldCharType="end"/>
      </w:r>
    </w:p>
    <w:p>
      <w:pPr>
        <w:spacing w:line="480" w:lineRule="auto"/>
        <w:ind w:left="734" w:leftChars="170" w:hanging="360" w:hangingChars="150"/>
        <w:rPr>
          <w:rFonts w:ascii="Times New Roman" w:hAnsi="Times New Roman" w:eastAsia="Segoe UI" w:cs="Times New Roman"/>
          <w:color w:val="333333"/>
          <w:sz w:val="24"/>
          <w:szCs w:val="24"/>
          <w:shd w:val="clear" w:color="auto" w:fill="FFFFFF"/>
        </w:rPr>
      </w:pPr>
      <w:r>
        <w:rPr>
          <w:rFonts w:ascii="Times New Roman" w:hAnsi="Times New Roman" w:eastAsia="Segoe UI" w:cs="Times New Roman"/>
          <w:color w:val="333333"/>
          <w:sz w:val="24"/>
          <w:szCs w:val="24"/>
          <w:shd w:val="clear" w:color="auto" w:fill="FFFFFF"/>
        </w:rPr>
        <w:t>20  Manandhar</w:t>
      </w:r>
      <w:r>
        <w:rPr>
          <w:rFonts w:hint="default" w:ascii="Times New Roman" w:hAnsi="Times New Roman" w:eastAsia="Segoe UI" w:cs="Times New Roman"/>
          <w:color w:val="333333"/>
          <w:sz w:val="24"/>
          <w:szCs w:val="24"/>
          <w:shd w:val="clear" w:color="auto" w:fill="FFFFFF"/>
          <w:lang w:val="en-US"/>
        </w:rPr>
        <w:t xml:space="preserve"> </w:t>
      </w:r>
      <w:r>
        <w:rPr>
          <w:rFonts w:ascii="Times New Roman" w:hAnsi="Times New Roman" w:eastAsia="Segoe UI" w:cs="Times New Roman"/>
          <w:color w:val="333333"/>
          <w:sz w:val="24"/>
          <w:szCs w:val="24"/>
          <w:shd w:val="clear" w:color="auto" w:fill="FFFFFF"/>
        </w:rPr>
        <w:t>S, Zellweger</w:t>
      </w:r>
      <w:r>
        <w:rPr>
          <w:rFonts w:hint="default" w:ascii="Times New Roman" w:hAnsi="Times New Roman" w:eastAsia="Segoe UI" w:cs="Times New Roman"/>
          <w:color w:val="333333"/>
          <w:sz w:val="24"/>
          <w:szCs w:val="24"/>
          <w:shd w:val="clear" w:color="auto" w:fill="FFFFFF"/>
          <w:lang w:val="en-US"/>
        </w:rPr>
        <w:t xml:space="preserve"> </w:t>
      </w:r>
      <w:r>
        <w:rPr>
          <w:rFonts w:ascii="Times New Roman" w:hAnsi="Times New Roman" w:eastAsia="Segoe UI" w:cs="Times New Roman"/>
          <w:color w:val="333333"/>
          <w:sz w:val="24"/>
          <w:szCs w:val="24"/>
          <w:shd w:val="clear" w:color="auto" w:fill="FFFFFF"/>
        </w:rPr>
        <w:t>RM, Maharjan N. </w:t>
      </w:r>
      <w:r>
        <w:rPr>
          <w:rFonts w:ascii="Times New Roman" w:hAnsi="Times New Roman" w:eastAsia="Segoe UI" w:cs="Times New Roman"/>
          <w:i w:val="0"/>
          <w:iCs w:val="0"/>
          <w:color w:val="333333"/>
          <w:sz w:val="24"/>
          <w:szCs w:val="24"/>
          <w:shd w:val="clear" w:color="auto" w:fill="FFFFFF"/>
        </w:rPr>
        <w:t>et al.</w:t>
      </w:r>
      <w:r>
        <w:rPr>
          <w:rFonts w:ascii="Times New Roman" w:hAnsi="Times New Roman" w:eastAsia="Segoe UI" w:cs="Times New Roman"/>
          <w:color w:val="333333"/>
          <w:sz w:val="24"/>
          <w:szCs w:val="24"/>
          <w:shd w:val="clear" w:color="auto" w:fill="FFFFFF"/>
        </w:rPr>
        <w:t> A high prevalence of multi-drug resistant  Gram-negative bacilli in a Nepali tertiary care hospital and associated widespread distribution of Extended-Spectrum Beta-Lactamase (ESBL) and  carbapenemase-encoding genes. Ann Clin Microbiol Antimicrob.2020;19:48.</w:t>
      </w:r>
    </w:p>
    <w:p>
      <w:pPr>
        <w:spacing w:line="480" w:lineRule="auto"/>
        <w:rPr>
          <w:rFonts w:ascii="Times New Roman" w:hAnsi="Times New Roman" w:eastAsia="Segoe UI" w:cs="Times New Roman"/>
          <w:color w:val="333333"/>
          <w:sz w:val="24"/>
          <w:szCs w:val="24"/>
          <w:shd w:val="clear" w:color="auto" w:fill="FFFFFF"/>
        </w:rPr>
      </w:pPr>
      <w:r>
        <w:rPr>
          <w:rFonts w:ascii="Times New Roman" w:hAnsi="Times New Roman" w:eastAsia="Segoe UI" w:cs="Times New Roman"/>
          <w:color w:val="333333"/>
          <w:sz w:val="24"/>
          <w:szCs w:val="24"/>
          <w:shd w:val="clear" w:color="auto" w:fill="FFFFFF"/>
        </w:rPr>
        <w:tab/>
      </w:r>
      <w:r>
        <w:fldChar w:fldCharType="begin"/>
      </w:r>
      <w:r>
        <w:instrText xml:space="preserve"> HYPERLINK "https://doi.org/10.1186/s12941-020-00390-y" </w:instrText>
      </w:r>
      <w:r>
        <w:fldChar w:fldCharType="separate"/>
      </w:r>
      <w:r>
        <w:rPr>
          <w:rStyle w:val="10"/>
          <w:rFonts w:ascii="Times New Roman" w:hAnsi="Times New Roman" w:eastAsia="Segoe UI" w:cs="Times New Roman"/>
          <w:sz w:val="24"/>
          <w:szCs w:val="24"/>
          <w:shd w:val="clear" w:color="auto" w:fill="FFFFFF"/>
        </w:rPr>
        <w:t>https://doi.org/10.1186/s12941-020-00390-y</w:t>
      </w:r>
      <w:r>
        <w:rPr>
          <w:rStyle w:val="10"/>
          <w:rFonts w:ascii="Times New Roman" w:hAnsi="Times New Roman" w:eastAsia="Segoe UI" w:cs="Times New Roman"/>
          <w:sz w:val="24"/>
          <w:szCs w:val="24"/>
          <w:shd w:val="clear" w:color="auto" w:fill="FFFFFF"/>
        </w:rPr>
        <w:fldChar w:fldCharType="end"/>
      </w:r>
    </w:p>
    <w:p>
      <w:pPr>
        <w:spacing w:line="480" w:lineRule="auto"/>
        <w:ind w:left="720" w:hanging="450"/>
        <w:rPr>
          <w:rFonts w:ascii="Times New Roman" w:hAnsi="Times New Roman" w:eastAsia="Arial" w:cs="Times New Roman"/>
          <w:color w:val="212121"/>
          <w:sz w:val="24"/>
          <w:szCs w:val="24"/>
          <w:shd w:val="clear" w:color="auto" w:fill="FFFFFF"/>
        </w:rPr>
      </w:pPr>
      <w:r>
        <w:rPr>
          <w:rFonts w:ascii="Times New Roman" w:hAnsi="Times New Roman" w:eastAsia="Arial" w:cs="Times New Roman"/>
          <w:color w:val="212121"/>
          <w:sz w:val="24"/>
          <w:szCs w:val="24"/>
          <w:shd w:val="clear" w:color="auto" w:fill="FFFFFF"/>
        </w:rPr>
        <w:t>21</w:t>
      </w:r>
      <w:r>
        <w:rPr>
          <w:rFonts w:hint="default" w:ascii="Times New Roman" w:hAnsi="Times New Roman" w:eastAsia="Arial" w:cs="Times New Roman"/>
          <w:color w:val="212121"/>
          <w:sz w:val="24"/>
          <w:szCs w:val="24"/>
          <w:shd w:val="clear" w:color="auto" w:fill="FFFFFF"/>
          <w:lang w:val="en-US"/>
        </w:rPr>
        <w:t xml:space="preserve">  </w:t>
      </w:r>
      <w:r>
        <w:rPr>
          <w:rFonts w:ascii="Times New Roman" w:hAnsi="Times New Roman" w:eastAsia="Arial" w:cs="Times New Roman"/>
          <w:color w:val="212121"/>
          <w:sz w:val="24"/>
          <w:szCs w:val="24"/>
          <w:shd w:val="clear" w:color="auto" w:fill="FFFFFF"/>
        </w:rPr>
        <w:t>Sadeghi M, Sedigh Ebrahim-Saraie H, Mojtahedi A. Prevalence of ESBL and AmpC genes  in </w:t>
      </w:r>
      <w:r>
        <w:rPr>
          <w:rFonts w:ascii="Times New Roman" w:hAnsi="Times New Roman" w:eastAsia="Arial" w:cs="Times New Roman"/>
          <w:i/>
          <w:iCs/>
          <w:color w:val="212121"/>
          <w:sz w:val="24"/>
          <w:szCs w:val="24"/>
          <w:shd w:val="clear" w:color="auto" w:fill="FFFFFF"/>
        </w:rPr>
        <w:t>E. coli</w:t>
      </w:r>
      <w:r>
        <w:rPr>
          <w:rFonts w:ascii="Times New Roman" w:hAnsi="Times New Roman" w:eastAsia="Arial" w:cs="Times New Roman"/>
          <w:color w:val="212121"/>
          <w:sz w:val="24"/>
          <w:szCs w:val="24"/>
          <w:shd w:val="clear" w:color="auto" w:fill="FFFFFF"/>
        </w:rPr>
        <w:t> isolates from urinary tract infections in the north of Iran. New Microbes New Infect. 2022;45:100947.</w:t>
      </w:r>
    </w:p>
    <w:p>
      <w:pPr>
        <w:spacing w:line="480" w:lineRule="auto"/>
        <w:rPr>
          <w:rFonts w:ascii="Times New Roman" w:hAnsi="Times New Roman" w:eastAsia="SimSun" w:cs="Times New Roman"/>
          <w:color w:val="232323"/>
          <w:sz w:val="24"/>
          <w:szCs w:val="24"/>
          <w:shd w:val="clear" w:color="auto" w:fill="FFFFFF"/>
        </w:rPr>
      </w:pPr>
      <w:r>
        <w:rPr>
          <w:rFonts w:ascii="Times New Roman" w:hAnsi="Times New Roman" w:eastAsia="Arial" w:cs="Times New Roman"/>
          <w:color w:val="212121"/>
          <w:sz w:val="24"/>
          <w:szCs w:val="24"/>
          <w:shd w:val="clear" w:color="auto" w:fill="FFFFFF"/>
        </w:rPr>
        <w:tab/>
      </w:r>
      <w:r>
        <w:fldChar w:fldCharType="begin"/>
      </w:r>
      <w:r>
        <w:instrText xml:space="preserve"> HYPERLINK "https://doi.org/10.1016%2Fj.nmni.2021.100947" </w:instrText>
      </w:r>
      <w:r>
        <w:fldChar w:fldCharType="separate"/>
      </w:r>
      <w:r>
        <w:rPr>
          <w:rStyle w:val="10"/>
          <w:rFonts w:ascii="Times New Roman" w:hAnsi="Times New Roman" w:eastAsia="Arial" w:cs="Times New Roman"/>
          <w:sz w:val="24"/>
          <w:szCs w:val="24"/>
          <w:shd w:val="clear" w:color="auto" w:fill="FFFFFF"/>
        </w:rPr>
        <w:t>https://doi.org/10.1016%2Fj.nmni.2021.100947</w:t>
      </w:r>
      <w:r>
        <w:rPr>
          <w:rStyle w:val="10"/>
          <w:rFonts w:ascii="Times New Roman" w:hAnsi="Times New Roman" w:eastAsia="Arial" w:cs="Times New Roman"/>
          <w:sz w:val="24"/>
          <w:szCs w:val="24"/>
          <w:shd w:val="clear" w:color="auto" w:fill="FFFFFF"/>
        </w:rPr>
        <w:fldChar w:fldCharType="end"/>
      </w:r>
    </w:p>
    <w:p>
      <w:pPr>
        <w:spacing w:line="480" w:lineRule="auto"/>
        <w:ind w:left="720" w:hanging="720" w:hangingChars="300"/>
        <w:rPr>
          <w:rFonts w:ascii="Times New Roman" w:hAnsi="Times New Roman" w:eastAsia="SimSun" w:cs="Times New Roman"/>
          <w:color w:val="232323"/>
          <w:sz w:val="24"/>
          <w:szCs w:val="24"/>
          <w:shd w:val="clear" w:color="auto" w:fill="FFFFFF"/>
        </w:rPr>
      </w:pPr>
      <w:r>
        <w:rPr>
          <w:rFonts w:ascii="Times New Roman" w:hAnsi="Times New Roman" w:eastAsia="SimSun" w:cs="Times New Roman"/>
          <w:color w:val="232323"/>
          <w:sz w:val="24"/>
          <w:szCs w:val="24"/>
          <w:shd w:val="clear" w:color="auto" w:fill="FFFFFF"/>
        </w:rPr>
        <w:t xml:space="preserve">     22 Onyedibe</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K , Shobowale</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E, Okolo</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M, Iroezindu</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M, Afolaranmi</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T, Nwaokorie</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F, Opajobi</w:t>
      </w:r>
    </w:p>
    <w:p>
      <w:pPr>
        <w:spacing w:line="480" w:lineRule="auto"/>
        <w:ind w:left="240" w:leftChars="109" w:firstLine="480" w:firstLineChars="200"/>
        <w:rPr>
          <w:rFonts w:ascii="Times New Roman" w:hAnsi="Times New Roman" w:eastAsia="SimSun" w:cs="Times New Roman"/>
          <w:color w:val="232323"/>
          <w:sz w:val="24"/>
          <w:szCs w:val="24"/>
          <w:shd w:val="clear" w:color="auto" w:fill="FFFFFF"/>
        </w:rPr>
      </w:pPr>
      <w:r>
        <w:rPr>
          <w:rFonts w:ascii="Times New Roman" w:hAnsi="Times New Roman" w:eastAsia="SimSun" w:cs="Times New Roman"/>
          <w:color w:val="232323"/>
          <w:sz w:val="24"/>
          <w:szCs w:val="24"/>
          <w:shd w:val="clear" w:color="auto" w:fill="FFFFFF"/>
        </w:rPr>
        <w:t>S, Isa</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S, Egah</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D. Low Prevalence of</w:t>
      </w:r>
      <w:r>
        <w:rPr>
          <w:rFonts w:hint="default" w:ascii="Times New Roman" w:hAnsi="Times New Roman" w:eastAsia="SimSun" w:cs="Times New Roman"/>
          <w:color w:val="232323"/>
          <w:sz w:val="24"/>
          <w:szCs w:val="24"/>
          <w:shd w:val="clear" w:color="auto" w:fill="FFFFFF"/>
          <w:lang w:val="en-US"/>
        </w:rPr>
        <w:t xml:space="preserve"> </w:t>
      </w:r>
      <w:r>
        <w:rPr>
          <w:rFonts w:ascii="Times New Roman" w:hAnsi="Times New Roman" w:eastAsia="SimSun" w:cs="Times New Roman"/>
          <w:color w:val="232323"/>
          <w:sz w:val="24"/>
          <w:szCs w:val="24"/>
          <w:shd w:val="clear" w:color="auto" w:fill="FFFFFF"/>
        </w:rPr>
        <w:t xml:space="preserve"> Carbapenem Resistance in Clinical Isolates of </w:t>
      </w:r>
    </w:p>
    <w:p>
      <w:pPr>
        <w:spacing w:line="480" w:lineRule="auto"/>
        <w:ind w:left="240" w:leftChars="109" w:firstLine="480" w:firstLineChars="200"/>
        <w:rPr>
          <w:rFonts w:ascii="Times New Roman" w:hAnsi="Times New Roman" w:eastAsia="SimSun" w:cs="Times New Roman"/>
          <w:color w:val="232323"/>
          <w:sz w:val="24"/>
          <w:szCs w:val="24"/>
          <w:shd w:val="clear" w:color="auto" w:fill="FFFFFF"/>
        </w:rPr>
      </w:pPr>
      <w:r>
        <w:rPr>
          <w:rFonts w:ascii="Times New Roman" w:hAnsi="Times New Roman" w:eastAsia="SimSun" w:cs="Times New Roman"/>
          <w:color w:val="232323"/>
          <w:sz w:val="24"/>
          <w:szCs w:val="24"/>
          <w:shd w:val="clear" w:color="auto" w:fill="FFFFFF"/>
        </w:rPr>
        <w:t>Extended Spectrum Beta Lactamase (ESBL) Producing </w:t>
      </w:r>
      <w:r>
        <w:rPr>
          <w:rFonts w:ascii="Times New Roman" w:hAnsi="Times New Roman" w:eastAsia="SimSun" w:cs="Times New Roman"/>
          <w:i/>
          <w:iCs/>
          <w:color w:val="232323"/>
          <w:sz w:val="24"/>
          <w:szCs w:val="24"/>
          <w:shd w:val="clear" w:color="auto" w:fill="FFFFFF"/>
        </w:rPr>
        <w:t>Escherichia coli</w:t>
      </w:r>
      <w:r>
        <w:rPr>
          <w:rFonts w:ascii="Times New Roman" w:hAnsi="Times New Roman" w:eastAsia="SimSun" w:cs="Times New Roman"/>
          <w:color w:val="232323"/>
          <w:sz w:val="24"/>
          <w:szCs w:val="24"/>
          <w:shd w:val="clear" w:color="auto" w:fill="FFFFFF"/>
        </w:rPr>
        <w:t xml:space="preserve"> in North Central,  </w:t>
      </w:r>
    </w:p>
    <w:p>
      <w:pPr>
        <w:spacing w:line="480" w:lineRule="auto"/>
        <w:ind w:left="240" w:leftChars="109" w:firstLine="480" w:firstLineChars="200"/>
        <w:rPr>
          <w:rFonts w:ascii="Times New Roman" w:hAnsi="Times New Roman" w:eastAsia="SimSun" w:cs="Times New Roman"/>
          <w:color w:val="232323"/>
          <w:sz w:val="24"/>
          <w:szCs w:val="24"/>
          <w:shd w:val="clear" w:color="auto" w:fill="FFFFFF"/>
        </w:rPr>
      </w:pPr>
      <w:r>
        <w:rPr>
          <w:rFonts w:ascii="Times New Roman" w:hAnsi="Times New Roman" w:eastAsia="SimSun" w:cs="Times New Roman"/>
          <w:color w:val="232323"/>
          <w:sz w:val="24"/>
          <w:szCs w:val="24"/>
          <w:shd w:val="clear" w:color="auto" w:fill="FFFFFF"/>
        </w:rPr>
        <w:t>Nigeria. Advances in Infectious Diseases.2018; 8:109-120.</w:t>
      </w:r>
    </w:p>
    <w:p>
      <w:pPr>
        <w:spacing w:line="480" w:lineRule="auto"/>
        <w:rPr>
          <w:rFonts w:ascii="Times New Roman" w:hAnsi="Times New Roman" w:eastAsia="SimSun" w:cs="Times New Roman"/>
          <w:color w:val="232323"/>
          <w:sz w:val="24"/>
          <w:szCs w:val="24"/>
          <w:shd w:val="clear" w:color="auto" w:fill="FFFFFF"/>
        </w:rPr>
      </w:pPr>
      <w:r>
        <w:rPr>
          <w:rFonts w:ascii="Times New Roman" w:hAnsi="Times New Roman" w:eastAsia="SimSun" w:cs="Times New Roman"/>
          <w:color w:val="232323"/>
          <w:sz w:val="24"/>
          <w:szCs w:val="24"/>
          <w:shd w:val="clear" w:color="auto" w:fill="FFFFFF"/>
        </w:rPr>
        <w:tab/>
      </w:r>
      <w:r>
        <w:fldChar w:fldCharType="begin"/>
      </w:r>
      <w:r>
        <w:instrText xml:space="preserve"> HYPERLINK "https://doi.org/10.4236/aid.2018.83011" </w:instrText>
      </w:r>
      <w:r>
        <w:fldChar w:fldCharType="separate"/>
      </w:r>
      <w:r>
        <w:rPr>
          <w:rStyle w:val="10"/>
          <w:rFonts w:ascii="Times New Roman" w:hAnsi="Times New Roman" w:eastAsia="SimSun" w:cs="Times New Roman"/>
          <w:sz w:val="24"/>
          <w:szCs w:val="24"/>
          <w:shd w:val="clear" w:color="auto" w:fill="FFFFFF"/>
        </w:rPr>
        <w:t>https://doi.org/10.4236/aid.2018.83011</w:t>
      </w:r>
      <w:r>
        <w:rPr>
          <w:rStyle w:val="10"/>
          <w:rFonts w:ascii="Times New Roman" w:hAnsi="Times New Roman" w:eastAsia="SimSun" w:cs="Times New Roman"/>
          <w:sz w:val="24"/>
          <w:szCs w:val="24"/>
          <w:shd w:val="clear" w:color="auto" w:fill="FFFFFF"/>
        </w:rPr>
        <w:fldChar w:fldCharType="end"/>
      </w:r>
    </w:p>
    <w:p>
      <w:pPr>
        <w:pStyle w:val="14"/>
        <w:spacing w:line="480" w:lineRule="auto"/>
        <w:ind w:left="360"/>
        <w:rPr>
          <w:rFonts w:ascii="Times New Roman" w:hAnsi="Times New Roman" w:eastAsia="Helvetica"/>
          <w:color w:val="333333"/>
          <w:sz w:val="24"/>
          <w:szCs w:val="24"/>
          <w:shd w:val="clear" w:color="auto" w:fill="FFFFFF"/>
        </w:rPr>
      </w:pPr>
      <w:r>
        <w:rPr>
          <w:rFonts w:ascii="Times New Roman" w:hAnsi="Times New Roman" w:eastAsia="SimSun"/>
          <w:color w:val="232323"/>
          <w:sz w:val="24"/>
          <w:szCs w:val="24"/>
          <w:shd w:val="clear" w:color="auto" w:fill="FFFFFF"/>
        </w:rPr>
        <w:t>23 Vachvanichsanong</w:t>
      </w:r>
      <w:r>
        <w:rPr>
          <w:rFonts w:hint="default" w:ascii="Times New Roman" w:hAnsi="Times New Roman" w:eastAsia="SimSun"/>
          <w:color w:val="232323"/>
          <w:sz w:val="24"/>
          <w:szCs w:val="24"/>
          <w:shd w:val="clear" w:color="auto" w:fill="FFFFFF"/>
          <w:lang w:val="en-US"/>
        </w:rPr>
        <w:t xml:space="preserve"> </w:t>
      </w:r>
      <w:r>
        <w:rPr>
          <w:rFonts w:ascii="Times New Roman" w:hAnsi="Times New Roman" w:eastAsia="SimSun"/>
          <w:color w:val="232323"/>
          <w:sz w:val="24"/>
          <w:szCs w:val="24"/>
          <w:shd w:val="clear" w:color="auto" w:fill="FFFFFF"/>
        </w:rPr>
        <w:t>P,</w:t>
      </w:r>
      <w:r>
        <w:rPr>
          <w:rFonts w:hint="default" w:ascii="Times New Roman" w:hAnsi="Times New Roman" w:eastAsia="SimSun"/>
          <w:color w:val="232323"/>
          <w:sz w:val="24"/>
          <w:szCs w:val="24"/>
          <w:shd w:val="clear" w:color="auto" w:fill="FFFFFF"/>
          <w:lang w:val="en-US"/>
        </w:rPr>
        <w:t xml:space="preserve"> </w:t>
      </w:r>
      <w:r>
        <w:rPr>
          <w:rFonts w:ascii="Times New Roman" w:hAnsi="Times New Roman" w:eastAsia="SimSun"/>
          <w:color w:val="232323"/>
          <w:sz w:val="24"/>
          <w:szCs w:val="24"/>
          <w:shd w:val="clear" w:color="auto" w:fill="FFFFFF"/>
        </w:rPr>
        <w:t>McNeil</w:t>
      </w:r>
      <w:r>
        <w:rPr>
          <w:rFonts w:hint="default" w:ascii="Times New Roman" w:hAnsi="Times New Roman" w:eastAsia="SimSun"/>
          <w:color w:val="232323"/>
          <w:sz w:val="24"/>
          <w:szCs w:val="24"/>
          <w:shd w:val="clear" w:color="auto" w:fill="FFFFFF"/>
          <w:lang w:val="en-US"/>
        </w:rPr>
        <w:t xml:space="preserve"> </w:t>
      </w:r>
      <w:r>
        <w:rPr>
          <w:rFonts w:ascii="Times New Roman" w:hAnsi="Times New Roman" w:eastAsia="SimSun"/>
          <w:color w:val="232323"/>
          <w:sz w:val="24"/>
          <w:szCs w:val="24"/>
          <w:shd w:val="clear" w:color="auto" w:fill="FFFFFF"/>
        </w:rPr>
        <w:t>EB,</w:t>
      </w:r>
      <w:r>
        <w:rPr>
          <w:rFonts w:hint="default" w:ascii="Times New Roman" w:hAnsi="Times New Roman" w:eastAsia="SimSun"/>
          <w:color w:val="232323"/>
          <w:sz w:val="24"/>
          <w:szCs w:val="24"/>
          <w:shd w:val="clear" w:color="auto" w:fill="FFFFFF"/>
          <w:lang w:val="en-US"/>
        </w:rPr>
        <w:t xml:space="preserve"> </w:t>
      </w:r>
      <w:r>
        <w:rPr>
          <w:rFonts w:ascii="Times New Roman" w:hAnsi="Times New Roman" w:eastAsia="SimSun"/>
          <w:color w:val="232323"/>
          <w:sz w:val="24"/>
          <w:szCs w:val="24"/>
          <w:shd w:val="clear" w:color="auto" w:fill="FFFFFF"/>
        </w:rPr>
        <w:t>Dissaneewate</w:t>
      </w:r>
      <w:r>
        <w:rPr>
          <w:rFonts w:hint="default" w:ascii="Times New Roman" w:hAnsi="Times New Roman" w:eastAsia="SimSun"/>
          <w:color w:val="232323"/>
          <w:sz w:val="24"/>
          <w:szCs w:val="24"/>
          <w:shd w:val="clear" w:color="auto" w:fill="FFFFFF"/>
          <w:lang w:val="en-US"/>
        </w:rPr>
        <w:t xml:space="preserve"> </w:t>
      </w:r>
      <w:r>
        <w:rPr>
          <w:rFonts w:ascii="Times New Roman" w:hAnsi="Times New Roman" w:eastAsia="SimSun"/>
          <w:color w:val="232323"/>
          <w:sz w:val="24"/>
          <w:szCs w:val="24"/>
          <w:shd w:val="clear" w:color="auto" w:fill="FFFFFF"/>
        </w:rPr>
        <w:t xml:space="preserve">P. </w:t>
      </w:r>
      <w:r>
        <w:rPr>
          <w:rFonts w:ascii="Times New Roman" w:hAnsi="Times New Roman" w:eastAsia="Helvetica"/>
          <w:color w:val="333333"/>
          <w:sz w:val="24"/>
          <w:szCs w:val="24"/>
          <w:shd w:val="clear" w:color="auto" w:fill="FFFFFF"/>
        </w:rPr>
        <w:t xml:space="preserve">Extended-spectrum beta- </w:t>
      </w:r>
    </w:p>
    <w:p>
      <w:pPr>
        <w:pStyle w:val="14"/>
        <w:spacing w:line="480" w:lineRule="auto"/>
        <w:ind w:left="360" w:firstLine="360" w:firstLineChars="150"/>
        <w:rPr>
          <w:rFonts w:ascii="Times New Roman" w:hAnsi="Times New Roman" w:eastAsia="Helvetica"/>
          <w:color w:val="333333"/>
          <w:sz w:val="24"/>
          <w:szCs w:val="24"/>
          <w:shd w:val="clear" w:color="auto" w:fill="FFFFFF"/>
        </w:rPr>
      </w:pPr>
      <w:r>
        <w:rPr>
          <w:rFonts w:ascii="Times New Roman" w:hAnsi="Times New Roman" w:eastAsia="Helvetica"/>
          <w:color w:val="333333"/>
          <w:sz w:val="24"/>
          <w:szCs w:val="24"/>
          <w:shd w:val="clear" w:color="auto" w:fill="FFFFFF"/>
        </w:rPr>
        <w:t>lactamase </w:t>
      </w:r>
      <w:r>
        <w:rPr>
          <w:rFonts w:ascii="Times New Roman" w:hAnsi="Times New Roman" w:eastAsia="Helvetica"/>
          <w:i/>
          <w:iCs/>
          <w:color w:val="333333"/>
          <w:sz w:val="24"/>
          <w:szCs w:val="24"/>
          <w:shd w:val="clear" w:color="auto" w:fill="FFFFFF"/>
        </w:rPr>
        <w:t>Escherichia coli</w:t>
      </w:r>
      <w:r>
        <w:rPr>
          <w:rFonts w:ascii="Times New Roman" w:hAnsi="Times New Roman" w:eastAsia="Helvetica"/>
          <w:color w:val="333333"/>
          <w:sz w:val="24"/>
          <w:szCs w:val="24"/>
          <w:shd w:val="clear" w:color="auto" w:fill="FFFFFF"/>
        </w:rPr>
        <w:t> and </w:t>
      </w:r>
      <w:r>
        <w:rPr>
          <w:rFonts w:ascii="Times New Roman" w:hAnsi="Times New Roman" w:eastAsia="Helvetica"/>
          <w:i/>
          <w:iCs/>
          <w:color w:val="333333"/>
          <w:sz w:val="24"/>
          <w:szCs w:val="24"/>
          <w:shd w:val="clear" w:color="auto" w:fill="FFFFFF"/>
        </w:rPr>
        <w:t>Klebsiella pneumoniae</w:t>
      </w:r>
      <w:r>
        <w:rPr>
          <w:rFonts w:ascii="Times New Roman" w:hAnsi="Times New Roman" w:eastAsia="Helvetica"/>
          <w:color w:val="333333"/>
          <w:sz w:val="24"/>
          <w:szCs w:val="24"/>
          <w:shd w:val="clear" w:color="auto" w:fill="FFFFFF"/>
        </w:rPr>
        <w:t> urinary tract</w:t>
      </w:r>
    </w:p>
    <w:p>
      <w:pPr>
        <w:pStyle w:val="14"/>
        <w:spacing w:line="480" w:lineRule="auto"/>
        <w:ind w:left="360" w:firstLine="360" w:firstLineChars="150"/>
        <w:rPr>
          <w:rFonts w:ascii="Times New Roman" w:hAnsi="Times New Roman" w:eastAsia="Helvetica"/>
          <w:color w:val="333333"/>
          <w:sz w:val="24"/>
          <w:szCs w:val="24"/>
          <w:shd w:val="clear" w:color="auto" w:fill="FFFFFF"/>
        </w:rPr>
      </w:pPr>
      <w:r>
        <w:rPr>
          <w:rFonts w:ascii="Times New Roman" w:hAnsi="Times New Roman" w:eastAsia="Helvetica"/>
          <w:color w:val="333333"/>
          <w:sz w:val="24"/>
          <w:szCs w:val="24"/>
          <w:shd w:val="clear" w:color="auto" w:fill="FFFFFF"/>
        </w:rPr>
        <w:t>infections.Epidemiology and Infection.2021;149,e12,1-7.</w:t>
      </w:r>
    </w:p>
    <w:p>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"https://doi.org/10.1017/S0950268820003015" </w:instrText>
      </w:r>
      <w:r>
        <w:fldChar w:fldCharType="separate"/>
      </w:r>
      <w:r>
        <w:rPr>
          <w:rStyle w:val="10"/>
          <w:rFonts w:ascii="Times New Roman" w:hAnsi="Times New Roman" w:cs="Times New Roman"/>
          <w:sz w:val="24"/>
          <w:szCs w:val="24"/>
        </w:rPr>
        <w:t>https://doi.org/10.1017/S0950268820003015</w:t>
      </w:r>
      <w:r>
        <w:rPr>
          <w:rStyle w:val="10"/>
          <w:rFonts w:ascii="Times New Roman" w:hAnsi="Times New Roman" w:cs="Times New Roman"/>
          <w:sz w:val="24"/>
          <w:szCs w:val="24"/>
        </w:rPr>
        <w:fldChar w:fldCharType="end"/>
      </w:r>
    </w:p>
    <w:p>
      <w:pPr>
        <w:pStyle w:val="2"/>
        <w:numPr>
          <w:ilvl w:val="0"/>
          <w:numId w:val="4"/>
        </w:numPr>
        <w:spacing w:before="150" w:after="150" w:afterAutospacing="0" w:line="480" w:lineRule="auto"/>
        <w:rPr>
          <w:rFonts w:eastAsia="sans-serif"/>
          <w:b w:val="0"/>
          <w:bCs w:val="0"/>
          <w:color w:val="000000"/>
          <w:sz w:val="24"/>
          <w:szCs w:val="24"/>
        </w:rPr>
      </w:pPr>
      <w:r>
        <w:rPr>
          <w:rFonts w:eastAsia="sans-serif"/>
          <w:b w:val="0"/>
          <w:bCs w:val="0"/>
          <w:color w:val="000000"/>
          <w:sz w:val="24"/>
          <w:szCs w:val="24"/>
        </w:rPr>
        <w:t>Chanu TR,</w:t>
      </w:r>
      <w:r>
        <w:rPr>
          <w:rFonts w:hint="default" w:eastAsia="sans-serif"/>
          <w:b w:val="0"/>
          <w:bCs w:val="0"/>
          <w:color w:val="000000"/>
          <w:sz w:val="24"/>
          <w:szCs w:val="24"/>
          <w:lang w:val="en-US"/>
        </w:rPr>
        <w:t xml:space="preserve"> </w:t>
      </w:r>
      <w:r>
        <w:rPr>
          <w:rFonts w:eastAsia="sans-serif"/>
          <w:b w:val="0"/>
          <w:bCs w:val="0"/>
          <w:color w:val="000000"/>
          <w:sz w:val="24"/>
          <w:szCs w:val="24"/>
        </w:rPr>
        <w:t>Shah PK,</w:t>
      </w:r>
      <w:r>
        <w:rPr>
          <w:rFonts w:hint="default" w:eastAsia="sans-serif"/>
          <w:b w:val="0"/>
          <w:bCs w:val="0"/>
          <w:color w:val="000000"/>
          <w:sz w:val="24"/>
          <w:szCs w:val="24"/>
          <w:lang w:val="en-US"/>
        </w:rPr>
        <w:t xml:space="preserve"> </w:t>
      </w:r>
      <w:r>
        <w:rPr>
          <w:rFonts w:eastAsia="sans-serif"/>
          <w:b w:val="0"/>
          <w:bCs w:val="0"/>
          <w:color w:val="000000"/>
          <w:sz w:val="24"/>
          <w:szCs w:val="24"/>
        </w:rPr>
        <w:t>Soni S,</w:t>
      </w:r>
      <w:r>
        <w:rPr>
          <w:rFonts w:hint="default" w:eastAsia="sans-serif"/>
          <w:b w:val="0"/>
          <w:bCs w:val="0"/>
          <w:color w:val="000000"/>
          <w:sz w:val="24"/>
          <w:szCs w:val="24"/>
          <w:lang w:val="en-US"/>
        </w:rPr>
        <w:t xml:space="preserve"> </w:t>
      </w:r>
      <w:r>
        <w:rPr>
          <w:rFonts w:eastAsia="sans-serif"/>
          <w:b w:val="0"/>
          <w:bCs w:val="0"/>
          <w:color w:val="000000"/>
          <w:sz w:val="24"/>
          <w:szCs w:val="24"/>
        </w:rPr>
        <w:t>Ghosh A. Phenotypic detection of extended spectrum, AmpC, Metallo  beta-lactamases and their coexistence in clinical isolates of commonly isolated gram negative bacteria in GKGH hospital, Bhuj.IP Int J Med Microbiol Trop Dis 2019;5(1):52-56.</w:t>
      </w:r>
    </w:p>
    <w:p>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"https://doi.org/10.18231/2581-4761.2019.0012" </w:instrText>
      </w:r>
      <w:r>
        <w:fldChar w:fldCharType="separate"/>
      </w:r>
      <w:r>
        <w:rPr>
          <w:rStyle w:val="10"/>
          <w:rFonts w:ascii="Times New Roman" w:hAnsi="Times New Roman" w:cs="Times New Roman"/>
          <w:sz w:val="24"/>
          <w:szCs w:val="24"/>
        </w:rPr>
        <w:t>https://doi.org/10.18231/2581-4761.2019.0012</w:t>
      </w:r>
      <w:r>
        <w:rPr>
          <w:rStyle w:val="10"/>
          <w:rFonts w:ascii="Times New Roman" w:hAnsi="Times New Roman" w:cs="Times New Roman"/>
          <w:sz w:val="24"/>
          <w:szCs w:val="24"/>
        </w:rPr>
        <w:fldChar w:fldCharType="end"/>
      </w:r>
    </w:p>
    <w:p>
      <w:pPr>
        <w:pStyle w:val="14"/>
        <w:numPr>
          <w:ilvl w:val="0"/>
          <w:numId w:val="4"/>
        </w:numPr>
        <w:spacing w:line="480" w:lineRule="auto"/>
        <w:rPr>
          <w:rFonts w:ascii="Times New Roman" w:hAnsi="Times New Roman"/>
          <w:sz w:val="24"/>
          <w:szCs w:val="24"/>
        </w:rPr>
      </w:pPr>
      <w:r>
        <w:rPr>
          <w:rFonts w:ascii="Times New Roman" w:hAnsi="Times New Roman" w:eastAsia="Arial"/>
          <w:color w:val="212121"/>
          <w:sz w:val="24"/>
          <w:szCs w:val="24"/>
          <w:shd w:val="clear" w:color="auto" w:fill="FFFFFF"/>
        </w:rPr>
        <w:t>Gharavi MJ, Zarei J, Roshani-Asl P, Yazdanyar Z, Sharif M, Rashidi N. Comprehensive study of  antimicrobial susceptibility pattern and extended spectrum beta-lactamase (ESBL) prevalence in bacteria isolated from urine samples. Sci Rep. 2021;11(1):578. </w:t>
      </w:r>
    </w:p>
    <w:p>
      <w:pPr>
        <w:spacing w:line="480" w:lineRule="auto"/>
        <w:rPr>
          <w:rFonts w:ascii="Times New Roman" w:hAnsi="Times New Roman" w:cs="Times New Roman"/>
          <w:sz w:val="24"/>
          <w:szCs w:val="24"/>
        </w:rPr>
      </w:pPr>
      <w:r>
        <w:rPr>
          <w:rFonts w:ascii="Times New Roman" w:hAnsi="Times New Roman" w:cs="Times New Roman"/>
          <w:sz w:val="24"/>
          <w:szCs w:val="24"/>
        </w:rPr>
        <w:tab/>
      </w:r>
      <w:r>
        <w:fldChar w:fldCharType="begin"/>
      </w:r>
      <w:r>
        <w:instrText xml:space="preserve"> HYPERLINK "https://doi.org/10.1038%2Fs41598-020-79791-0" </w:instrText>
      </w:r>
      <w:r>
        <w:fldChar w:fldCharType="separate"/>
      </w:r>
      <w:r>
        <w:rPr>
          <w:rStyle w:val="10"/>
          <w:rFonts w:ascii="Times New Roman" w:hAnsi="Times New Roman" w:cs="Times New Roman"/>
          <w:sz w:val="24"/>
          <w:szCs w:val="24"/>
        </w:rPr>
        <w:t>https://doi.org/10.1038%2Fs41598-020-79791-0</w:t>
      </w:r>
      <w:r>
        <w:rPr>
          <w:rStyle w:val="10"/>
          <w:rFonts w:ascii="Times New Roman" w:hAnsi="Times New Roman" w:cs="Times New Roman"/>
          <w:sz w:val="24"/>
          <w:szCs w:val="24"/>
        </w:rPr>
        <w:fldChar w:fldCharType="end"/>
      </w:r>
    </w:p>
    <w:p>
      <w:pPr>
        <w:pStyle w:val="14"/>
        <w:numPr>
          <w:ilvl w:val="0"/>
          <w:numId w:val="4"/>
        </w:numPr>
        <w:spacing w:line="480" w:lineRule="auto"/>
        <w:rPr>
          <w:rFonts w:ascii="Times New Roman" w:hAnsi="Times New Roman"/>
          <w:sz w:val="24"/>
          <w:szCs w:val="24"/>
        </w:rPr>
      </w:pPr>
      <w:r>
        <w:rPr>
          <w:rFonts w:ascii="Times New Roman" w:hAnsi="Times New Roman"/>
          <w:sz w:val="24"/>
          <w:szCs w:val="24"/>
        </w:rPr>
        <w:t>Kumar MS,</w:t>
      </w:r>
      <w:r>
        <w:rPr>
          <w:rFonts w:hint="default" w:ascii="Times New Roman" w:hAnsi="Times New Roman"/>
          <w:sz w:val="24"/>
          <w:szCs w:val="24"/>
          <w:lang w:val="en-US"/>
        </w:rPr>
        <w:t xml:space="preserve"> </w:t>
      </w:r>
      <w:r>
        <w:rPr>
          <w:rFonts w:ascii="Times New Roman" w:hAnsi="Times New Roman"/>
          <w:sz w:val="24"/>
          <w:szCs w:val="24"/>
        </w:rPr>
        <w:t>Arunagirinathan N,</w:t>
      </w:r>
      <w:r>
        <w:rPr>
          <w:rFonts w:hint="default" w:ascii="Times New Roman" w:hAnsi="Times New Roman"/>
          <w:sz w:val="24"/>
          <w:szCs w:val="24"/>
          <w:lang w:val="en-US"/>
        </w:rPr>
        <w:t xml:space="preserve"> </w:t>
      </w:r>
      <w:r>
        <w:rPr>
          <w:rFonts w:ascii="Times New Roman" w:hAnsi="Times New Roman"/>
          <w:sz w:val="24"/>
          <w:szCs w:val="24"/>
        </w:rPr>
        <w:t>Ravikumar M.</w:t>
      </w:r>
      <w:r>
        <w:rPr>
          <w:rFonts w:hint="default" w:ascii="Times New Roman" w:hAnsi="Times New Roman"/>
          <w:sz w:val="24"/>
          <w:szCs w:val="24"/>
          <w:lang w:val="en-US"/>
        </w:rPr>
        <w:t xml:space="preserve"> </w:t>
      </w:r>
      <w:r>
        <w:rPr>
          <w:rFonts w:ascii="Times New Roman" w:hAnsi="Times New Roman"/>
          <w:sz w:val="24"/>
          <w:szCs w:val="24"/>
        </w:rPr>
        <w:t>Antibiotic susceptibility profile of extendedspectrum β-lactamase producing</w:t>
      </w:r>
      <w:r>
        <w:rPr>
          <w:rFonts w:ascii="Times New Roman" w:hAnsi="Times New Roman"/>
          <w:i/>
          <w:iCs/>
          <w:sz w:val="24"/>
          <w:szCs w:val="24"/>
        </w:rPr>
        <w:t xml:space="preserve"> Escherichia coli,Klebsiella pneumoniae</w:t>
      </w:r>
      <w:r>
        <w:rPr>
          <w:rFonts w:ascii="Times New Roman" w:hAnsi="Times New Roman"/>
          <w:sz w:val="24"/>
          <w:szCs w:val="24"/>
        </w:rPr>
        <w:t xml:space="preserve"> and </w:t>
      </w:r>
      <w:r>
        <w:rPr>
          <w:rFonts w:ascii="Times New Roman" w:hAnsi="Times New Roman"/>
          <w:i/>
          <w:iCs/>
          <w:sz w:val="24"/>
          <w:szCs w:val="24"/>
        </w:rPr>
        <w:t>Klebsiella oxytoca</w:t>
      </w:r>
      <w:r>
        <w:rPr>
          <w:rFonts w:ascii="Times New Roman" w:hAnsi="Times New Roman"/>
          <w:sz w:val="24"/>
          <w:szCs w:val="24"/>
        </w:rPr>
        <w:t xml:space="preserve"> from Urinary tract infections.Research Journal of Pharmacy and Technology.2021;14(8):4425-4428.</w:t>
      </w:r>
    </w:p>
    <w:p>
      <w:pPr>
        <w:pStyle w:val="14"/>
        <w:spacing w:line="480" w:lineRule="auto"/>
        <w:ind w:left="360" w:firstLine="330" w:firstLineChars="150"/>
        <w:rPr>
          <w:rFonts w:ascii="Times New Roman" w:hAnsi="Times New Roman"/>
          <w:sz w:val="24"/>
          <w:szCs w:val="24"/>
        </w:rPr>
      </w:pPr>
      <w:r>
        <w:fldChar w:fldCharType="begin"/>
      </w:r>
      <w:r>
        <w:instrText xml:space="preserve"> HYPERLINK "https://doi.org/10.52711/0974-360X.2021.00768" </w:instrText>
      </w:r>
      <w:r>
        <w:fldChar w:fldCharType="separate"/>
      </w:r>
      <w:r>
        <w:rPr>
          <w:rStyle w:val="10"/>
          <w:rFonts w:ascii="Times New Roman" w:hAnsi="Times New Roman"/>
          <w:sz w:val="24"/>
          <w:szCs w:val="24"/>
        </w:rPr>
        <w:t>https://doi.org/10.52711/0974-360X.2021.00768</w:t>
      </w:r>
      <w:r>
        <w:rPr>
          <w:rStyle w:val="10"/>
          <w:rFonts w:ascii="Times New Roman" w:hAnsi="Times New Roman"/>
          <w:sz w:val="24"/>
          <w:szCs w:val="24"/>
        </w:rPr>
        <w:fldChar w:fldCharType="end"/>
      </w:r>
    </w:p>
    <w:p>
      <w:pPr>
        <w:pStyle w:val="14"/>
        <w:spacing w:line="480" w:lineRule="auto"/>
        <w:ind w:left="360" w:firstLine="360" w:firstLineChars="150"/>
        <w:rPr>
          <w:rFonts w:ascii="Times New Roman" w:hAnsi="Times New Roman"/>
          <w:sz w:val="24"/>
          <w:szCs w:val="24"/>
        </w:rPr>
      </w:pPr>
    </w:p>
    <w:p>
      <w:pP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Dalela G,</w:t>
      </w:r>
      <w:r>
        <w:rPr>
          <w:rFonts w:hint="default" w:ascii="Times New Roman" w:hAnsi="Times New Roman" w:cs="Times New Roman"/>
          <w:sz w:val="24"/>
          <w:szCs w:val="24"/>
          <w:lang w:val="en-US"/>
        </w:rPr>
        <w:t xml:space="preserve"> </w:t>
      </w:r>
      <w:r>
        <w:rPr>
          <w:rFonts w:ascii="Times New Roman" w:hAnsi="Times New Roman" w:cs="Times New Roman"/>
          <w:sz w:val="24"/>
          <w:szCs w:val="24"/>
        </w:rPr>
        <w:t>Gupta S,</w:t>
      </w:r>
      <w:r>
        <w:rPr>
          <w:rFonts w:hint="default" w:ascii="Times New Roman" w:hAnsi="Times New Roman" w:cs="Times New Roman"/>
          <w:sz w:val="24"/>
          <w:szCs w:val="24"/>
          <w:lang w:val="en-US"/>
        </w:rPr>
        <w:t xml:space="preserve"> </w:t>
      </w:r>
      <w:r>
        <w:rPr>
          <w:rFonts w:ascii="Times New Roman" w:hAnsi="Times New Roman" w:cs="Times New Roman"/>
          <w:sz w:val="24"/>
          <w:szCs w:val="24"/>
        </w:rPr>
        <w:t>Jain DK, Mehta P.</w:t>
      </w:r>
      <w:r>
        <w:rPr>
          <w:rFonts w:hint="default" w:ascii="Times New Roman" w:hAnsi="Times New Roman" w:cs="Times New Roman"/>
          <w:sz w:val="24"/>
          <w:szCs w:val="24"/>
          <w:lang w:val="en-US"/>
        </w:rPr>
        <w:t xml:space="preserve"> </w:t>
      </w:r>
      <w:r>
        <w:rPr>
          <w:rFonts w:ascii="Times New Roman" w:hAnsi="Times New Roman" w:cs="Times New Roman"/>
          <w:sz w:val="24"/>
          <w:szCs w:val="24"/>
        </w:rPr>
        <w:t>Antibiotic Resistance Pattern in Uropathogens at a Tertiary Care Hospital at Jhalawar with Special Reference to ESBL,AmpC β-</w:t>
      </w:r>
    </w:p>
    <w:p>
      <w:pPr>
        <w:spacing w:line="480" w:lineRule="auto"/>
        <w:ind w:firstLine="720" w:firstLineChars="300"/>
        <w:jc w:val="both"/>
        <w:rPr>
          <w:rFonts w:ascii="Times New Roman" w:hAnsi="Times New Roman" w:cs="Times New Roman"/>
          <w:sz w:val="24"/>
          <w:szCs w:val="24"/>
        </w:rPr>
      </w:pPr>
      <w:r>
        <w:rPr>
          <w:rFonts w:ascii="Times New Roman" w:hAnsi="Times New Roman" w:cs="Times New Roman"/>
          <w:sz w:val="24"/>
          <w:szCs w:val="24"/>
        </w:rPr>
        <w:t xml:space="preserve">Lactamase and MRSA Production. </w:t>
      </w:r>
      <w:r>
        <w:rPr>
          <w:rFonts w:ascii="Times New Roman" w:hAnsi="Times New Roman" w:cs="Times New Roman"/>
          <w:iCs/>
          <w:sz w:val="24"/>
          <w:szCs w:val="24"/>
        </w:rPr>
        <w:t>J Clin D  R.</w:t>
      </w:r>
      <w:r>
        <w:rPr>
          <w:rFonts w:ascii="Times New Roman" w:hAnsi="Times New Roman" w:cs="Times New Roman"/>
          <w:sz w:val="24"/>
          <w:szCs w:val="24"/>
        </w:rPr>
        <w:t>2012; 6(4):645-651.</w:t>
      </w:r>
    </w:p>
    <w:p>
      <w:pP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Ozcakar</w:t>
      </w:r>
      <w:r>
        <w:rPr>
          <w:rFonts w:hint="default" w:ascii="Times New Roman" w:hAnsi="Times New Roman" w:cs="Times New Roman"/>
          <w:sz w:val="24"/>
          <w:szCs w:val="24"/>
          <w:lang w:val="en-US"/>
        </w:rPr>
        <w:t xml:space="preserve"> </w:t>
      </w:r>
      <w:r>
        <w:rPr>
          <w:rFonts w:ascii="Times New Roman" w:hAnsi="Times New Roman" w:cs="Times New Roman"/>
          <w:sz w:val="24"/>
          <w:szCs w:val="24"/>
        </w:rPr>
        <w:t>ZB,Yalcinkaya F,</w:t>
      </w:r>
      <w:r>
        <w:rPr>
          <w:rFonts w:hint="default" w:ascii="Times New Roman" w:hAnsi="Times New Roman" w:cs="Times New Roman"/>
          <w:sz w:val="24"/>
          <w:szCs w:val="24"/>
          <w:lang w:val="en-US"/>
        </w:rPr>
        <w:t xml:space="preserve"> </w:t>
      </w:r>
      <w:r>
        <w:rPr>
          <w:rFonts w:ascii="Times New Roman" w:hAnsi="Times New Roman" w:cs="Times New Roman"/>
          <w:sz w:val="24"/>
          <w:szCs w:val="24"/>
        </w:rPr>
        <w:t>Kavaz A,</w:t>
      </w:r>
      <w:r>
        <w:rPr>
          <w:rFonts w:hint="default" w:ascii="Times New Roman" w:hAnsi="Times New Roman" w:cs="Times New Roman"/>
          <w:sz w:val="24"/>
          <w:szCs w:val="24"/>
          <w:lang w:val="en-US"/>
        </w:rPr>
        <w:t xml:space="preserve"> </w:t>
      </w:r>
      <w:r>
        <w:rPr>
          <w:rFonts w:ascii="Times New Roman" w:hAnsi="Times New Roman" w:cs="Times New Roman"/>
          <w:sz w:val="24"/>
          <w:szCs w:val="24"/>
        </w:rPr>
        <w:t>Kadioglu G,</w:t>
      </w:r>
      <w:r>
        <w:rPr>
          <w:rFonts w:hint="default" w:ascii="Times New Roman" w:hAnsi="Times New Roman" w:cs="Times New Roman"/>
          <w:sz w:val="24"/>
          <w:szCs w:val="24"/>
          <w:lang w:val="en-US"/>
        </w:rPr>
        <w:t xml:space="preserve"> </w:t>
      </w:r>
      <w:r>
        <w:rPr>
          <w:rFonts w:ascii="Times New Roman" w:hAnsi="Times New Roman" w:cs="Times New Roman"/>
          <w:sz w:val="24"/>
          <w:szCs w:val="24"/>
        </w:rPr>
        <w:t>Elhan AH,</w:t>
      </w:r>
      <w:r>
        <w:rPr>
          <w:rFonts w:hint="default" w:ascii="Times New Roman" w:hAnsi="Times New Roman" w:cs="Times New Roman"/>
          <w:sz w:val="24"/>
          <w:szCs w:val="24"/>
          <w:lang w:val="en-US"/>
        </w:rPr>
        <w:t xml:space="preserve"> </w:t>
      </w:r>
      <w:r>
        <w:rPr>
          <w:rFonts w:ascii="Times New Roman" w:hAnsi="Times New Roman" w:cs="Times New Roman"/>
          <w:sz w:val="24"/>
          <w:szCs w:val="24"/>
        </w:rPr>
        <w:t>Aysev D,</w:t>
      </w:r>
      <w:r>
        <w:rPr>
          <w:rFonts w:hint="default" w:ascii="Times New Roman" w:hAnsi="Times New Roman" w:cs="Times New Roman"/>
          <w:sz w:val="24"/>
          <w:szCs w:val="24"/>
          <w:lang w:val="en-US"/>
        </w:rPr>
        <w:t xml:space="preserve"> </w:t>
      </w:r>
      <w:r>
        <w:rPr>
          <w:rFonts w:ascii="Times New Roman" w:hAnsi="Times New Roman" w:cs="Times New Roman"/>
          <w:sz w:val="24"/>
          <w:szCs w:val="24"/>
        </w:rPr>
        <w:t>Guriz H,</w:t>
      </w:r>
      <w:r>
        <w:rPr>
          <w:rFonts w:hint="default" w:ascii="Times New Roman" w:hAnsi="Times New Roman" w:cs="Times New Roman"/>
          <w:sz w:val="24"/>
          <w:szCs w:val="24"/>
          <w:lang w:val="en-US"/>
        </w:rPr>
        <w:t xml:space="preserve"> </w:t>
      </w:r>
      <w:r>
        <w:rPr>
          <w:rFonts w:ascii="Times New Roman" w:hAnsi="Times New Roman" w:cs="Times New Roman"/>
          <w:sz w:val="24"/>
          <w:szCs w:val="24"/>
        </w:rPr>
        <w:t>Ekim M.Urinary tract infections owing to ESBL-producing bacteria:microorganisms change-</w:t>
      </w:r>
    </w:p>
    <w:p>
      <w:pPr>
        <w:spacing w:line="480" w:lineRule="auto"/>
        <w:ind w:firstLine="720" w:firstLineChars="300"/>
        <w:jc w:val="both"/>
        <w:rPr>
          <w:rFonts w:ascii="Times New Roman" w:hAnsi="Times New Roman" w:cs="Times New Roman"/>
          <w:sz w:val="24"/>
          <w:szCs w:val="24"/>
        </w:rPr>
      </w:pPr>
      <w:r>
        <w:rPr>
          <w:rFonts w:ascii="Times New Roman" w:hAnsi="Times New Roman" w:cs="Times New Roman"/>
          <w:sz w:val="24"/>
          <w:szCs w:val="24"/>
        </w:rPr>
        <w:t>clinical pattern does not.</w:t>
      </w:r>
      <w:r>
        <w:rPr>
          <w:rFonts w:ascii="Times New Roman" w:hAnsi="Times New Roman" w:cs="Times New Roman"/>
          <w:iCs/>
          <w:sz w:val="24"/>
          <w:szCs w:val="24"/>
        </w:rPr>
        <w:t>Acta  Paediatr.</w:t>
      </w:r>
      <w:r>
        <w:rPr>
          <w:rFonts w:ascii="Times New Roman" w:hAnsi="Times New Roman" w:cs="Times New Roman"/>
          <w:sz w:val="24"/>
          <w:szCs w:val="24"/>
        </w:rPr>
        <w:t>2011;100(8):61-4.</w:t>
      </w:r>
    </w:p>
    <w:p>
      <w:pPr>
        <w:spacing w:line="480" w:lineRule="auto"/>
        <w:ind w:firstLine="770" w:firstLineChars="350"/>
        <w:jc w:val="both"/>
        <w:rPr>
          <w:rFonts w:ascii="Times New Roman" w:hAnsi="Times New Roman"/>
          <w:sz w:val="24"/>
          <w:szCs w:val="24"/>
        </w:rPr>
      </w:pPr>
      <w:r>
        <w:fldChar w:fldCharType="begin"/>
      </w:r>
      <w:r>
        <w:instrText xml:space="preserve"> HYPERLINK "https://doi.org/10.1111/j.1651-2227.2011.02262.x" </w:instrText>
      </w:r>
      <w:r>
        <w:fldChar w:fldCharType="separate"/>
      </w:r>
      <w:r>
        <w:rPr>
          <w:rStyle w:val="10"/>
          <w:rFonts w:ascii="Times New Roman" w:hAnsi="Times New Roman"/>
          <w:sz w:val="24"/>
          <w:szCs w:val="24"/>
        </w:rPr>
        <w:t>https://doi.org/10.1111/j.1651-2227.2011.02262.x</w:t>
      </w:r>
      <w:r>
        <w:rPr>
          <w:rStyle w:val="10"/>
          <w:rFonts w:ascii="Times New Roman" w:hAnsi="Times New Roman"/>
          <w:sz w:val="24"/>
          <w:szCs w:val="24"/>
        </w:rPr>
        <w:fldChar w:fldCharType="end"/>
      </w:r>
    </w:p>
    <w:p>
      <w:pPr>
        <w:pStyle w:val="14"/>
        <w:numPr>
          <w:ilvl w:val="0"/>
          <w:numId w:val="4"/>
        </w:numPr>
        <w:spacing w:line="480" w:lineRule="auto"/>
        <w:jc w:val="both"/>
        <w:rPr>
          <w:rFonts w:ascii="Times New Roman" w:hAnsi="Times New Roman"/>
          <w:sz w:val="24"/>
          <w:szCs w:val="24"/>
        </w:rPr>
      </w:pPr>
      <w:r>
        <w:rPr>
          <w:rFonts w:ascii="Times New Roman" w:hAnsi="Times New Roman"/>
          <w:sz w:val="24"/>
          <w:szCs w:val="24"/>
        </w:rPr>
        <w:t>Nass T,</w:t>
      </w:r>
      <w:r>
        <w:rPr>
          <w:rFonts w:hint="default" w:ascii="Times New Roman" w:hAnsi="Times New Roman"/>
          <w:sz w:val="24"/>
          <w:szCs w:val="24"/>
          <w:lang w:val="en-US"/>
        </w:rPr>
        <w:t xml:space="preserve"> </w:t>
      </w:r>
      <w:r>
        <w:rPr>
          <w:rFonts w:ascii="Times New Roman" w:hAnsi="Times New Roman"/>
          <w:sz w:val="24"/>
          <w:szCs w:val="24"/>
        </w:rPr>
        <w:t>Poirel L, Nordmann P.</w:t>
      </w:r>
      <w:r>
        <w:rPr>
          <w:rFonts w:hint="default" w:ascii="Times New Roman" w:hAnsi="Times New Roman"/>
          <w:sz w:val="24"/>
          <w:szCs w:val="24"/>
          <w:lang w:val="en-US"/>
        </w:rPr>
        <w:t xml:space="preserve"> </w:t>
      </w:r>
      <w:r>
        <w:rPr>
          <w:rFonts w:ascii="Times New Roman" w:hAnsi="Times New Roman"/>
          <w:sz w:val="24"/>
          <w:szCs w:val="24"/>
        </w:rPr>
        <w:t>Minor extended spectrum β-lactamases.</w:t>
      </w:r>
      <w:r>
        <w:rPr>
          <w:rFonts w:ascii="Times New Roman" w:hAnsi="Times New Roman"/>
          <w:iCs/>
          <w:sz w:val="24"/>
          <w:szCs w:val="24"/>
        </w:rPr>
        <w:t>Clin MicrobiolInfect.</w:t>
      </w:r>
      <w:r>
        <w:rPr>
          <w:rFonts w:ascii="Times New Roman" w:hAnsi="Times New Roman"/>
          <w:sz w:val="24"/>
          <w:szCs w:val="24"/>
        </w:rPr>
        <w:t>2008;14 (Suppl.1):42-52.</w:t>
      </w:r>
    </w:p>
    <w:p>
      <w:pPr>
        <w:spacing w:line="480" w:lineRule="auto"/>
        <w:ind w:firstLine="720"/>
        <w:jc w:val="both"/>
        <w:rPr>
          <w:rFonts w:ascii="Times New Roman" w:hAnsi="Times New Roman" w:cs="Times New Roman"/>
          <w:sz w:val="24"/>
          <w:szCs w:val="24"/>
        </w:rPr>
      </w:pPr>
      <w:r>
        <w:fldChar w:fldCharType="begin"/>
      </w:r>
      <w:r>
        <w:instrText xml:space="preserve"> HYPERLINK "https://doi.org/10.1111/j.1469-0691.2007.01861.x" </w:instrText>
      </w:r>
      <w:r>
        <w:fldChar w:fldCharType="separate"/>
      </w:r>
      <w:r>
        <w:rPr>
          <w:rStyle w:val="10"/>
          <w:rFonts w:ascii="Times New Roman" w:hAnsi="Times New Roman"/>
          <w:sz w:val="24"/>
          <w:szCs w:val="24"/>
        </w:rPr>
        <w:t>https://doi.org/10.1111/j.1469-0691.2007.01861.x</w:t>
      </w:r>
      <w:r>
        <w:rPr>
          <w:rStyle w:val="10"/>
          <w:rFonts w:ascii="Times New Roman" w:hAnsi="Times New Roman"/>
          <w:sz w:val="24"/>
          <w:szCs w:val="24"/>
        </w:rPr>
        <w:fldChar w:fldCharType="end"/>
      </w:r>
    </w:p>
    <w:p>
      <w:pPr>
        <w:spacing w:line="480" w:lineRule="auto"/>
        <w:ind w:left="719" w:leftChars="163" w:hanging="360" w:hangingChars="150"/>
        <w:jc w:val="both"/>
        <w:rPr>
          <w:rFonts w:ascii="Times New Roman" w:hAnsi="Times New Roman" w:cs="Times New Roman"/>
          <w:sz w:val="24"/>
          <w:szCs w:val="24"/>
        </w:rPr>
      </w:pPr>
      <w:r>
        <w:rPr>
          <w:rFonts w:ascii="Times New Roman" w:hAnsi="Times New Roman" w:cs="Times New Roman"/>
          <w:sz w:val="24"/>
          <w:szCs w:val="24"/>
        </w:rPr>
        <w:t>30 Marthie ME,</w:t>
      </w:r>
      <w:r>
        <w:rPr>
          <w:rFonts w:hint="default" w:ascii="Times New Roman" w:hAnsi="Times New Roman" w:cs="Times New Roman"/>
          <w:sz w:val="24"/>
          <w:szCs w:val="24"/>
          <w:lang w:val="en-US"/>
        </w:rPr>
        <w:t xml:space="preserve"> </w:t>
      </w:r>
      <w:r>
        <w:rPr>
          <w:rFonts w:ascii="Times New Roman" w:hAnsi="Times New Roman" w:cs="Times New Roman"/>
          <w:sz w:val="24"/>
          <w:szCs w:val="24"/>
        </w:rPr>
        <w:t>Chrisna V,</w:t>
      </w:r>
      <w:r>
        <w:rPr>
          <w:rFonts w:hint="default" w:ascii="Times New Roman" w:hAnsi="Times New Roman" w:cs="Times New Roman"/>
          <w:sz w:val="24"/>
          <w:szCs w:val="24"/>
          <w:lang w:val="en-US"/>
        </w:rPr>
        <w:t xml:space="preserve"> </w:t>
      </w:r>
      <w:r>
        <w:rPr>
          <w:rFonts w:ascii="Times New Roman" w:hAnsi="Times New Roman" w:cs="Times New Roman"/>
          <w:sz w:val="24"/>
          <w:szCs w:val="24"/>
        </w:rPr>
        <w:t>Eddy PM,</w:t>
      </w:r>
      <w:r>
        <w:rPr>
          <w:rFonts w:hint="default" w:ascii="Times New Roman" w:hAnsi="Times New Roman" w:cs="Times New Roman"/>
          <w:sz w:val="24"/>
          <w:szCs w:val="24"/>
          <w:lang w:val="en-US"/>
        </w:rPr>
        <w:t xml:space="preserve"> </w:t>
      </w:r>
      <w:r>
        <w:rPr>
          <w:rFonts w:ascii="Times New Roman" w:hAnsi="Times New Roman" w:cs="Times New Roman"/>
          <w:sz w:val="24"/>
          <w:szCs w:val="24"/>
        </w:rPr>
        <w:t>Michael GD,</w:t>
      </w:r>
      <w:r>
        <w:rPr>
          <w:rFonts w:hint="default" w:ascii="Times New Roman" w:hAnsi="Times New Roman" w:cs="Times New Roman"/>
          <w:sz w:val="24"/>
          <w:szCs w:val="24"/>
          <w:lang w:val="en-US"/>
        </w:rPr>
        <w:t xml:space="preserve"> </w:t>
      </w:r>
      <w:r>
        <w:rPr>
          <w:rFonts w:ascii="Times New Roman" w:hAnsi="Times New Roman" w:cs="Times New Roman"/>
          <w:sz w:val="24"/>
          <w:szCs w:val="24"/>
        </w:rPr>
        <w:t>Anwar AH,</w:t>
      </w:r>
      <w:r>
        <w:rPr>
          <w:rFonts w:hint="default" w:ascii="Times New Roman" w:hAnsi="Times New Roman" w:cs="Times New Roman"/>
          <w:sz w:val="24"/>
          <w:szCs w:val="24"/>
          <w:lang w:val="en-US"/>
        </w:rPr>
        <w:t xml:space="preserve"> </w:t>
      </w:r>
      <w:r>
        <w:rPr>
          <w:rFonts w:ascii="Times New Roman" w:hAnsi="Times New Roman" w:cs="Times New Roman"/>
          <w:sz w:val="24"/>
          <w:szCs w:val="24"/>
        </w:rPr>
        <w:t>Marleen MK.</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Detection of </w:t>
      </w:r>
      <w:r>
        <w:rPr>
          <w:rFonts w:ascii="Times New Roman" w:hAnsi="Times New Roman" w:cs="Times New Roman"/>
          <w:i/>
          <w:iCs/>
          <w:sz w:val="24"/>
          <w:szCs w:val="24"/>
        </w:rPr>
        <w:t>bla</w:t>
      </w:r>
      <w:r>
        <w:rPr>
          <w:rFonts w:ascii="Times New Roman" w:hAnsi="Times New Roman" w:cs="Times New Roman"/>
          <w:sz w:val="24"/>
          <w:szCs w:val="24"/>
          <w:vertAlign w:val="subscript"/>
        </w:rPr>
        <w:t>SHV</w:t>
      </w:r>
      <w:r>
        <w:rPr>
          <w:rFonts w:ascii="Times New Roman" w:hAnsi="Times New Roman" w:cs="Times New Roman"/>
          <w:sz w:val="24"/>
          <w:szCs w:val="24"/>
        </w:rPr>
        <w:t>,</w:t>
      </w:r>
      <w:r>
        <w:rPr>
          <w:rFonts w:ascii="Times New Roman" w:hAnsi="Times New Roman" w:cs="Times New Roman"/>
          <w:i/>
          <w:iCs/>
          <w:sz w:val="24"/>
          <w:szCs w:val="24"/>
        </w:rPr>
        <w:t>bla</w:t>
      </w:r>
      <w:r>
        <w:rPr>
          <w:rFonts w:ascii="Times New Roman" w:hAnsi="Times New Roman" w:cs="Times New Roman"/>
          <w:sz w:val="24"/>
          <w:szCs w:val="24"/>
          <w:vertAlign w:val="subscript"/>
        </w:rPr>
        <w:t>TEM</w:t>
      </w:r>
      <w:r>
        <w:rPr>
          <w:rFonts w:ascii="Times New Roman" w:hAnsi="Times New Roman" w:cs="Times New Roman"/>
          <w:sz w:val="24"/>
          <w:szCs w:val="24"/>
        </w:rPr>
        <w:t xml:space="preserve"> and </w:t>
      </w:r>
      <w:r>
        <w:rPr>
          <w:rFonts w:ascii="Times New Roman" w:hAnsi="Times New Roman" w:cs="Times New Roman"/>
          <w:i/>
          <w:iCs/>
          <w:sz w:val="24"/>
          <w:szCs w:val="24"/>
        </w:rPr>
        <w:t>bla</w:t>
      </w:r>
      <w:r>
        <w:rPr>
          <w:rFonts w:ascii="Times New Roman" w:hAnsi="Times New Roman" w:cs="Times New Roman"/>
          <w:sz w:val="24"/>
          <w:szCs w:val="24"/>
          <w:vertAlign w:val="subscript"/>
        </w:rPr>
        <w:t>CTX-M</w:t>
      </w:r>
      <w:r>
        <w:rPr>
          <w:rFonts w:ascii="Times New Roman" w:hAnsi="Times New Roman" w:cs="Times New Roman"/>
          <w:sz w:val="24"/>
          <w:szCs w:val="24"/>
        </w:rPr>
        <w:t xml:space="preserve"> antibiotic resistance genes in randomly selected </w:t>
      </w:r>
    </w:p>
    <w:p>
      <w:pPr>
        <w:spacing w:line="480" w:lineRule="auto"/>
        <w:ind w:firstLine="720"/>
        <w:jc w:val="both"/>
        <w:rPr>
          <w:rFonts w:ascii="Times New Roman" w:hAnsi="Times New Roman" w:cs="Times New Roman"/>
          <w:iCs/>
          <w:sz w:val="24"/>
          <w:szCs w:val="24"/>
        </w:rPr>
      </w:pPr>
      <w:r>
        <w:rPr>
          <w:rFonts w:ascii="Times New Roman" w:hAnsi="Times New Roman" w:cs="Times New Roman"/>
          <w:sz w:val="24"/>
          <w:szCs w:val="24"/>
        </w:rPr>
        <w:t>bacterial pathogens from the Steve Biko Academic Hospital.</w:t>
      </w:r>
      <w:r>
        <w:rPr>
          <w:rFonts w:ascii="Times New Roman" w:hAnsi="Times New Roman" w:cs="Times New Roman"/>
          <w:iCs/>
          <w:sz w:val="24"/>
          <w:szCs w:val="24"/>
        </w:rPr>
        <w:t xml:space="preserve">Immunol Med </w:t>
      </w:r>
    </w:p>
    <w:p>
      <w:pPr>
        <w:spacing w:line="480" w:lineRule="auto"/>
        <w:ind w:firstLine="720"/>
        <w:jc w:val="both"/>
        <w:rPr>
          <w:rFonts w:ascii="Times New Roman" w:hAnsi="Times New Roman" w:cs="Times New Roman"/>
          <w:sz w:val="24"/>
          <w:szCs w:val="24"/>
        </w:rPr>
      </w:pPr>
      <w:r>
        <w:rPr>
          <w:rFonts w:ascii="Times New Roman" w:hAnsi="Times New Roman" w:cs="Times New Roman"/>
          <w:iCs/>
          <w:sz w:val="24"/>
          <w:szCs w:val="24"/>
        </w:rPr>
        <w:t>Microbiol</w:t>
      </w:r>
      <w:r>
        <w:rPr>
          <w:rFonts w:ascii="Times New Roman" w:hAnsi="Times New Roman" w:cs="Times New Roman"/>
          <w:sz w:val="24"/>
          <w:szCs w:val="24"/>
        </w:rPr>
        <w:t>.2009;56:191-196.</w:t>
      </w:r>
    </w:p>
    <w:p>
      <w:pPr>
        <w:spacing w:line="480" w:lineRule="auto"/>
        <w:ind w:firstLine="770" w:firstLineChars="350"/>
        <w:jc w:val="both"/>
        <w:rPr>
          <w:rFonts w:ascii="Times New Roman" w:hAnsi="Times New Roman" w:cs="Times New Roman"/>
          <w:sz w:val="24"/>
          <w:szCs w:val="24"/>
        </w:rPr>
      </w:pPr>
      <w:r>
        <w:fldChar w:fldCharType="begin"/>
      </w:r>
      <w:r>
        <w:instrText xml:space="preserve"> HYPERLINK "https://doi.org/10.1111/j.1574-695x.2009.00564.x" </w:instrText>
      </w:r>
      <w:r>
        <w:fldChar w:fldCharType="separate"/>
      </w:r>
      <w:r>
        <w:rPr>
          <w:rStyle w:val="10"/>
          <w:rFonts w:ascii="Times New Roman" w:hAnsi="Times New Roman"/>
          <w:sz w:val="24"/>
          <w:szCs w:val="24"/>
        </w:rPr>
        <w:t>https://doi.org/10.1111/j.1574-695x.2009.00564.x</w:t>
      </w:r>
      <w:r>
        <w:rPr>
          <w:rStyle w:val="10"/>
          <w:rFonts w:ascii="Times New Roman" w:hAnsi="Times New Roman"/>
          <w:sz w:val="24"/>
          <w:szCs w:val="24"/>
        </w:rPr>
        <w:fldChar w:fldCharType="end"/>
      </w:r>
    </w:p>
    <w:p>
      <w:pPr>
        <w:spacing w:line="480" w:lineRule="auto"/>
        <w:ind w:left="360"/>
        <w:jc w:val="both"/>
        <w:rPr>
          <w:rFonts w:ascii="Times New Roman" w:hAnsi="Times New Roman" w:cs="Times New Roman"/>
          <w:iCs/>
          <w:sz w:val="24"/>
          <w:szCs w:val="24"/>
        </w:rPr>
      </w:pPr>
      <w:r>
        <w:rPr>
          <w:rFonts w:ascii="Times New Roman" w:hAnsi="Times New Roman" w:cs="Times New Roman"/>
          <w:sz w:val="24"/>
          <w:szCs w:val="24"/>
        </w:rPr>
        <w:t>31 Majid K,</w:t>
      </w:r>
      <w:r>
        <w:rPr>
          <w:rFonts w:hint="default" w:ascii="Times New Roman" w:hAnsi="Times New Roman" w:cs="Times New Roman"/>
          <w:sz w:val="24"/>
          <w:szCs w:val="24"/>
          <w:lang w:val="en-US"/>
        </w:rPr>
        <w:t xml:space="preserve"> </w:t>
      </w:r>
      <w:r>
        <w:rPr>
          <w:rFonts w:ascii="Times New Roman" w:hAnsi="Times New Roman" w:cs="Times New Roman"/>
          <w:sz w:val="24"/>
          <w:szCs w:val="24"/>
        </w:rPr>
        <w:t>Majid B,</w:t>
      </w:r>
      <w:r>
        <w:rPr>
          <w:rFonts w:hint="default" w:ascii="Times New Roman" w:hAnsi="Times New Roman" w:cs="Times New Roman"/>
          <w:sz w:val="24"/>
          <w:szCs w:val="24"/>
          <w:lang w:val="en-US"/>
        </w:rPr>
        <w:t xml:space="preserve"> </w:t>
      </w:r>
      <w:r>
        <w:rPr>
          <w:rFonts w:ascii="Times New Roman" w:hAnsi="Times New Roman" w:cs="Times New Roman"/>
          <w:sz w:val="24"/>
          <w:szCs w:val="24"/>
        </w:rPr>
        <w:t>Fateh R.</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Detection of TEM,SHV and CTX-M Antibiotic Resistance   </w:t>
      </w:r>
      <w:r>
        <w:rPr>
          <w:rFonts w:ascii="Times New Roman" w:hAnsi="Times New Roman" w:cs="Times New Roman"/>
          <w:sz w:val="24"/>
          <w:szCs w:val="24"/>
        </w:rPr>
        <w:tab/>
      </w:r>
      <w:r>
        <w:rPr>
          <w:rFonts w:ascii="Times New Roman" w:hAnsi="Times New Roman" w:cs="Times New Roman"/>
          <w:sz w:val="24"/>
          <w:szCs w:val="24"/>
        </w:rPr>
        <w:t xml:space="preserve">Genes in </w:t>
      </w:r>
      <w:r>
        <w:rPr>
          <w:rFonts w:ascii="Times New Roman" w:hAnsi="Times New Roman" w:cs="Times New Roman"/>
          <w:i/>
          <w:sz w:val="24"/>
          <w:szCs w:val="24"/>
        </w:rPr>
        <w:t>Escherichia coli</w:t>
      </w:r>
      <w:r>
        <w:rPr>
          <w:rFonts w:ascii="Times New Roman" w:hAnsi="Times New Roman" w:cs="Times New Roman"/>
          <w:sz w:val="24"/>
          <w:szCs w:val="24"/>
        </w:rPr>
        <w:t xml:space="preserve"> Isolates from Infected wounds.</w:t>
      </w:r>
      <w:r>
        <w:rPr>
          <w:rFonts w:ascii="Times New Roman" w:hAnsi="Times New Roman" w:cs="Times New Roman"/>
          <w:iCs/>
          <w:sz w:val="24"/>
          <w:szCs w:val="24"/>
        </w:rPr>
        <w:t xml:space="preserve">Medical Laboratory </w:t>
      </w:r>
    </w:p>
    <w:p>
      <w:pPr>
        <w:spacing w:line="480" w:lineRule="auto"/>
        <w:ind w:firstLine="720" w:firstLineChars="300"/>
        <w:jc w:val="both"/>
        <w:rPr>
          <w:rFonts w:ascii="Times New Roman" w:hAnsi="Times New Roman" w:cs="Times New Roman"/>
          <w:sz w:val="24"/>
          <w:szCs w:val="24"/>
        </w:rPr>
      </w:pPr>
      <w:r>
        <w:rPr>
          <w:rFonts w:ascii="Times New Roman" w:hAnsi="Times New Roman" w:cs="Times New Roman"/>
          <w:iCs/>
          <w:sz w:val="24"/>
          <w:szCs w:val="24"/>
        </w:rPr>
        <w:t xml:space="preserve">Journal. </w:t>
      </w:r>
      <w:r>
        <w:rPr>
          <w:rFonts w:ascii="Times New Roman" w:hAnsi="Times New Roman" w:cs="Times New Roman"/>
          <w:sz w:val="24"/>
          <w:szCs w:val="24"/>
        </w:rPr>
        <w:t>2017;11(2):30-35.</w:t>
      </w:r>
    </w:p>
    <w:p>
      <w:pPr>
        <w:spacing w:line="480" w:lineRule="auto"/>
        <w:ind w:left="600"/>
        <w:jc w:val="both"/>
        <w:rPr>
          <w:rFonts w:ascii="Times New Roman" w:hAnsi="Times New Roman"/>
          <w:sz w:val="24"/>
          <w:szCs w:val="24"/>
        </w:rPr>
      </w:pPr>
      <w:r>
        <w:fldChar w:fldCharType="begin"/>
      </w:r>
      <w:r>
        <w:instrText xml:space="preserve"> HYPERLINK "https://doi.org/10.18869/acadpub.mlj.11.2.30" </w:instrText>
      </w:r>
      <w:r>
        <w:fldChar w:fldCharType="separate"/>
      </w:r>
      <w:r>
        <w:rPr>
          <w:rStyle w:val="10"/>
          <w:rFonts w:ascii="Times New Roman" w:hAnsi="Times New Roman"/>
          <w:sz w:val="24"/>
          <w:szCs w:val="24"/>
        </w:rPr>
        <w:t>https://doi.org/10.18869/acadpub.mlj.11.2.30</w:t>
      </w:r>
      <w:r>
        <w:rPr>
          <w:rStyle w:val="10"/>
          <w:rFonts w:ascii="Times New Roman" w:hAnsi="Times New Roman"/>
          <w:sz w:val="24"/>
          <w:szCs w:val="24"/>
        </w:rPr>
        <w:fldChar w:fldCharType="end"/>
      </w:r>
    </w:p>
    <w:p>
      <w:pPr>
        <w:spacing w:line="480" w:lineRule="auto"/>
        <w:ind w:firstLine="360" w:firstLineChars="150"/>
        <w:jc w:val="both"/>
        <w:rPr>
          <w:rFonts w:ascii="Times New Roman" w:hAnsi="Times New Roman" w:eastAsia="Arial" w:cs="Times New Roman"/>
          <w:color w:val="212121"/>
          <w:sz w:val="24"/>
          <w:szCs w:val="24"/>
          <w:shd w:val="clear" w:color="auto" w:fill="FFFFFF"/>
        </w:rPr>
      </w:pPr>
      <w:r>
        <w:rPr>
          <w:rFonts w:ascii="Times New Roman" w:hAnsi="Times New Roman" w:eastAsia="Calibri" w:cs="Times New Roman"/>
          <w:sz w:val="24"/>
          <w:szCs w:val="24"/>
          <w:lang w:eastAsia="zh-CN"/>
        </w:rPr>
        <w:t xml:space="preserve">32 </w:t>
      </w:r>
      <w:r>
        <w:rPr>
          <w:rFonts w:ascii="Times New Roman" w:hAnsi="Times New Roman" w:eastAsia="Arial" w:cs="Times New Roman"/>
          <w:color w:val="212121"/>
          <w:sz w:val="24"/>
          <w:szCs w:val="24"/>
          <w:shd w:val="clear" w:color="auto" w:fill="FFFFFF"/>
        </w:rPr>
        <w:t>Dirar MH, Bilal NE, Ibrahim ME, Hamid ME. Prevalence of extended-spectrum β-</w:t>
      </w:r>
    </w:p>
    <w:p>
      <w:pPr>
        <w:spacing w:line="480" w:lineRule="auto"/>
        <w:ind w:firstLine="600" w:firstLineChars="250"/>
        <w:jc w:val="both"/>
        <w:rPr>
          <w:rFonts w:ascii="Times New Roman" w:hAnsi="Times New Roman" w:eastAsia="Arial" w:cs="Times New Roman"/>
          <w:color w:val="212121"/>
          <w:sz w:val="24"/>
          <w:szCs w:val="24"/>
          <w:shd w:val="clear" w:color="auto" w:fill="FFFFFF"/>
        </w:rPr>
      </w:pPr>
      <w:r>
        <w:rPr>
          <w:rFonts w:ascii="Times New Roman" w:hAnsi="Times New Roman" w:eastAsia="Arial" w:cs="Times New Roman"/>
          <w:color w:val="212121"/>
          <w:sz w:val="24"/>
          <w:szCs w:val="24"/>
          <w:shd w:val="clear" w:color="auto" w:fill="FFFFFF"/>
        </w:rPr>
        <w:t>lactamase (ESBL) and molecular detection of </w:t>
      </w:r>
      <w:r>
        <w:rPr>
          <w:rFonts w:ascii="Times New Roman" w:hAnsi="Times New Roman" w:eastAsia="Arial" w:cs="Times New Roman"/>
          <w:i/>
          <w:iCs/>
          <w:color w:val="212121"/>
          <w:sz w:val="24"/>
          <w:szCs w:val="24"/>
          <w:shd w:val="clear" w:color="auto" w:fill="FFFFFF"/>
        </w:rPr>
        <w:t>bla</w:t>
      </w:r>
      <w:r>
        <w:rPr>
          <w:rFonts w:ascii="Times New Roman" w:hAnsi="Times New Roman" w:eastAsia="Arial" w:cs="Times New Roman"/>
          <w:color w:val="212121"/>
          <w:sz w:val="24"/>
          <w:szCs w:val="24"/>
          <w:shd w:val="clear" w:color="auto" w:fill="FFFFFF"/>
          <w:vertAlign w:val="subscript"/>
        </w:rPr>
        <w:t>TEM</w:t>
      </w:r>
      <w:r>
        <w:rPr>
          <w:rFonts w:ascii="Times New Roman" w:hAnsi="Times New Roman" w:eastAsia="Arial" w:cs="Times New Roman"/>
          <w:color w:val="212121"/>
          <w:sz w:val="24"/>
          <w:szCs w:val="24"/>
          <w:shd w:val="clear" w:color="auto" w:fill="FFFFFF"/>
        </w:rPr>
        <w:t>, </w:t>
      </w:r>
      <w:r>
        <w:rPr>
          <w:rFonts w:ascii="Times New Roman" w:hAnsi="Times New Roman" w:eastAsia="Arial" w:cs="Times New Roman"/>
          <w:i/>
          <w:iCs/>
          <w:color w:val="212121"/>
          <w:sz w:val="24"/>
          <w:szCs w:val="24"/>
          <w:shd w:val="clear" w:color="auto" w:fill="FFFFFF"/>
        </w:rPr>
        <w:t>bla</w:t>
      </w:r>
      <w:r>
        <w:rPr>
          <w:rFonts w:ascii="Times New Roman" w:hAnsi="Times New Roman" w:eastAsia="Arial" w:cs="Times New Roman"/>
          <w:color w:val="212121"/>
          <w:sz w:val="24"/>
          <w:szCs w:val="24"/>
          <w:shd w:val="clear" w:color="auto" w:fill="FFFFFF"/>
          <w:vertAlign w:val="subscript"/>
        </w:rPr>
        <w:t xml:space="preserve">SHV </w:t>
      </w:r>
      <w:r>
        <w:rPr>
          <w:rFonts w:ascii="Times New Roman" w:hAnsi="Times New Roman" w:eastAsia="Arial" w:cs="Times New Roman"/>
          <w:color w:val="212121"/>
          <w:sz w:val="24"/>
          <w:szCs w:val="24"/>
          <w:shd w:val="clear" w:color="auto" w:fill="FFFFFF"/>
        </w:rPr>
        <w:t>and </w:t>
      </w:r>
      <w:r>
        <w:rPr>
          <w:rFonts w:ascii="Times New Roman" w:hAnsi="Times New Roman" w:eastAsia="Arial" w:cs="Times New Roman"/>
          <w:i/>
          <w:iCs/>
          <w:color w:val="212121"/>
          <w:sz w:val="24"/>
          <w:szCs w:val="24"/>
          <w:shd w:val="clear" w:color="auto" w:fill="FFFFFF"/>
        </w:rPr>
        <w:t>bla</w:t>
      </w:r>
      <w:r>
        <w:rPr>
          <w:rFonts w:ascii="Times New Roman" w:hAnsi="Times New Roman" w:eastAsia="Arial" w:cs="Times New Roman"/>
          <w:color w:val="212121"/>
          <w:sz w:val="24"/>
          <w:szCs w:val="24"/>
          <w:shd w:val="clear" w:color="auto" w:fill="FFFFFF"/>
          <w:vertAlign w:val="subscript"/>
        </w:rPr>
        <w:t>CTX-M</w:t>
      </w:r>
      <w:r>
        <w:rPr>
          <w:rFonts w:ascii="Times New Roman" w:hAnsi="Times New Roman" w:eastAsia="Arial" w:cs="Times New Roman"/>
          <w:color w:val="212121"/>
          <w:sz w:val="24"/>
          <w:szCs w:val="24"/>
          <w:shd w:val="clear" w:color="auto" w:fill="FFFFFF"/>
        </w:rPr>
        <w:t xml:space="preserve"> genotypes </w:t>
      </w:r>
    </w:p>
    <w:p>
      <w:pPr>
        <w:spacing w:line="480" w:lineRule="auto"/>
        <w:ind w:firstLine="600" w:firstLineChars="250"/>
        <w:jc w:val="both"/>
        <w:rPr>
          <w:rFonts w:ascii="Times New Roman" w:hAnsi="Times New Roman" w:eastAsia="Arial" w:cs="Times New Roman"/>
          <w:color w:val="212121"/>
          <w:sz w:val="24"/>
          <w:szCs w:val="24"/>
          <w:shd w:val="clear" w:color="auto" w:fill="FFFFFF"/>
        </w:rPr>
      </w:pPr>
      <w:r>
        <w:rPr>
          <w:rFonts w:ascii="Times New Roman" w:hAnsi="Times New Roman" w:eastAsia="Arial" w:cs="Times New Roman"/>
          <w:color w:val="212121"/>
          <w:sz w:val="24"/>
          <w:szCs w:val="24"/>
          <w:shd w:val="clear" w:color="auto" w:fill="FFFFFF"/>
        </w:rPr>
        <w:t>among </w:t>
      </w:r>
      <w:r>
        <w:rPr>
          <w:rFonts w:ascii="Times New Roman" w:hAnsi="Times New Roman" w:eastAsia="Arial" w:cs="Times New Roman"/>
          <w:i/>
          <w:iCs/>
          <w:color w:val="212121"/>
          <w:sz w:val="24"/>
          <w:szCs w:val="24"/>
          <w:shd w:val="clear" w:color="auto" w:fill="FFFFFF"/>
        </w:rPr>
        <w:t>Enterobacteriaceae</w:t>
      </w:r>
      <w:r>
        <w:rPr>
          <w:rFonts w:ascii="Times New Roman" w:hAnsi="Times New Roman" w:eastAsia="Arial" w:cs="Times New Roman"/>
          <w:color w:val="212121"/>
          <w:sz w:val="24"/>
          <w:szCs w:val="24"/>
          <w:shd w:val="clear" w:color="auto" w:fill="FFFFFF"/>
        </w:rPr>
        <w:t xml:space="preserve"> isolates from patients in Khartoum, Sudan.Pan Afr Med J. </w:t>
      </w:r>
    </w:p>
    <w:p>
      <w:pPr>
        <w:spacing w:line="480" w:lineRule="auto"/>
        <w:ind w:firstLine="600" w:firstLineChars="250"/>
        <w:jc w:val="both"/>
        <w:rPr>
          <w:rFonts w:ascii="Times New Roman" w:hAnsi="Times New Roman" w:eastAsia="Arial" w:cs="Times New Roman"/>
          <w:color w:val="212121"/>
          <w:sz w:val="24"/>
          <w:szCs w:val="24"/>
          <w:shd w:val="clear" w:color="auto" w:fill="FFFFFF"/>
        </w:rPr>
      </w:pPr>
      <w:r>
        <w:rPr>
          <w:rFonts w:ascii="Times New Roman" w:hAnsi="Times New Roman" w:eastAsia="Arial" w:cs="Times New Roman"/>
          <w:color w:val="212121"/>
          <w:sz w:val="24"/>
          <w:szCs w:val="24"/>
          <w:shd w:val="clear" w:color="auto" w:fill="FFFFFF"/>
        </w:rPr>
        <w:t>2020;37:213.</w:t>
      </w:r>
    </w:p>
    <w:p>
      <w:pPr>
        <w:spacing w:line="480" w:lineRule="auto"/>
        <w:ind w:firstLine="660" w:firstLineChars="300"/>
        <w:rPr>
          <w:rStyle w:val="10"/>
          <w:rFonts w:ascii="Times New Roman" w:hAnsi="Times New Roman" w:eastAsia="Arial" w:cs="Times New Roman"/>
          <w:sz w:val="24"/>
          <w:szCs w:val="24"/>
          <w:shd w:val="clear" w:color="auto" w:fill="FFFFFF"/>
        </w:rPr>
      </w:pPr>
      <w:r>
        <w:fldChar w:fldCharType="begin"/>
      </w:r>
      <w:r>
        <w:instrText xml:space="preserve"> HYPERLINK "https://doi.org/10.11604%2Fpamj.2020.37.213.24988" </w:instrText>
      </w:r>
      <w:r>
        <w:fldChar w:fldCharType="separate"/>
      </w:r>
      <w:r>
        <w:rPr>
          <w:rStyle w:val="10"/>
          <w:rFonts w:ascii="Times New Roman" w:hAnsi="Times New Roman" w:eastAsia="Arial" w:cs="Times New Roman"/>
          <w:sz w:val="24"/>
          <w:szCs w:val="24"/>
          <w:shd w:val="clear" w:color="auto" w:fill="FFFFFF"/>
        </w:rPr>
        <w:t>https://doi.org/10.11604%2Fpamj.2020.37.213.24988</w:t>
      </w:r>
      <w:r>
        <w:rPr>
          <w:rStyle w:val="10"/>
          <w:rFonts w:ascii="Times New Roman" w:hAnsi="Times New Roman" w:eastAsia="Arial" w:cs="Times New Roman"/>
          <w:sz w:val="24"/>
          <w:szCs w:val="24"/>
          <w:shd w:val="clear" w:color="auto" w:fill="FFFFFF"/>
        </w:rPr>
        <w:fldChar w:fldCharType="end"/>
      </w:r>
    </w:p>
    <w:p>
      <w:pPr>
        <w:spacing w:line="480" w:lineRule="auto"/>
        <w:ind w:firstLine="480" w:firstLineChars="200"/>
        <w:rPr>
          <w:rFonts w:ascii="Times New Roman" w:hAnsi="Times New Roman" w:eastAsia="Segoe UI" w:cs="Times New Roman"/>
          <w:sz w:val="24"/>
          <w:szCs w:val="24"/>
          <w:shd w:val="clear" w:color="auto" w:fill="FFFFFF"/>
          <w:vertAlign w:val="subscript"/>
        </w:rPr>
      </w:pPr>
      <w:r>
        <w:rPr>
          <w:rFonts w:ascii="Times New Roman" w:hAnsi="Times New Roman" w:eastAsia="Segoe UI" w:cs="Times New Roman"/>
          <w:sz w:val="24"/>
          <w:szCs w:val="24"/>
          <w:shd w:val="clear" w:color="auto" w:fill="FFFFFF"/>
        </w:rPr>
        <w:t>33  Ahmad Hamad</w:t>
      </w:r>
      <w:r>
        <w:rPr>
          <w:rFonts w:hint="default" w:ascii="Times New Roman" w:hAnsi="Times New Roman" w:eastAsia="Segoe UI" w:cs="Times New Roman"/>
          <w:sz w:val="24"/>
          <w:szCs w:val="24"/>
          <w:shd w:val="clear" w:color="auto" w:fill="FFFFFF"/>
          <w:lang w:val="en-US"/>
        </w:rPr>
        <w:t xml:space="preserve"> </w:t>
      </w:r>
      <w:r>
        <w:rPr>
          <w:rFonts w:ascii="Times New Roman" w:hAnsi="Times New Roman" w:eastAsia="Segoe UI" w:cs="Times New Roman"/>
          <w:sz w:val="24"/>
          <w:szCs w:val="24"/>
          <w:shd w:val="clear" w:color="auto" w:fill="FFFFFF"/>
        </w:rPr>
        <w:t>P, Khadija</w:t>
      </w:r>
      <w:r>
        <w:rPr>
          <w:rFonts w:hint="default" w:ascii="Times New Roman" w:hAnsi="Times New Roman" w:eastAsia="Segoe UI" w:cs="Times New Roman"/>
          <w:sz w:val="24"/>
          <w:szCs w:val="24"/>
          <w:shd w:val="clear" w:color="auto" w:fill="FFFFFF"/>
          <w:lang w:val="en-US"/>
        </w:rPr>
        <w:t xml:space="preserve"> </w:t>
      </w:r>
      <w:r>
        <w:rPr>
          <w:rFonts w:ascii="Times New Roman" w:hAnsi="Times New Roman" w:eastAsia="Segoe UI" w:cs="Times New Roman"/>
          <w:sz w:val="24"/>
          <w:szCs w:val="24"/>
          <w:shd w:val="clear" w:color="auto" w:fill="FFFFFF"/>
        </w:rPr>
        <w:t xml:space="preserve">KM. Prevalence of  </w:t>
      </w:r>
      <w:r>
        <w:rPr>
          <w:rFonts w:ascii="Times New Roman" w:hAnsi="Times New Roman" w:eastAsia="Segoe UI" w:cs="Times New Roman"/>
          <w:i/>
          <w:iCs/>
          <w:sz w:val="24"/>
          <w:szCs w:val="24"/>
          <w:shd w:val="clear" w:color="auto" w:fill="FFFFFF"/>
        </w:rPr>
        <w:t>bla</w:t>
      </w:r>
      <w:r>
        <w:rPr>
          <w:rFonts w:ascii="Times New Roman" w:hAnsi="Times New Roman" w:eastAsia="Segoe UI" w:cs="Times New Roman"/>
          <w:sz w:val="24"/>
          <w:szCs w:val="24"/>
          <w:shd w:val="clear" w:color="auto" w:fill="FFFFFF"/>
          <w:vertAlign w:val="subscript"/>
        </w:rPr>
        <w:t>TEM</w:t>
      </w:r>
      <w:r>
        <w:rPr>
          <w:rFonts w:ascii="Times New Roman" w:hAnsi="Times New Roman" w:eastAsia="Segoe UI" w:cs="Times New Roman"/>
          <w:sz w:val="24"/>
          <w:szCs w:val="24"/>
          <w:shd w:val="clear" w:color="auto" w:fill="FFFFFF"/>
        </w:rPr>
        <w:t>,</w:t>
      </w:r>
      <w:r>
        <w:rPr>
          <w:rFonts w:ascii="Times New Roman" w:hAnsi="Times New Roman" w:eastAsia="Segoe UI" w:cs="Times New Roman"/>
          <w:i/>
          <w:iCs/>
          <w:sz w:val="24"/>
          <w:szCs w:val="24"/>
          <w:shd w:val="clear" w:color="auto" w:fill="FFFFFF"/>
        </w:rPr>
        <w:t xml:space="preserve"> bla</w:t>
      </w:r>
      <w:r>
        <w:rPr>
          <w:rFonts w:ascii="Times New Roman" w:hAnsi="Times New Roman" w:eastAsia="Segoe UI" w:cs="Times New Roman"/>
          <w:sz w:val="24"/>
          <w:szCs w:val="24"/>
          <w:shd w:val="clear" w:color="auto" w:fill="FFFFFF"/>
          <w:vertAlign w:val="subscript"/>
        </w:rPr>
        <w:t>SHV</w:t>
      </w:r>
      <w:r>
        <w:rPr>
          <w:rFonts w:ascii="Times New Roman" w:hAnsi="Times New Roman" w:eastAsia="Segoe UI" w:cs="Times New Roman"/>
          <w:sz w:val="24"/>
          <w:szCs w:val="24"/>
          <w:shd w:val="clear" w:color="auto" w:fill="FFFFFF"/>
        </w:rPr>
        <w:t xml:space="preserve">,and </w:t>
      </w:r>
      <w:r>
        <w:rPr>
          <w:rFonts w:ascii="Times New Roman" w:hAnsi="Times New Roman" w:eastAsia="Segoe UI" w:cs="Times New Roman"/>
          <w:i/>
          <w:iCs/>
          <w:sz w:val="24"/>
          <w:szCs w:val="24"/>
          <w:shd w:val="clear" w:color="auto" w:fill="FFFFFF"/>
        </w:rPr>
        <w:t>bla</w:t>
      </w:r>
      <w:r>
        <w:rPr>
          <w:rFonts w:ascii="Times New Roman" w:hAnsi="Times New Roman" w:eastAsia="Segoe UI" w:cs="Times New Roman"/>
          <w:sz w:val="24"/>
          <w:szCs w:val="24"/>
          <w:shd w:val="clear" w:color="auto" w:fill="FFFFFF"/>
          <w:vertAlign w:val="subscript"/>
        </w:rPr>
        <w:t xml:space="preserve">CTX-M </w:t>
      </w:r>
    </w:p>
    <w:p>
      <w:pPr>
        <w:spacing w:line="480" w:lineRule="auto"/>
        <w:ind w:firstLine="840" w:firstLineChars="350"/>
        <w:rPr>
          <w:rFonts w:ascii="Times New Roman" w:hAnsi="Times New Roman" w:eastAsia="Segoe UI" w:cs="Times New Roman"/>
          <w:sz w:val="24"/>
          <w:szCs w:val="24"/>
          <w:shd w:val="clear" w:color="auto" w:fill="FFFFFF"/>
        </w:rPr>
      </w:pPr>
      <w:r>
        <w:rPr>
          <w:rFonts w:ascii="Times New Roman" w:hAnsi="Times New Roman" w:eastAsia="Segoe UI" w:cs="Times New Roman"/>
          <w:sz w:val="24"/>
          <w:szCs w:val="24"/>
          <w:shd w:val="clear" w:color="auto" w:fill="FFFFFF"/>
        </w:rPr>
        <w:t xml:space="preserve">genes among ESBL-producing </w:t>
      </w:r>
      <w:r>
        <w:rPr>
          <w:rFonts w:ascii="Times New Roman" w:hAnsi="Times New Roman" w:eastAsia="Segoe UI" w:cs="Times New Roman"/>
          <w:i/>
          <w:iCs/>
          <w:sz w:val="24"/>
          <w:szCs w:val="24"/>
          <w:shd w:val="clear" w:color="auto" w:fill="FFFFFF"/>
        </w:rPr>
        <w:t>Klebsiella pneumoniae</w:t>
      </w:r>
      <w:r>
        <w:rPr>
          <w:rFonts w:ascii="Times New Roman" w:hAnsi="Times New Roman" w:eastAsia="Segoe UI" w:cs="Times New Roman"/>
          <w:sz w:val="24"/>
          <w:szCs w:val="24"/>
          <w:shd w:val="clear" w:color="auto" w:fill="FFFFFF"/>
        </w:rPr>
        <w:t xml:space="preserve"> and </w:t>
      </w:r>
      <w:r>
        <w:rPr>
          <w:rFonts w:ascii="Times New Roman" w:hAnsi="Times New Roman" w:eastAsia="Segoe UI" w:cs="Times New Roman"/>
          <w:i/>
          <w:iCs/>
          <w:sz w:val="24"/>
          <w:szCs w:val="24"/>
          <w:shd w:val="clear" w:color="auto" w:fill="FFFFFF"/>
        </w:rPr>
        <w:t>Escherichia coli</w:t>
      </w:r>
      <w:r>
        <w:rPr>
          <w:rFonts w:ascii="Times New Roman" w:hAnsi="Times New Roman" w:eastAsia="Segoe UI" w:cs="Times New Roman"/>
          <w:sz w:val="24"/>
          <w:szCs w:val="24"/>
          <w:shd w:val="clear" w:color="auto" w:fill="FFFFFF"/>
        </w:rPr>
        <w:t xml:space="preserve">isolated </w:t>
      </w:r>
    </w:p>
    <w:p>
      <w:pPr>
        <w:spacing w:line="480" w:lineRule="auto"/>
        <w:ind w:firstLine="840" w:firstLineChars="350"/>
        <w:rPr>
          <w:rFonts w:ascii="Times New Roman" w:hAnsi="Times New Roman" w:eastAsia="Segoe UI" w:cs="Times New Roman"/>
          <w:sz w:val="24"/>
          <w:szCs w:val="24"/>
          <w:shd w:val="clear" w:color="auto" w:fill="FFFFFF"/>
        </w:rPr>
      </w:pPr>
      <w:r>
        <w:rPr>
          <w:rFonts w:ascii="Times New Roman" w:hAnsi="Times New Roman" w:eastAsia="Segoe UI" w:cs="Times New Roman"/>
          <w:sz w:val="24"/>
          <w:szCs w:val="24"/>
          <w:shd w:val="clear" w:color="auto" w:fill="FFFFFF"/>
        </w:rPr>
        <w:t xml:space="preserve">from thalassemia in Erbil,Iraq. Mediterranean Journal of Hematology and Infectious </w:t>
      </w:r>
    </w:p>
    <w:p>
      <w:pPr>
        <w:spacing w:line="480" w:lineRule="auto"/>
        <w:ind w:firstLine="840" w:firstLineChars="350"/>
        <w:rPr>
          <w:rFonts w:ascii="Times New Roman" w:hAnsi="Times New Roman" w:cs="Times New Roman"/>
          <w:sz w:val="24"/>
          <w:szCs w:val="24"/>
        </w:rPr>
      </w:pPr>
      <w:r>
        <w:rPr>
          <w:rFonts w:ascii="Times New Roman" w:hAnsi="Times New Roman" w:eastAsia="Segoe UI" w:cs="Times New Roman"/>
          <w:sz w:val="24"/>
          <w:szCs w:val="24"/>
          <w:shd w:val="clear" w:color="auto" w:fill="FFFFFF"/>
        </w:rPr>
        <w:t>Diseases.2019; 11(1), p. e2019041.</w:t>
      </w:r>
    </w:p>
    <w:p>
      <w:pPr>
        <w:spacing w:line="480" w:lineRule="auto"/>
        <w:rPr>
          <w:rFonts w:ascii="Times New Roman" w:hAnsi="Times New Roman" w:eastAsia="Arial" w:cs="Times New Roman"/>
          <w:color w:val="0563C1"/>
          <w:sz w:val="24"/>
          <w:szCs w:val="24"/>
          <w:u w:val="single"/>
          <w:shd w:val="clear" w:color="auto" w:fill="FFFFFF"/>
        </w:rPr>
      </w:pPr>
      <w:r>
        <w:rPr>
          <w:rFonts w:ascii="Times New Roman" w:hAnsi="Times New Roman" w:cs="Times New Roman"/>
          <w:sz w:val="24"/>
          <w:szCs w:val="24"/>
        </w:rPr>
        <w:tab/>
      </w:r>
      <w:r>
        <w:fldChar w:fldCharType="begin"/>
      </w:r>
      <w:r>
        <w:instrText xml:space="preserve"> HYPERLINK "https://doi.org/10.4084/mjhid.2019.041" </w:instrText>
      </w:r>
      <w:r>
        <w:fldChar w:fldCharType="separate"/>
      </w:r>
      <w:r>
        <w:rPr>
          <w:rStyle w:val="10"/>
          <w:rFonts w:ascii="Times New Roman" w:hAnsi="Times New Roman" w:cs="Times New Roman"/>
          <w:sz w:val="24"/>
          <w:szCs w:val="24"/>
        </w:rPr>
        <w:t>https://doi.org/10.4084/mjhid.2019.041</w:t>
      </w:r>
      <w:r>
        <w:rPr>
          <w:rStyle w:val="10"/>
          <w:rFonts w:ascii="Times New Roman" w:hAnsi="Times New Roman" w:cs="Times New Roman"/>
          <w:sz w:val="24"/>
          <w:szCs w:val="24"/>
        </w:rPr>
        <w:fldChar w:fldCharType="end"/>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34   Noha AH,</w:t>
      </w:r>
      <w:r>
        <w:rPr>
          <w:rFonts w:hint="default" w:ascii="Times New Roman" w:hAnsi="Times New Roman" w:cs="Times New Roman"/>
          <w:sz w:val="24"/>
          <w:szCs w:val="24"/>
          <w:lang w:val="en-US"/>
        </w:rPr>
        <w:t xml:space="preserve"> </w:t>
      </w:r>
      <w:r>
        <w:rPr>
          <w:rFonts w:ascii="Times New Roman" w:hAnsi="Times New Roman" w:cs="Times New Roman"/>
          <w:sz w:val="24"/>
          <w:szCs w:val="24"/>
        </w:rPr>
        <w:t>Ahmed SK,</w:t>
      </w:r>
      <w:r>
        <w:rPr>
          <w:rFonts w:hint="default" w:ascii="Times New Roman" w:hAnsi="Times New Roman" w:cs="Times New Roman"/>
          <w:sz w:val="24"/>
          <w:szCs w:val="24"/>
          <w:lang w:val="en-US"/>
        </w:rPr>
        <w:t xml:space="preserve"> </w:t>
      </w:r>
      <w:r>
        <w:rPr>
          <w:rFonts w:ascii="Times New Roman" w:hAnsi="Times New Roman" w:cs="Times New Roman"/>
          <w:sz w:val="24"/>
          <w:szCs w:val="24"/>
        </w:rPr>
        <w:t>Eman MF,</w:t>
      </w:r>
      <w:r>
        <w:rPr>
          <w:rFonts w:hint="default" w:ascii="Times New Roman" w:hAnsi="Times New Roman" w:cs="Times New Roman"/>
          <w:sz w:val="24"/>
          <w:szCs w:val="24"/>
          <w:lang w:val="en-US"/>
        </w:rPr>
        <w:t xml:space="preserve"> </w:t>
      </w:r>
      <w:r>
        <w:rPr>
          <w:rFonts w:ascii="Times New Roman" w:hAnsi="Times New Roman" w:cs="Times New Roman"/>
          <w:sz w:val="24"/>
          <w:szCs w:val="24"/>
        </w:rPr>
        <w:t>Adel MH,</w:t>
      </w:r>
      <w:r>
        <w:rPr>
          <w:rFonts w:hint="default" w:ascii="Times New Roman" w:hAnsi="Times New Roman" w:cs="Times New Roman"/>
          <w:sz w:val="24"/>
          <w:szCs w:val="24"/>
          <w:lang w:val="en-US"/>
        </w:rPr>
        <w:t xml:space="preserve"> </w:t>
      </w:r>
      <w:r>
        <w:rPr>
          <w:rFonts w:ascii="Times New Roman" w:hAnsi="Times New Roman" w:cs="Times New Roman"/>
          <w:sz w:val="24"/>
          <w:szCs w:val="24"/>
        </w:rPr>
        <w:t>Medhat AF.</w:t>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Molecular characterization </w:t>
      </w:r>
    </w:p>
    <w:p>
      <w:pPr>
        <w:spacing w:line="480" w:lineRule="auto"/>
        <w:ind w:firstLine="904" w:firstLineChars="377"/>
        <w:jc w:val="both"/>
        <w:rPr>
          <w:rFonts w:ascii="Times New Roman" w:hAnsi="Times New Roman" w:cs="Times New Roman"/>
          <w:sz w:val="24"/>
          <w:szCs w:val="24"/>
        </w:rPr>
      </w:pPr>
      <w:r>
        <w:rPr>
          <w:rFonts w:ascii="Times New Roman" w:hAnsi="Times New Roman" w:cs="Times New Roman"/>
          <w:sz w:val="24"/>
          <w:szCs w:val="24"/>
        </w:rPr>
        <w:t xml:space="preserve">of Extended-spectrum β lactamase-producing </w:t>
      </w:r>
      <w:r>
        <w:rPr>
          <w:rFonts w:ascii="Times New Roman" w:hAnsi="Times New Roman" w:cs="Times New Roman"/>
          <w:i/>
          <w:sz w:val="24"/>
          <w:szCs w:val="24"/>
        </w:rPr>
        <w:t>E.coli</w:t>
      </w:r>
      <w:r>
        <w:rPr>
          <w:rFonts w:ascii="Times New Roman" w:hAnsi="Times New Roman" w:cs="Times New Roman"/>
          <w:sz w:val="24"/>
          <w:szCs w:val="24"/>
        </w:rPr>
        <w:t>recovered from community-</w:t>
      </w:r>
    </w:p>
    <w:p>
      <w:pPr>
        <w:spacing w:line="480" w:lineRule="auto"/>
        <w:ind w:firstLine="904" w:firstLineChars="377"/>
        <w:jc w:val="both"/>
        <w:rPr>
          <w:rFonts w:ascii="Times New Roman" w:hAnsi="Times New Roman" w:cs="Times New Roman"/>
          <w:sz w:val="24"/>
          <w:szCs w:val="24"/>
        </w:rPr>
      </w:pPr>
      <w:r>
        <w:rPr>
          <w:rFonts w:ascii="Times New Roman" w:hAnsi="Times New Roman" w:cs="Times New Roman"/>
          <w:sz w:val="24"/>
          <w:szCs w:val="24"/>
        </w:rPr>
        <w:t>acquired urinary tract infections in Upper Egypt.Sci Rep.2020;10:2772</w:t>
      </w:r>
    </w:p>
    <w:p>
      <w:pPr>
        <w:spacing w:line="480" w:lineRule="auto"/>
        <w:ind w:firstLine="937" w:firstLineChars="426"/>
        <w:rPr>
          <w:rFonts w:ascii="Times New Roman" w:hAnsi="Times New Roman" w:cs="Times New Roman"/>
          <w:sz w:val="24"/>
          <w:szCs w:val="24"/>
        </w:rPr>
      </w:pPr>
      <w:r>
        <w:fldChar w:fldCharType="begin"/>
      </w:r>
      <w:r>
        <w:instrText xml:space="preserve"> HYPERLINK "https://doi.org/10.1038/s41598-020-59772-z" </w:instrText>
      </w:r>
      <w:r>
        <w:fldChar w:fldCharType="separate"/>
      </w:r>
      <w:r>
        <w:rPr>
          <w:rStyle w:val="10"/>
          <w:rFonts w:ascii="Times New Roman" w:hAnsi="Times New Roman" w:cs="Times New Roman"/>
          <w:sz w:val="24"/>
          <w:szCs w:val="24"/>
        </w:rPr>
        <w:t>https://doi.org/10.1038/s41598-020-59772-z</w:t>
      </w:r>
      <w:r>
        <w:rPr>
          <w:rStyle w:val="10"/>
          <w:rFonts w:ascii="Times New Roman" w:hAnsi="Times New Roman" w:cs="Times New Roman"/>
          <w:sz w:val="24"/>
          <w:szCs w:val="24"/>
        </w:rPr>
        <w:fldChar w:fldCharType="end"/>
      </w:r>
    </w:p>
    <w:p>
      <w:pPr>
        <w:spacing w:beforeAutospacing="1" w:line="480" w:lineRule="auto"/>
        <w:ind w:firstLine="480" w:firstLineChars="200"/>
        <w:jc w:val="both"/>
        <w:rPr>
          <w:rFonts w:ascii="Times New Roman" w:hAnsi="Times New Roman" w:eastAsia="Calibri" w:cs="Times New Roman"/>
          <w:sz w:val="24"/>
          <w:szCs w:val="24"/>
          <w:lang w:eastAsia="zh-CN"/>
        </w:rPr>
      </w:pPr>
      <w:r>
        <w:rPr>
          <w:rFonts w:ascii="Times New Roman" w:hAnsi="Times New Roman" w:eastAsia="Calibri" w:cs="Times New Roman"/>
          <w:sz w:val="24"/>
          <w:szCs w:val="24"/>
          <w:lang w:eastAsia="zh-CN"/>
        </w:rPr>
        <w:t>35 Pandit R, Awal B, Shrestha SS, Joshi G, Rijal BP, Parajuli NP. Extended-Spectrum β-</w:t>
      </w:r>
    </w:p>
    <w:p>
      <w:pPr>
        <w:spacing w:beforeAutospacing="1" w:line="480" w:lineRule="auto"/>
        <w:ind w:firstLine="840" w:firstLineChars="350"/>
        <w:jc w:val="both"/>
        <w:rPr>
          <w:rFonts w:ascii="Times New Roman" w:hAnsi="Times New Roman" w:eastAsia="Calibri" w:cs="Times New Roman"/>
          <w:i/>
          <w:sz w:val="24"/>
          <w:szCs w:val="24"/>
          <w:lang w:eastAsia="zh-CN"/>
        </w:rPr>
      </w:pPr>
      <w:r>
        <w:rPr>
          <w:rFonts w:ascii="Times New Roman" w:hAnsi="Times New Roman" w:eastAsia="Calibri" w:cs="Times New Roman"/>
          <w:sz w:val="24"/>
          <w:szCs w:val="24"/>
          <w:lang w:eastAsia="zh-CN"/>
        </w:rPr>
        <w:t xml:space="preserve">lactamase(ESBL) Genotypes among Multidrug-Resistant Uropathogenic </w:t>
      </w:r>
      <w:r>
        <w:rPr>
          <w:rFonts w:ascii="Times New Roman" w:hAnsi="Times New Roman" w:eastAsia="Calibri" w:cs="Times New Roman"/>
          <w:i/>
          <w:sz w:val="24"/>
          <w:szCs w:val="24"/>
          <w:lang w:eastAsia="zh-CN"/>
        </w:rPr>
        <w:t xml:space="preserve">Escherichia </w:t>
      </w:r>
    </w:p>
    <w:p>
      <w:pPr>
        <w:spacing w:beforeAutospacing="1" w:line="480" w:lineRule="auto"/>
        <w:ind w:firstLine="840" w:firstLineChars="350"/>
        <w:jc w:val="both"/>
        <w:rPr>
          <w:rFonts w:ascii="Times New Roman" w:hAnsi="Times New Roman" w:eastAsia="Calibri" w:cs="Times New Roman"/>
          <w:sz w:val="24"/>
          <w:szCs w:val="24"/>
          <w:lang w:eastAsia="zh-CN"/>
        </w:rPr>
      </w:pPr>
      <w:r>
        <w:rPr>
          <w:rFonts w:ascii="Times New Roman" w:hAnsi="Times New Roman" w:eastAsia="Calibri" w:cs="Times New Roman"/>
          <w:i/>
          <w:sz w:val="24"/>
          <w:szCs w:val="24"/>
          <w:lang w:eastAsia="zh-CN"/>
        </w:rPr>
        <w:t>coli</w:t>
      </w:r>
      <w:r>
        <w:rPr>
          <w:rFonts w:ascii="Times New Roman" w:hAnsi="Times New Roman" w:eastAsia="Calibri" w:cs="Times New Roman"/>
          <w:sz w:val="24"/>
          <w:szCs w:val="24"/>
          <w:lang w:eastAsia="zh-CN"/>
        </w:rPr>
        <w:t xml:space="preserve"> Clinical Isolates from a Teaching Hospital of Nepal. Interdisciplinary Perspectives </w:t>
      </w:r>
    </w:p>
    <w:p>
      <w:pPr>
        <w:spacing w:beforeAutospacing="1" w:line="480" w:lineRule="auto"/>
        <w:ind w:firstLine="840" w:firstLineChars="350"/>
        <w:jc w:val="both"/>
        <w:rPr>
          <w:rFonts w:ascii="Times New Roman" w:hAnsi="Times New Roman" w:eastAsia="Calibri" w:cs="Times New Roman"/>
          <w:sz w:val="24"/>
          <w:szCs w:val="24"/>
        </w:rPr>
      </w:pPr>
      <w:r>
        <w:rPr>
          <w:rFonts w:ascii="Times New Roman" w:hAnsi="Times New Roman" w:eastAsia="Calibri" w:cs="Times New Roman"/>
          <w:sz w:val="24"/>
          <w:szCs w:val="24"/>
          <w:lang w:eastAsia="zh-CN"/>
        </w:rPr>
        <w:t>on Infectious Diseases.2020;8.</w:t>
      </w:r>
    </w:p>
    <w:p>
      <w:pPr>
        <w:spacing w:beforeAutospacing="1" w:line="480" w:lineRule="auto"/>
        <w:ind w:firstLine="720"/>
        <w:jc w:val="both"/>
        <w:rPr>
          <w:rFonts w:eastAsia="Calibri"/>
        </w:rPr>
      </w:pPr>
      <w:r>
        <w:fldChar w:fldCharType="begin"/>
      </w:r>
      <w:r>
        <w:instrText xml:space="preserve"> HYPERLINK "http://doi.org/10.1155/2020/6525826" </w:instrText>
      </w:r>
      <w:r>
        <w:fldChar w:fldCharType="separate"/>
      </w:r>
      <w:r>
        <w:rPr>
          <w:rStyle w:val="10"/>
          <w:rFonts w:eastAsia="Calibri"/>
          <w:sz w:val="24"/>
          <w:szCs w:val="24"/>
        </w:rPr>
        <w:t>http://doi.org/10.1155/2020/6525826</w:t>
      </w:r>
      <w:r>
        <w:rPr>
          <w:rStyle w:val="10"/>
          <w:rFonts w:eastAsia="Calibri"/>
          <w:sz w:val="24"/>
          <w:szCs w:val="24"/>
        </w:rPr>
        <w:fldChar w:fldCharType="end"/>
      </w:r>
    </w:p>
    <w:p>
      <w:pPr>
        <w:spacing w:beforeAutospacing="1" w:line="480" w:lineRule="auto"/>
        <w:ind w:firstLine="480" w:firstLineChars="200"/>
        <w:jc w:val="both"/>
        <w:rPr>
          <w:rFonts w:eastAsia="Calibri"/>
        </w:rPr>
      </w:pPr>
      <w:r>
        <w:rPr>
          <w:rFonts w:ascii="Times New Roman" w:hAnsi="Times New Roman" w:eastAsia="SimSun" w:cs="Times New Roman"/>
          <w:color w:val="232323"/>
          <w:sz w:val="24"/>
          <w:szCs w:val="24"/>
          <w:shd w:val="clear" w:color="auto" w:fill="FFFFFF"/>
          <w:lang w:eastAsia="zh-CN"/>
        </w:rPr>
        <w:t xml:space="preserve">36 </w:t>
      </w:r>
      <w:r>
        <w:rPr>
          <w:rFonts w:ascii="Times New Roman" w:hAnsi="Times New Roman" w:eastAsia="Calibri" w:cs="Times New Roman"/>
          <w:sz w:val="24"/>
          <w:szCs w:val="24"/>
          <w:lang w:eastAsia="zh-CN"/>
        </w:rPr>
        <w:t xml:space="preserve">Michael NS, Saadi AT. Detection of </w:t>
      </w:r>
      <w:r>
        <w:rPr>
          <w:rFonts w:ascii="Times New Roman" w:hAnsi="Times New Roman" w:eastAsia="Calibri" w:cs="Times New Roman"/>
          <w:i/>
          <w:iCs/>
          <w:sz w:val="24"/>
          <w:szCs w:val="24"/>
          <w:lang w:eastAsia="zh-CN"/>
        </w:rPr>
        <w:t>bla</w:t>
      </w:r>
      <w:r>
        <w:rPr>
          <w:rFonts w:ascii="Times New Roman" w:hAnsi="Times New Roman" w:eastAsia="Calibri" w:cs="Times New Roman"/>
          <w:sz w:val="24"/>
          <w:szCs w:val="24"/>
          <w:vertAlign w:val="subscript"/>
          <w:lang w:eastAsia="zh-CN"/>
        </w:rPr>
        <w:t>CTX-M</w:t>
      </w:r>
      <w:r>
        <w:rPr>
          <w:rFonts w:ascii="Times New Roman" w:hAnsi="Times New Roman" w:eastAsia="Calibri" w:cs="Times New Roman"/>
          <w:sz w:val="24"/>
          <w:szCs w:val="24"/>
          <w:lang w:eastAsia="zh-CN"/>
        </w:rPr>
        <w:t xml:space="preserve">, </w:t>
      </w:r>
      <w:r>
        <w:rPr>
          <w:rFonts w:ascii="Times New Roman" w:hAnsi="Times New Roman" w:eastAsia="Calibri" w:cs="Times New Roman"/>
          <w:i/>
          <w:iCs/>
          <w:sz w:val="24"/>
          <w:szCs w:val="24"/>
          <w:lang w:eastAsia="zh-CN"/>
        </w:rPr>
        <w:t>bla</w:t>
      </w:r>
      <w:r>
        <w:rPr>
          <w:rFonts w:ascii="Times New Roman" w:hAnsi="Times New Roman" w:eastAsia="Calibri" w:cs="Times New Roman"/>
          <w:sz w:val="24"/>
          <w:szCs w:val="24"/>
          <w:vertAlign w:val="subscript"/>
          <w:lang w:eastAsia="zh-CN"/>
        </w:rPr>
        <w:t>TEM01</w:t>
      </w:r>
      <w:r>
        <w:rPr>
          <w:rFonts w:ascii="Times New Roman" w:hAnsi="Times New Roman" w:eastAsia="Calibri" w:cs="Times New Roman"/>
          <w:sz w:val="24"/>
          <w:szCs w:val="24"/>
          <w:lang w:eastAsia="zh-CN"/>
        </w:rPr>
        <w:t xml:space="preserve"> and </w:t>
      </w:r>
      <w:r>
        <w:rPr>
          <w:rFonts w:ascii="Times New Roman" w:hAnsi="Times New Roman" w:eastAsia="Calibri" w:cs="Times New Roman"/>
          <w:i/>
          <w:iCs/>
          <w:sz w:val="24"/>
          <w:szCs w:val="24"/>
          <w:lang w:eastAsia="zh-CN"/>
        </w:rPr>
        <w:t>bla</w:t>
      </w:r>
      <w:r>
        <w:rPr>
          <w:rFonts w:ascii="Times New Roman" w:hAnsi="Times New Roman" w:eastAsia="Calibri" w:cs="Times New Roman"/>
          <w:sz w:val="24"/>
          <w:szCs w:val="24"/>
          <w:vertAlign w:val="subscript"/>
          <w:lang w:eastAsia="zh-CN"/>
        </w:rPr>
        <w:t>SHV</w:t>
      </w:r>
      <w:r>
        <w:rPr>
          <w:rFonts w:ascii="Times New Roman" w:hAnsi="Times New Roman" w:eastAsia="Calibri" w:cs="Times New Roman"/>
          <w:sz w:val="24"/>
          <w:szCs w:val="24"/>
          <w:lang w:eastAsia="zh-CN"/>
        </w:rPr>
        <w:t xml:space="preserve"> Genes in Multidrug </w:t>
      </w:r>
      <w:r>
        <w:rPr>
          <w:rFonts w:ascii="Times New Roman" w:hAnsi="Times New Roman" w:eastAsia="Calibri" w:cs="Times New Roman"/>
          <w:sz w:val="24"/>
          <w:szCs w:val="24"/>
          <w:lang w:eastAsia="zh-CN"/>
        </w:rPr>
        <w:tab/>
      </w:r>
      <w:r>
        <w:rPr>
          <w:rFonts w:ascii="Times New Roman" w:hAnsi="Times New Roman" w:eastAsia="Calibri" w:cs="Times New Roman"/>
          <w:sz w:val="24"/>
          <w:szCs w:val="24"/>
          <w:lang w:eastAsia="zh-CN"/>
        </w:rPr>
        <w:t xml:space="preserve">Resistant Uropathogenic </w:t>
      </w:r>
      <w:r>
        <w:rPr>
          <w:rFonts w:ascii="Times New Roman" w:hAnsi="Times New Roman" w:eastAsia="Calibri" w:cs="Times New Roman"/>
          <w:i/>
          <w:sz w:val="24"/>
          <w:szCs w:val="24"/>
          <w:lang w:eastAsia="zh-CN"/>
        </w:rPr>
        <w:t>E. coli</w:t>
      </w:r>
      <w:r>
        <w:rPr>
          <w:rFonts w:ascii="Times New Roman" w:hAnsi="Times New Roman" w:eastAsia="Calibri" w:cs="Times New Roman"/>
          <w:sz w:val="24"/>
          <w:szCs w:val="24"/>
          <w:lang w:eastAsia="zh-CN"/>
        </w:rPr>
        <w:t xml:space="preserve"> Isolated from Patients with Recurrent Urinary Tract </w:t>
      </w:r>
      <w:r>
        <w:rPr>
          <w:rFonts w:ascii="Times New Roman" w:hAnsi="Times New Roman" w:eastAsia="Calibri" w:cs="Times New Roman"/>
          <w:sz w:val="24"/>
          <w:szCs w:val="24"/>
          <w:lang w:eastAsia="zh-CN"/>
        </w:rPr>
        <w:tab/>
      </w:r>
      <w:r>
        <w:rPr>
          <w:rFonts w:ascii="Times New Roman" w:hAnsi="Times New Roman" w:eastAsia="Calibri" w:cs="Times New Roman"/>
          <w:sz w:val="24"/>
          <w:szCs w:val="24"/>
          <w:lang w:eastAsia="zh-CN"/>
        </w:rPr>
        <w:t xml:space="preserve">Infections. </w:t>
      </w:r>
      <w:r>
        <w:rPr>
          <w:rFonts w:ascii="Times New Roman" w:hAnsi="Times New Roman" w:eastAsia="Calibri" w:cs="Times New Roman"/>
          <w:iCs/>
          <w:sz w:val="24"/>
          <w:szCs w:val="24"/>
          <w:lang w:eastAsia="zh-CN"/>
        </w:rPr>
        <w:t>International Journal of Medical Research &amp; Health Sciences.</w:t>
      </w:r>
      <w:r>
        <w:rPr>
          <w:rFonts w:ascii="Times New Roman" w:hAnsi="Times New Roman" w:eastAsia="Calibri" w:cs="Times New Roman"/>
          <w:sz w:val="24"/>
          <w:szCs w:val="24"/>
          <w:lang w:eastAsia="zh-CN"/>
        </w:rPr>
        <w:t>2018; 7(9):81-</w:t>
      </w:r>
      <w:r>
        <w:rPr>
          <w:rFonts w:ascii="Times New Roman" w:hAnsi="Times New Roman" w:eastAsia="Calibri" w:cs="Times New Roman"/>
          <w:sz w:val="24"/>
          <w:szCs w:val="24"/>
          <w:lang w:eastAsia="zh-CN"/>
        </w:rPr>
        <w:tab/>
      </w:r>
      <w:r>
        <w:rPr>
          <w:rFonts w:ascii="Times New Roman" w:hAnsi="Times New Roman" w:eastAsia="Calibri" w:cs="Times New Roman"/>
          <w:sz w:val="24"/>
          <w:szCs w:val="24"/>
          <w:lang w:eastAsia="zh-CN"/>
        </w:rPr>
        <w:t>89.</w:t>
      </w:r>
    </w:p>
    <w:p>
      <w:pPr>
        <w:spacing w:beforeAutospacing="1" w:line="480" w:lineRule="auto"/>
        <w:ind w:firstLine="480" w:firstLineChars="200"/>
        <w:rPr>
          <w:rFonts w:ascii="Times New Roman" w:hAnsi="Times New Roman" w:eastAsia="Segoe UI" w:cs="Times New Roman"/>
          <w:color w:val="212121"/>
          <w:sz w:val="24"/>
          <w:szCs w:val="24"/>
          <w:shd w:val="clear" w:color="auto" w:fill="FFFFFF"/>
        </w:rPr>
      </w:pPr>
      <w:r>
        <w:rPr>
          <w:rFonts w:ascii="Times New Roman" w:hAnsi="Times New Roman" w:eastAsia="SimSun" w:cs="Times New Roman"/>
          <w:color w:val="232323"/>
          <w:sz w:val="24"/>
          <w:szCs w:val="24"/>
          <w:shd w:val="clear" w:color="auto" w:fill="FFFFFF"/>
          <w:lang w:eastAsia="zh-CN"/>
        </w:rPr>
        <w:t xml:space="preserve">37  </w:t>
      </w:r>
      <w:r>
        <w:rPr>
          <w:rFonts w:ascii="Times New Roman" w:hAnsi="Times New Roman" w:eastAsia="Segoe UI" w:cs="Times New Roman"/>
          <w:color w:val="212121"/>
          <w:sz w:val="24"/>
          <w:szCs w:val="24"/>
          <w:shd w:val="clear" w:color="auto" w:fill="FFFFFF"/>
          <w:lang w:eastAsia="zh-CN"/>
        </w:rPr>
        <w:t>Sahoo S, Otta S, Swain B, Kar SK. Detection and genetic characterization of extended-</w:t>
      </w:r>
      <w:r>
        <w:rPr>
          <w:rFonts w:ascii="Times New Roman" w:hAnsi="Times New Roman" w:eastAsia="Segoe UI" w:cs="Times New Roman"/>
          <w:color w:val="212121"/>
          <w:sz w:val="24"/>
          <w:szCs w:val="24"/>
          <w:shd w:val="clear" w:color="auto" w:fill="FFFFFF"/>
          <w:lang w:eastAsia="zh-CN"/>
        </w:rPr>
        <w:tab/>
      </w:r>
      <w:r>
        <w:rPr>
          <w:rFonts w:ascii="Times New Roman" w:hAnsi="Times New Roman" w:eastAsia="Segoe UI" w:cs="Times New Roman"/>
          <w:color w:val="212121"/>
          <w:sz w:val="24"/>
          <w:szCs w:val="24"/>
          <w:shd w:val="clear" w:color="auto" w:fill="FFFFFF"/>
          <w:lang w:eastAsia="zh-CN"/>
        </w:rPr>
        <w:t xml:space="preserve">spectrum beta-lactamases producers in a tertiary care hospital. J Lab Physicians. </w:t>
      </w:r>
      <w:r>
        <w:rPr>
          <w:rFonts w:ascii="Times New Roman" w:hAnsi="Times New Roman" w:eastAsia="Segoe UI" w:cs="Times New Roman"/>
          <w:color w:val="212121"/>
          <w:sz w:val="24"/>
          <w:szCs w:val="24"/>
          <w:shd w:val="clear" w:color="auto" w:fill="FFFFFF"/>
          <w:lang w:eastAsia="zh-CN"/>
        </w:rPr>
        <w:tab/>
      </w:r>
      <w:r>
        <w:rPr>
          <w:rFonts w:ascii="Times New Roman" w:hAnsi="Times New Roman" w:eastAsia="Segoe UI" w:cs="Times New Roman"/>
          <w:color w:val="212121"/>
          <w:sz w:val="24"/>
          <w:szCs w:val="24"/>
          <w:shd w:val="clear" w:color="auto" w:fill="FFFFFF"/>
          <w:lang w:eastAsia="zh-CN"/>
        </w:rPr>
        <w:t xml:space="preserve">2019;11(3):253-258. </w:t>
      </w:r>
      <w:bookmarkStart w:id="0" w:name="_GoBack"/>
      <w:bookmarkEnd w:id="0"/>
    </w:p>
    <w:p>
      <w:pPr>
        <w:spacing w:beforeAutospacing="1" w:line="480" w:lineRule="auto"/>
        <w:rPr>
          <w:rFonts w:eastAsia="Segoe UI"/>
        </w:rPr>
      </w:pPr>
      <w:r>
        <w:rPr>
          <w:rFonts w:ascii="Times New Roman" w:hAnsi="Times New Roman" w:eastAsia="Segoe UI" w:cs="Times New Roman"/>
          <w:color w:val="212121"/>
          <w:sz w:val="24"/>
          <w:szCs w:val="24"/>
          <w:shd w:val="clear" w:color="auto" w:fill="FFFFFF"/>
          <w:lang w:eastAsia="zh-CN"/>
        </w:rPr>
        <w:tab/>
      </w:r>
      <w:r>
        <w:fldChar w:fldCharType="begin"/>
      </w:r>
      <w:r>
        <w:instrText xml:space="preserve"> HYPERLINK "https://doi.org/10.4103/jlp.jlp_31_19" </w:instrText>
      </w:r>
      <w:r>
        <w:fldChar w:fldCharType="separate"/>
      </w:r>
      <w:r>
        <w:rPr>
          <w:rStyle w:val="10"/>
          <w:rFonts w:eastAsia="Segoe UI"/>
          <w:sz w:val="24"/>
          <w:szCs w:val="24"/>
          <w:shd w:val="clear" w:color="auto" w:fill="FFFFFF"/>
        </w:rPr>
        <w:t>https://doi.org/10.4103/jlp.jlp_31_19</w:t>
      </w:r>
      <w:r>
        <w:rPr>
          <w:rStyle w:val="10"/>
          <w:rFonts w:eastAsia="Segoe UI"/>
          <w:sz w:val="24"/>
          <w:szCs w:val="24"/>
          <w:shd w:val="clear" w:color="auto" w:fill="FFFFFF"/>
        </w:rPr>
        <w:fldChar w:fldCharType="end"/>
      </w:r>
    </w:p>
    <w:p>
      <w:pPr>
        <w:spacing w:beforeAutospacing="1" w:line="480" w:lineRule="auto"/>
        <w:ind w:firstLine="600" w:firstLineChars="250"/>
        <w:jc w:val="both"/>
        <w:rPr>
          <w:rFonts w:eastAsia="Calibri"/>
        </w:rPr>
      </w:pPr>
      <w:r>
        <w:rPr>
          <w:rFonts w:ascii="Times New Roman" w:hAnsi="Times New Roman" w:eastAsia="Calibri" w:cs="Times New Roman"/>
          <w:sz w:val="24"/>
          <w:szCs w:val="24"/>
          <w:lang w:eastAsia="zh-CN"/>
        </w:rPr>
        <w:t xml:space="preserve">38  Jena J, Sahoo RK, Debata NK, Subudhi E. Prevalence of TEM, SHV, and CTX-M </w:t>
      </w:r>
      <w:r>
        <w:rPr>
          <w:rFonts w:ascii="Times New Roman" w:hAnsi="Times New Roman" w:eastAsia="Calibri" w:cs="Times New Roman"/>
          <w:sz w:val="24"/>
          <w:szCs w:val="24"/>
          <w:lang w:eastAsia="zh-CN"/>
        </w:rPr>
        <w:tab/>
      </w:r>
      <w:r>
        <w:rPr>
          <w:rFonts w:ascii="Times New Roman" w:hAnsi="Times New Roman" w:eastAsia="Calibri" w:cs="Times New Roman"/>
          <w:sz w:val="24"/>
          <w:szCs w:val="24"/>
          <w:lang w:eastAsia="zh-CN"/>
        </w:rPr>
        <w:t xml:space="preserve">genes of extended-spectrum beta-lactamases-producing </w:t>
      </w:r>
      <w:r>
        <w:rPr>
          <w:rFonts w:ascii="Times New Roman" w:hAnsi="Times New Roman" w:eastAsia="Calibri" w:cs="Times New Roman"/>
          <w:i/>
          <w:sz w:val="24"/>
          <w:szCs w:val="24"/>
          <w:lang w:eastAsia="zh-CN"/>
        </w:rPr>
        <w:t>Escherichia coli</w:t>
      </w:r>
      <w:r>
        <w:rPr>
          <w:rFonts w:ascii="Times New Roman" w:hAnsi="Times New Roman" w:eastAsia="Calibri" w:cs="Times New Roman"/>
          <w:sz w:val="24"/>
          <w:szCs w:val="24"/>
          <w:lang w:eastAsia="zh-CN"/>
        </w:rPr>
        <w:t xml:space="preserve"> strains isolated </w:t>
      </w:r>
      <w:r>
        <w:rPr>
          <w:rFonts w:ascii="Times New Roman" w:hAnsi="Times New Roman" w:eastAsia="Calibri" w:cs="Times New Roman"/>
          <w:sz w:val="24"/>
          <w:szCs w:val="24"/>
          <w:lang w:eastAsia="zh-CN"/>
        </w:rPr>
        <w:tab/>
      </w:r>
      <w:r>
        <w:rPr>
          <w:rFonts w:ascii="Times New Roman" w:hAnsi="Times New Roman" w:eastAsia="Calibri" w:cs="Times New Roman"/>
          <w:sz w:val="24"/>
          <w:szCs w:val="24"/>
          <w:lang w:eastAsia="zh-CN"/>
        </w:rPr>
        <w:t xml:space="preserve">from urinary tract infections in adults. </w:t>
      </w:r>
      <w:r>
        <w:rPr>
          <w:rFonts w:ascii="Times New Roman" w:hAnsi="Times New Roman" w:eastAsia="Calibri" w:cs="Times New Roman"/>
          <w:iCs/>
          <w:sz w:val="24"/>
          <w:szCs w:val="24"/>
          <w:lang w:eastAsia="zh-CN"/>
        </w:rPr>
        <w:t>Biotech.</w:t>
      </w:r>
      <w:r>
        <w:rPr>
          <w:rFonts w:ascii="Times New Roman" w:hAnsi="Times New Roman" w:eastAsia="Calibri" w:cs="Times New Roman"/>
          <w:sz w:val="24"/>
          <w:szCs w:val="24"/>
          <w:lang w:eastAsia="zh-CN"/>
        </w:rPr>
        <w:t>2017;7(4):244.</w:t>
      </w:r>
    </w:p>
    <w:p>
      <w:pPr>
        <w:spacing w:beforeAutospacing="1" w:line="480" w:lineRule="auto"/>
        <w:ind w:firstLine="720"/>
        <w:jc w:val="both"/>
        <w:rPr>
          <w:rFonts w:eastAsia="Calibri"/>
        </w:rPr>
      </w:pPr>
      <w:r>
        <w:fldChar w:fldCharType="begin"/>
      </w:r>
      <w:r>
        <w:instrText xml:space="preserve"> HYPERLINK "https://doi.org/10.1007/s13205-017-0879-2" </w:instrText>
      </w:r>
      <w:r>
        <w:fldChar w:fldCharType="separate"/>
      </w:r>
      <w:r>
        <w:rPr>
          <w:rStyle w:val="10"/>
          <w:rFonts w:eastAsia="Calibri"/>
          <w:sz w:val="24"/>
          <w:szCs w:val="24"/>
        </w:rPr>
        <w:t>https://doi.org/10.1007/s13205-017-0879-2</w:t>
      </w:r>
      <w:r>
        <w:rPr>
          <w:rStyle w:val="10"/>
          <w:rFonts w:eastAsia="Calibri"/>
          <w:sz w:val="24"/>
          <w:szCs w:val="24"/>
        </w:rPr>
        <w:fldChar w:fldCharType="end"/>
      </w:r>
    </w:p>
    <w:p>
      <w:pPr>
        <w:pStyle w:val="11"/>
        <w:numPr>
          <w:ilvl w:val="0"/>
          <w:numId w:val="5"/>
        </w:numPr>
        <w:spacing w:line="480" w:lineRule="auto"/>
        <w:contextualSpacing/>
        <w:jc w:val="both"/>
      </w:pPr>
      <w:r>
        <w:rPr>
          <w:rFonts w:ascii="Times New Roman" w:hAnsi="Times New Roman"/>
        </w:rPr>
        <w:t>Canton R,</w:t>
      </w:r>
      <w:r>
        <w:rPr>
          <w:rFonts w:hint="default" w:ascii="Times New Roman" w:hAnsi="Times New Roman"/>
          <w:lang w:val="en-US"/>
        </w:rPr>
        <w:t xml:space="preserve"> </w:t>
      </w:r>
      <w:r>
        <w:rPr>
          <w:rFonts w:ascii="Times New Roman" w:hAnsi="Times New Roman"/>
        </w:rPr>
        <w:t>Gonzalez-Alba</w:t>
      </w:r>
      <w:r>
        <w:rPr>
          <w:rFonts w:hint="default" w:ascii="Times New Roman" w:hAnsi="Times New Roman"/>
          <w:lang w:val="en-US"/>
        </w:rPr>
        <w:t xml:space="preserve"> </w:t>
      </w:r>
      <w:r>
        <w:rPr>
          <w:rFonts w:ascii="Times New Roman" w:hAnsi="Times New Roman"/>
        </w:rPr>
        <w:t>JM, Galan JC.</w:t>
      </w:r>
      <w:r>
        <w:rPr>
          <w:rFonts w:hint="default" w:ascii="Times New Roman" w:hAnsi="Times New Roman"/>
          <w:lang w:val="en-US"/>
        </w:rPr>
        <w:t xml:space="preserve"> </w:t>
      </w:r>
      <w:r>
        <w:rPr>
          <w:rFonts w:ascii="Times New Roman" w:hAnsi="Times New Roman"/>
        </w:rPr>
        <w:t>CTX-M enzymes:origin and diffusion.</w:t>
      </w:r>
      <w:r>
        <w:rPr>
          <w:rFonts w:ascii="Times New Roman" w:hAnsi="Times New Roman"/>
          <w:iCs/>
        </w:rPr>
        <w:t>Front.Microbiol.</w:t>
      </w:r>
      <w:r>
        <w:rPr>
          <w:rFonts w:ascii="Times New Roman" w:hAnsi="Times New Roman"/>
        </w:rPr>
        <w:t>2012;3:110.</w:t>
      </w:r>
    </w:p>
    <w:p>
      <w:pPr>
        <w:pStyle w:val="11"/>
        <w:spacing w:line="480" w:lineRule="auto"/>
        <w:ind w:left="1080"/>
        <w:contextualSpacing/>
        <w:jc w:val="both"/>
        <w:rPr>
          <w:rFonts w:ascii="Times New Roman" w:hAnsi="Times New Roman"/>
        </w:rPr>
      </w:pPr>
      <w:r>
        <w:fldChar w:fldCharType="begin"/>
      </w:r>
      <w:r>
        <w:instrText xml:space="preserve"> HYPERLINK "https://doi.org/10.3389/fmicb.2012.00110" </w:instrText>
      </w:r>
      <w:r>
        <w:fldChar w:fldCharType="separate"/>
      </w:r>
      <w:r>
        <w:rPr>
          <w:rStyle w:val="10"/>
        </w:rPr>
        <w:t>https://doi.org/10.3389/fmicb.2012.00110</w:t>
      </w:r>
      <w:r>
        <w:rPr>
          <w:rStyle w:val="10"/>
        </w:rPr>
        <w:fldChar w:fldCharType="end"/>
      </w:r>
    </w:p>
    <w:p>
      <w:pPr>
        <w:spacing w:beforeAutospacing="1" w:line="480" w:lineRule="auto"/>
        <w:ind w:left="720"/>
        <w:jc w:val="both"/>
        <w:rPr>
          <w:rFonts w:ascii="Times New Roman" w:hAnsi="Times New Roman" w:eastAsia="Calibri" w:cs="Times New Roman"/>
          <w:sz w:val="24"/>
          <w:szCs w:val="24"/>
        </w:rPr>
      </w:pPr>
      <w:r>
        <w:rPr>
          <w:rFonts w:ascii="Times New Roman" w:hAnsi="Times New Roman" w:eastAsia="Calibri" w:cs="Times New Roman"/>
          <w:sz w:val="24"/>
          <w:szCs w:val="24"/>
          <w:lang w:eastAsia="zh-CN"/>
        </w:rPr>
        <w:t xml:space="preserve">40  Lohani B, Thapa M, Sharma L, Adhikari H, Sah AK, Khanal AB, Basnet RB, Aryal M. Predominance of CTX-M Type Extended Spectrum  β lactamase (ESBL) Producers Among Clinical Isolates of </w:t>
      </w:r>
      <w:r>
        <w:rPr>
          <w:rFonts w:ascii="Times New Roman" w:hAnsi="Times New Roman" w:eastAsia="Calibri" w:cs="Times New Roman"/>
          <w:i/>
          <w:iCs/>
          <w:sz w:val="24"/>
          <w:szCs w:val="24"/>
          <w:lang w:eastAsia="zh-CN"/>
        </w:rPr>
        <w:t>Enterobacteriaceae</w:t>
      </w:r>
      <w:r>
        <w:rPr>
          <w:rFonts w:ascii="Times New Roman" w:hAnsi="Times New Roman" w:eastAsia="Calibri" w:cs="Times New Roman"/>
          <w:sz w:val="24"/>
          <w:szCs w:val="24"/>
          <w:lang w:eastAsia="zh-CN"/>
        </w:rPr>
        <w:t xml:space="preserve"> in a Tertiary Care Hospital, Kathmandu, Nepal. </w:t>
      </w:r>
      <w:r>
        <w:rPr>
          <w:rFonts w:ascii="Times New Roman" w:hAnsi="Times New Roman" w:eastAsia="Calibri" w:cs="Times New Roman"/>
          <w:iCs/>
          <w:sz w:val="24"/>
          <w:szCs w:val="24"/>
          <w:lang w:eastAsia="zh-CN"/>
        </w:rPr>
        <w:t xml:space="preserve">The OpenMicrobiology Journal. </w:t>
      </w:r>
      <w:r>
        <w:rPr>
          <w:rFonts w:ascii="Times New Roman" w:hAnsi="Times New Roman" w:eastAsia="Calibri" w:cs="Times New Roman"/>
          <w:sz w:val="24"/>
          <w:szCs w:val="24"/>
          <w:lang w:eastAsia="zh-CN"/>
        </w:rPr>
        <w:t>2019; 13:28-33.</w:t>
      </w:r>
    </w:p>
    <w:p>
      <w:pPr>
        <w:pStyle w:val="11"/>
        <w:spacing w:line="480" w:lineRule="auto"/>
        <w:ind w:firstLine="720" w:firstLineChars="300"/>
        <w:contextualSpacing/>
        <w:jc w:val="both"/>
        <w:rPr>
          <w:rFonts w:ascii="Times New Roman" w:hAnsi="Times New Roman"/>
        </w:rPr>
      </w:pPr>
      <w:r>
        <w:fldChar w:fldCharType="begin"/>
      </w:r>
      <w:r>
        <w:instrText xml:space="preserve"> HYPERLINK "http://dx.doi.org/10.2174/1874285801913010028" </w:instrText>
      </w:r>
      <w:r>
        <w:fldChar w:fldCharType="separate"/>
      </w:r>
      <w:r>
        <w:rPr>
          <w:rStyle w:val="10"/>
        </w:rPr>
        <w:t>http://dx.doi.org/10.2174/1874285801913010028</w:t>
      </w:r>
      <w:r>
        <w:rPr>
          <w:rStyle w:val="10"/>
        </w:rPr>
        <w:fldChar w:fldCharType="end"/>
      </w:r>
    </w:p>
    <w:p>
      <w:pPr>
        <w:pStyle w:val="11"/>
        <w:numPr>
          <w:ilvl w:val="0"/>
          <w:numId w:val="6"/>
        </w:numPr>
        <w:spacing w:line="480" w:lineRule="auto"/>
        <w:contextualSpacing/>
        <w:jc w:val="both"/>
        <w:rPr>
          <w:rFonts w:ascii="Times New Roman" w:hAnsi="Times New Roman"/>
        </w:rPr>
      </w:pPr>
      <w:r>
        <w:rPr>
          <w:rFonts w:ascii="Times New Roman" w:hAnsi="Times New Roman"/>
        </w:rPr>
        <w:t>Parajuli NP,</w:t>
      </w:r>
      <w:r>
        <w:rPr>
          <w:rFonts w:hint="default" w:ascii="Times New Roman" w:hAnsi="Times New Roman"/>
          <w:lang w:val="en-US"/>
        </w:rPr>
        <w:t xml:space="preserve"> </w:t>
      </w:r>
      <w:r>
        <w:rPr>
          <w:rFonts w:ascii="Times New Roman" w:hAnsi="Times New Roman"/>
        </w:rPr>
        <w:t>Maharjan P,</w:t>
      </w:r>
      <w:r>
        <w:rPr>
          <w:rFonts w:hint="default" w:ascii="Times New Roman" w:hAnsi="Times New Roman"/>
          <w:lang w:val="en-US"/>
        </w:rPr>
        <w:t xml:space="preserve"> </w:t>
      </w:r>
      <w:r>
        <w:rPr>
          <w:rFonts w:ascii="Times New Roman" w:hAnsi="Times New Roman"/>
        </w:rPr>
        <w:t>Joshi G, Khanal PR.</w:t>
      </w:r>
      <w:r>
        <w:rPr>
          <w:rFonts w:hint="default" w:ascii="Times New Roman" w:hAnsi="Times New Roman"/>
          <w:lang w:val="en-US"/>
        </w:rPr>
        <w:t xml:space="preserve"> </w:t>
      </w:r>
      <w:r>
        <w:rPr>
          <w:rFonts w:ascii="Times New Roman" w:hAnsi="Times New Roman"/>
        </w:rPr>
        <w:t xml:space="preserve">Emerging Perils of Extended Spectrum β-Lactamase Producing Enterobacteriaceae Clinical Isolates in a Teaching Hospital of Nepal. </w:t>
      </w:r>
      <w:r>
        <w:rPr>
          <w:rFonts w:ascii="Times New Roman" w:hAnsi="Times New Roman"/>
          <w:iCs/>
        </w:rPr>
        <w:t>Biomed Research  International</w:t>
      </w:r>
      <w:r>
        <w:rPr>
          <w:rFonts w:ascii="Times New Roman" w:hAnsi="Times New Roman"/>
        </w:rPr>
        <w:t>.2016;7.</w:t>
      </w:r>
    </w:p>
    <w:p>
      <w:pPr>
        <w:pStyle w:val="11"/>
        <w:spacing w:line="480" w:lineRule="auto"/>
        <w:ind w:firstLine="720"/>
        <w:jc w:val="both"/>
        <w:rPr>
          <w:rFonts w:ascii="Times New Roman" w:hAnsi="Times New Roman"/>
        </w:rPr>
      </w:pPr>
      <w:r>
        <w:fldChar w:fldCharType="begin"/>
      </w:r>
      <w:r>
        <w:instrText xml:space="preserve"> HYPERLINK "http://dx.doi.org/10.1155/2016/1782835" </w:instrText>
      </w:r>
      <w:r>
        <w:fldChar w:fldCharType="separate"/>
      </w:r>
      <w:r>
        <w:rPr>
          <w:rStyle w:val="10"/>
        </w:rPr>
        <w:t>http://dx.doi.org/10.1155/2016/1782835</w:t>
      </w:r>
      <w:r>
        <w:rPr>
          <w:rStyle w:val="10"/>
        </w:rPr>
        <w:fldChar w:fldCharType="end"/>
      </w:r>
    </w:p>
    <w:p>
      <w:pPr>
        <w:pStyle w:val="11"/>
        <w:spacing w:line="480" w:lineRule="auto"/>
        <w:ind w:firstLine="720"/>
        <w:jc w:val="both"/>
        <w:rPr>
          <w:rFonts w:ascii="Times New Roman" w:hAnsi="Times New Roman"/>
        </w:rPr>
      </w:pPr>
      <w:r>
        <w:rPr>
          <w:rFonts w:ascii="Times New Roman" w:hAnsi="Times New Roman"/>
        </w:rPr>
        <w:t>42 Al-Agamy</w:t>
      </w:r>
      <w:r>
        <w:rPr>
          <w:rFonts w:hint="default" w:ascii="Times New Roman" w:hAnsi="Times New Roman"/>
          <w:lang w:val="en-US"/>
        </w:rPr>
        <w:t xml:space="preserve"> </w:t>
      </w:r>
      <w:r>
        <w:rPr>
          <w:rFonts w:ascii="Times New Roman" w:hAnsi="Times New Roman"/>
        </w:rPr>
        <w:t>HM,</w:t>
      </w:r>
      <w:r>
        <w:rPr>
          <w:rFonts w:hint="default" w:ascii="Times New Roman" w:hAnsi="Times New Roman"/>
          <w:lang w:val="en-US"/>
        </w:rPr>
        <w:t xml:space="preserve"> </w:t>
      </w:r>
      <w:r>
        <w:rPr>
          <w:rFonts w:ascii="Times New Roman" w:hAnsi="Times New Roman"/>
        </w:rPr>
        <w:t xml:space="preserve">Shibl AM, Tawfik AF. Prevalence and molecular characterization of </w:t>
      </w:r>
      <w:r>
        <w:rPr>
          <w:rFonts w:ascii="Times New Roman" w:hAnsi="Times New Roman"/>
        </w:rPr>
        <w:tab/>
      </w:r>
      <w:r>
        <w:rPr>
          <w:rFonts w:ascii="Times New Roman" w:hAnsi="Times New Roman"/>
        </w:rPr>
        <w:t xml:space="preserve">extended-spectrum β-lactamase-producing </w:t>
      </w:r>
      <w:r>
        <w:rPr>
          <w:rFonts w:ascii="Times New Roman" w:hAnsi="Times New Roman"/>
          <w:i/>
        </w:rPr>
        <w:t>Klebsiellapneumoniae</w:t>
      </w:r>
      <w:r>
        <w:rPr>
          <w:rFonts w:ascii="Times New Roman" w:hAnsi="Times New Roman"/>
        </w:rPr>
        <w:t xml:space="preserve"> in Riyadh,Saudi   </w:t>
      </w:r>
      <w:r>
        <w:rPr>
          <w:rFonts w:ascii="Times New Roman" w:hAnsi="Times New Roman"/>
        </w:rPr>
        <w:tab/>
      </w:r>
      <w:r>
        <w:rPr>
          <w:rFonts w:ascii="Times New Roman" w:hAnsi="Times New Roman"/>
        </w:rPr>
        <w:t>Arabia.</w:t>
      </w:r>
      <w:r>
        <w:rPr>
          <w:rFonts w:ascii="Times New Roman" w:hAnsi="Times New Roman"/>
          <w:iCs/>
        </w:rPr>
        <w:t>Annals of Saudi Medicine.</w:t>
      </w:r>
      <w:r>
        <w:rPr>
          <w:rFonts w:ascii="Times New Roman" w:hAnsi="Times New Roman"/>
        </w:rPr>
        <w:t>2009;29 (4):253.</w:t>
      </w:r>
    </w:p>
    <w:p>
      <w:pPr>
        <w:pStyle w:val="11"/>
        <w:spacing w:line="480" w:lineRule="auto"/>
        <w:ind w:firstLine="720"/>
        <w:jc w:val="both"/>
        <w:rPr>
          <w:rFonts w:ascii="Times New Roman" w:hAnsi="Times New Roman"/>
        </w:rPr>
      </w:pPr>
      <w:r>
        <w:rPr>
          <w:rFonts w:ascii="Times New Roman" w:hAnsi="Times New Roman"/>
        </w:rPr>
        <w:t>https://doi.org/10.4103/0256-4947.55306</w:t>
      </w:r>
    </w:p>
    <w:p>
      <w:pPr>
        <w:spacing w:beforeAutospacing="1" w:line="480" w:lineRule="auto"/>
        <w:ind w:left="720"/>
        <w:jc w:val="both"/>
        <w:rPr>
          <w:rFonts w:ascii="Times New Roman" w:hAnsi="Times New Roman" w:eastAsia="Calibri" w:cs="Times New Roman"/>
          <w:sz w:val="24"/>
          <w:szCs w:val="24"/>
        </w:rPr>
      </w:pPr>
      <w:r>
        <w:rPr>
          <w:rFonts w:ascii="Times New Roman" w:hAnsi="Times New Roman" w:eastAsia="Calibri" w:cs="Times New Roman"/>
          <w:sz w:val="24"/>
          <w:szCs w:val="24"/>
          <w:lang w:eastAsia="zh-CN"/>
        </w:rPr>
        <w:t xml:space="preserve">43 Polse RF, Yousif SY, Assafi MS. Prevalence and molecular characterization of extended spectrum β-lactamases producing uropathogenic </w:t>
      </w:r>
      <w:r>
        <w:rPr>
          <w:rFonts w:ascii="Times New Roman" w:hAnsi="Times New Roman" w:eastAsia="Calibri" w:cs="Times New Roman"/>
          <w:i/>
          <w:sz w:val="24"/>
          <w:szCs w:val="24"/>
          <w:lang w:eastAsia="zh-CN"/>
        </w:rPr>
        <w:t>Escherichia coli</w:t>
      </w:r>
      <w:r>
        <w:rPr>
          <w:rFonts w:ascii="Times New Roman" w:hAnsi="Times New Roman" w:eastAsia="Calibri" w:cs="Times New Roman"/>
          <w:sz w:val="24"/>
          <w:szCs w:val="24"/>
          <w:lang w:eastAsia="zh-CN"/>
        </w:rPr>
        <w:t xml:space="preserve"> isolated in  Zakho, Iraq. </w:t>
      </w:r>
      <w:r>
        <w:rPr>
          <w:rFonts w:ascii="Times New Roman" w:hAnsi="Times New Roman" w:eastAsia="Calibri" w:cs="Times New Roman"/>
          <w:iCs/>
          <w:sz w:val="24"/>
          <w:szCs w:val="24"/>
          <w:lang w:eastAsia="zh-CN"/>
        </w:rPr>
        <w:t xml:space="preserve">J </w:t>
      </w:r>
      <w:r>
        <w:rPr>
          <w:rFonts w:ascii="Times New Roman" w:hAnsi="Times New Roman" w:eastAsia="Calibri" w:cs="Times New Roman"/>
          <w:iCs/>
          <w:sz w:val="24"/>
          <w:szCs w:val="24"/>
          <w:lang w:eastAsia="zh-CN"/>
        </w:rPr>
        <w:tab/>
      </w:r>
      <w:r>
        <w:rPr>
          <w:rFonts w:ascii="Times New Roman" w:hAnsi="Times New Roman" w:eastAsia="Calibri" w:cs="Times New Roman"/>
          <w:iCs/>
          <w:sz w:val="24"/>
          <w:szCs w:val="24"/>
          <w:lang w:eastAsia="zh-CN"/>
        </w:rPr>
        <w:t>Microbiol Infect   Dis</w:t>
      </w:r>
      <w:r>
        <w:rPr>
          <w:rFonts w:ascii="Times New Roman" w:hAnsi="Times New Roman" w:eastAsia="Calibri" w:cs="Times New Roman"/>
          <w:sz w:val="24"/>
          <w:szCs w:val="24"/>
          <w:lang w:eastAsia="zh-CN"/>
        </w:rPr>
        <w:t>. 2016; 6(4):163-167.</w:t>
      </w:r>
    </w:p>
    <w:p>
      <w:pPr>
        <w:spacing w:beforeAutospacing="1" w:line="480" w:lineRule="auto"/>
        <w:ind w:firstLine="770" w:firstLineChars="350"/>
        <w:jc w:val="both"/>
        <w:rPr>
          <w:rFonts w:eastAsia="Calibri"/>
        </w:rPr>
      </w:pPr>
      <w:r>
        <w:fldChar w:fldCharType="begin"/>
      </w:r>
      <w:r>
        <w:instrText xml:space="preserve"> HYPERLINK "https://doi.org/10.5799/jmid.328863" </w:instrText>
      </w:r>
      <w:r>
        <w:fldChar w:fldCharType="separate"/>
      </w:r>
      <w:r>
        <w:rPr>
          <w:rStyle w:val="10"/>
          <w:rFonts w:eastAsia="Helvetica"/>
          <w:color w:val="007398"/>
          <w:sz w:val="24"/>
          <w:szCs w:val="24"/>
          <w:shd w:val="clear" w:color="auto" w:fill="FFFFFF"/>
        </w:rPr>
        <w:t>https://doi.org/10.5799/jmid.328863</w:t>
      </w:r>
      <w:r>
        <w:rPr>
          <w:rStyle w:val="10"/>
          <w:rFonts w:eastAsia="Helvetica"/>
          <w:color w:val="007398"/>
          <w:sz w:val="24"/>
          <w:szCs w:val="24"/>
          <w:shd w:val="clear" w:color="auto" w:fill="FFFFFF"/>
        </w:rPr>
        <w:fldChar w:fldCharType="end"/>
      </w:r>
    </w:p>
    <w:p>
      <w:pPr>
        <w:spacing w:beforeAutospacing="1" w:line="480" w:lineRule="auto"/>
        <w:ind w:left="720"/>
        <w:jc w:val="both"/>
        <w:rPr>
          <w:rFonts w:eastAsia="Arial"/>
          <w:color w:val="333333"/>
          <w:shd w:val="clear" w:color="auto" w:fill="FFFFFF"/>
        </w:rPr>
      </w:pPr>
      <w:r>
        <w:rPr>
          <w:rFonts w:ascii="Times New Roman" w:hAnsi="Times New Roman" w:eastAsia="Arial" w:cs="Times New Roman"/>
          <w:color w:val="333333"/>
          <w:sz w:val="24"/>
          <w:szCs w:val="24"/>
          <w:shd w:val="clear" w:color="auto" w:fill="FFFFFF"/>
          <w:lang w:eastAsia="zh-CN"/>
        </w:rPr>
        <w:t xml:space="preserve">44 Adekanmbi AO, Akinpelu MO, Olaposi AV, Oyelade AA. Extended spectrum beta-lactamase encoding gene-fingerprints in multidrug resistant </w:t>
      </w:r>
      <w:r>
        <w:rPr>
          <w:rFonts w:ascii="Times New Roman" w:hAnsi="Times New Roman" w:eastAsia="Arial" w:cs="Times New Roman"/>
          <w:i/>
          <w:iCs/>
          <w:color w:val="333333"/>
          <w:sz w:val="24"/>
          <w:szCs w:val="24"/>
          <w:shd w:val="clear" w:color="auto" w:fill="FFFFFF"/>
          <w:lang w:eastAsia="zh-CN"/>
        </w:rPr>
        <w:t>Escherichia coli</w:t>
      </w:r>
      <w:r>
        <w:rPr>
          <w:rFonts w:ascii="Times New Roman" w:hAnsi="Times New Roman" w:eastAsia="Arial" w:cs="Times New Roman"/>
          <w:color w:val="333333"/>
          <w:sz w:val="24"/>
          <w:szCs w:val="24"/>
          <w:shd w:val="clear" w:color="auto" w:fill="FFFFFF"/>
          <w:lang w:eastAsia="zh-CN"/>
        </w:rPr>
        <w:t xml:space="preserve"> isolated from wastewater and sludge of a hospital treatment plant in Nigeria. International Journal of Environmental Studies.2021;78(1):140-150,</w:t>
      </w:r>
    </w:p>
    <w:p>
      <w:pPr>
        <w:spacing w:beforeAutospacing="1" w:line="480" w:lineRule="auto"/>
        <w:rPr>
          <w:rFonts w:ascii="Times New Roman" w:hAnsi="Times New Roman" w:eastAsia="Calibri" w:cs="Times New Roman"/>
          <w:bCs/>
          <w:sz w:val="24"/>
          <w:szCs w:val="24"/>
          <w:vertAlign w:val="superscript"/>
        </w:rPr>
      </w:pPr>
      <w:r>
        <w:rPr>
          <w:rFonts w:ascii="Times New Roman" w:hAnsi="Times New Roman" w:eastAsia="Arial" w:cs="Times New Roman"/>
          <w:color w:val="333333"/>
          <w:sz w:val="24"/>
          <w:szCs w:val="24"/>
          <w:shd w:val="clear" w:color="auto" w:fill="FFFFFF"/>
          <w:lang w:eastAsia="zh-CN"/>
        </w:rPr>
        <w:tab/>
      </w:r>
      <w:r>
        <w:fldChar w:fldCharType="begin"/>
      </w:r>
      <w:r>
        <w:instrText xml:space="preserve"> HYPERLINK "https://doi.org/10.1080/00207233.2020.1778271" </w:instrText>
      </w:r>
      <w:r>
        <w:fldChar w:fldCharType="separate"/>
      </w:r>
      <w:r>
        <w:rPr>
          <w:rStyle w:val="10"/>
          <w:rFonts w:eastAsia="Arial"/>
          <w:sz w:val="24"/>
          <w:szCs w:val="24"/>
          <w:shd w:val="clear" w:color="auto" w:fill="FFFFFF"/>
        </w:rPr>
        <w:t>https://doi.org/10.1080/00207233.2020.1778271</w:t>
      </w:r>
      <w:r>
        <w:rPr>
          <w:rStyle w:val="10"/>
          <w:rFonts w:eastAsia="Arial"/>
          <w:sz w:val="24"/>
          <w:szCs w:val="24"/>
          <w:shd w:val="clear" w:color="auto" w:fill="FFFFFF"/>
        </w:rPr>
        <w:fldChar w:fldCharType="end"/>
      </w:r>
    </w:p>
    <w:p>
      <w:pPr>
        <w:spacing w:beforeAutospacing="1" w:line="254" w:lineRule="auto"/>
      </w:pPr>
    </w:p>
    <w:p>
      <w:pPr>
        <w:spacing w:line="48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sz w:val="24"/>
          <w:szCs w:val="24"/>
        </w:rPr>
      </w:pPr>
    </w:p>
    <w:p>
      <w:pPr>
        <w:spacing w:line="240" w:lineRule="auto"/>
        <w:jc w:val="both"/>
        <w:rPr>
          <w:rFonts w:ascii="Times New Roman" w:hAnsi="Times New Roman" w:eastAsia="Calibri" w:cs="Mangal"/>
          <w:b/>
          <w:bCs/>
          <w:sz w:val="24"/>
          <w:szCs w:val="24"/>
          <w:vertAlign w:val="superscript"/>
        </w:rPr>
      </w:pPr>
    </w:p>
    <w:p>
      <w:pPr>
        <w:spacing w:line="240" w:lineRule="auto"/>
        <w:jc w:val="both"/>
        <w:rPr>
          <w:rFonts w:ascii="Times New Roman" w:hAnsi="Times New Roman"/>
          <w:sz w:val="24"/>
          <w:szCs w:val="24"/>
          <w:vertAlign w:val="superscript"/>
        </w:rPr>
      </w:pPr>
    </w:p>
    <w:p>
      <w:pPr>
        <w:spacing w:line="240" w:lineRule="auto"/>
        <w:jc w:val="both"/>
        <w:rPr>
          <w:rFonts w:ascii="Times New Roman" w:hAnsi="Times New Roman"/>
          <w:b/>
          <w:bCs/>
          <w:sz w:val="24"/>
          <w:szCs w:val="24"/>
          <w:vertAlign w:val="superscript"/>
        </w:rPr>
      </w:pPr>
    </w:p>
    <w:p>
      <w:pPr>
        <w:tabs>
          <w:tab w:val="left" w:pos="1491"/>
        </w:tabs>
        <w:spacing w:line="240" w:lineRule="auto"/>
        <w:rPr>
          <w:rFonts w:ascii="Times New Roman" w:hAnsi="Times New Roman" w:cs="Times New Roman"/>
          <w:bCs/>
          <w:sz w:val="24"/>
          <w:szCs w:val="24"/>
        </w:rPr>
      </w:pPr>
    </w:p>
    <w:p>
      <w:pPr>
        <w:tabs>
          <w:tab w:val="left" w:pos="1508"/>
        </w:tabs>
        <w:spacing w:line="240" w:lineRule="auto"/>
        <w:jc w:val="both"/>
        <w:rPr>
          <w:rFonts w:ascii="Times New Roman" w:hAnsi="Times New Roman" w:cs="Times New Roman"/>
          <w:b/>
          <w:sz w:val="24"/>
          <w:szCs w:val="24"/>
        </w:rPr>
      </w:pPr>
    </w:p>
    <w:p>
      <w:pPr>
        <w:tabs>
          <w:tab w:val="center" w:pos="4680"/>
        </w:tabs>
        <w:spacing w:line="240" w:lineRule="auto"/>
        <w:jc w:val="both"/>
        <w:rPr>
          <w:rFonts w:ascii="Times New Roman" w:hAnsi="Times New Roman" w:cs="Times New Roman"/>
          <w:sz w:val="24"/>
          <w:szCs w:val="24"/>
        </w:rPr>
      </w:pPr>
    </w:p>
    <w:p>
      <w:pPr>
        <w:tabs>
          <w:tab w:val="center" w:pos="4680"/>
        </w:tabs>
        <w:spacing w:line="600" w:lineRule="auto"/>
        <w:jc w:val="both"/>
        <w:rPr>
          <w:rFonts w:ascii="Times New Roman" w:hAnsi="Times New Roman" w:cs="Times New Roman"/>
          <w:b/>
          <w:sz w:val="24"/>
          <w:szCs w:val="24"/>
        </w:rPr>
      </w:pPr>
    </w:p>
    <w:p>
      <w:pPr>
        <w:tabs>
          <w:tab w:val="center" w:pos="4680"/>
        </w:tabs>
        <w:spacing w:line="600" w:lineRule="auto"/>
        <w:jc w:val="both"/>
        <w:rPr>
          <w:rFonts w:ascii="Times New Roman" w:hAnsi="Times New Roman" w:cs="Times New Roman"/>
          <w:b/>
          <w:color w:val="FF0000"/>
          <w:sz w:val="24"/>
          <w:szCs w:val="24"/>
        </w:rPr>
      </w:pPr>
      <w:r>
        <w:rPr>
          <w:rFonts w:ascii="Times New Roman" w:hAnsi="Times New Roman" w:cs="Times New Roman"/>
          <w:color w:val="FF0000"/>
          <w:sz w:val="24"/>
          <w:szCs w:val="24"/>
          <w:vertAlign w:val="superscript"/>
        </w:rPr>
        <w:br w:type="column"/>
      </w:r>
    </w:p>
    <w:p>
      <w:pPr>
        <w:tabs>
          <w:tab w:val="left" w:pos="1474"/>
        </w:tabs>
        <w:spacing w:line="60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ab/>
      </w:r>
    </w:p>
    <w:p>
      <w:pPr>
        <w:tabs>
          <w:tab w:val="center" w:pos="4680"/>
        </w:tabs>
        <w:spacing w:line="600" w:lineRule="auto"/>
        <w:jc w:val="both"/>
        <w:rPr>
          <w:rFonts w:ascii="Times New Roman" w:hAnsi="Times New Roman" w:cs="Times New Roman"/>
          <w:color w:val="FF0000"/>
          <w:sz w:val="24"/>
          <w:szCs w:val="24"/>
        </w:rPr>
      </w:pPr>
    </w:p>
    <w:p>
      <w:pPr>
        <w:tabs>
          <w:tab w:val="center" w:pos="4680"/>
        </w:tabs>
        <w:spacing w:line="600" w:lineRule="auto"/>
        <w:jc w:val="both"/>
        <w:rPr>
          <w:rFonts w:ascii="Times New Roman" w:hAnsi="Times New Roman" w:eastAsia="Times New Roman" w:cs="Times New Roman"/>
          <w:b/>
          <w:sz w:val="24"/>
          <w:szCs w:val="24"/>
        </w:rPr>
      </w:pPr>
    </w:p>
    <w:p>
      <w:pPr>
        <w:tabs>
          <w:tab w:val="center" w:pos="4680"/>
        </w:tabs>
        <w:spacing w:line="60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ab/>
      </w:r>
    </w:p>
    <w:p>
      <w:pPr>
        <w:spacing w:line="600" w:lineRule="auto"/>
        <w:jc w:val="both"/>
        <w:rPr>
          <w:rFonts w:ascii="Times New Roman" w:hAnsi="Times New Roman" w:eastAsia="Times New Roman" w:cs="Times New Roman"/>
          <w:b/>
          <w:sz w:val="24"/>
          <w:szCs w:val="24"/>
        </w:rPr>
      </w:pPr>
    </w:p>
    <w:p>
      <w:pPr>
        <w:spacing w:line="600" w:lineRule="auto"/>
        <w:jc w:val="both"/>
        <w:rPr>
          <w:rFonts w:ascii="Times New Roman" w:hAnsi="Times New Roman" w:cs="Times New Roman"/>
          <w:sz w:val="24"/>
          <w:szCs w:val="24"/>
        </w:rPr>
      </w:pPr>
    </w:p>
    <w:p>
      <w:pPr>
        <w:spacing w:before="80" w:after="80" w:line="600" w:lineRule="auto"/>
        <w:jc w:val="both"/>
        <w:rPr>
          <w:rFonts w:ascii="Times New Roman" w:hAnsi="Times New Roman" w:eastAsia="Times New Roman" w:cs="Times New Roman"/>
          <w:sz w:val="24"/>
          <w:szCs w:val="24"/>
        </w:rPr>
      </w:pPr>
    </w:p>
    <w:p>
      <w:pPr>
        <w:tabs>
          <w:tab w:val="left" w:pos="3625"/>
        </w:tabs>
        <w:spacing w:line="360" w:lineRule="auto"/>
        <w:jc w:val="both"/>
        <w:rPr>
          <w:rFonts w:ascii="Times New Roman" w:hAnsi="Times New Roman" w:cs="Times New Roman"/>
          <w:b/>
          <w:sz w:val="24"/>
          <w:szCs w:val="24"/>
        </w:rPr>
      </w:pPr>
    </w:p>
    <w:sectPr>
      <w:pgSz w:w="12240" w:h="15840"/>
      <w:pgMar w:top="1440" w:right="1440" w:bottom="1440" w:left="1440"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Georgia">
    <w:panose1 w:val="02040502050405020303"/>
    <w:charset w:val="00"/>
    <w:family w:val="roman"/>
    <w:pitch w:val="default"/>
    <w:sig w:usb0="00000287" w:usb1="00000000" w:usb2="00000000" w:usb3="00000000" w:csb0="2000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angal">
    <w:altName w:val="Segoe Print"/>
    <w:panose1 w:val="00000400000000000000"/>
    <w:charset w:val="01"/>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D802EA"/>
    <w:multiLevelType w:val="singleLevel"/>
    <w:tmpl w:val="DDD802EA"/>
    <w:lvl w:ilvl="0" w:tentative="0">
      <w:start w:val="1"/>
      <w:numFmt w:val="decimal"/>
      <w:lvlText w:val="%1."/>
      <w:lvlJc w:val="left"/>
      <w:pPr>
        <w:tabs>
          <w:tab w:val="left" w:pos="312"/>
        </w:tabs>
      </w:pPr>
    </w:lvl>
  </w:abstractNum>
  <w:abstractNum w:abstractNumId="1">
    <w:nsid w:val="0336A8C9"/>
    <w:multiLevelType w:val="multilevel"/>
    <w:tmpl w:val="0336A8C9"/>
    <w:lvl w:ilvl="0" w:tentative="0">
      <w:start w:val="4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05C61AD9"/>
    <w:multiLevelType w:val="multilevel"/>
    <w:tmpl w:val="05C61AD9"/>
    <w:lvl w:ilvl="0" w:tentative="0">
      <w:start w:val="13"/>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7517C79"/>
    <w:multiLevelType w:val="multilevel"/>
    <w:tmpl w:val="17517C79"/>
    <w:lvl w:ilvl="0" w:tentative="0">
      <w:start w:val="39"/>
      <w:numFmt w:val="decimal"/>
      <w:lvlText w:val="%1"/>
      <w:lvlJc w:val="left"/>
      <w:pPr>
        <w:ind w:left="1080" w:hanging="360"/>
      </w:pPr>
      <w:rPr>
        <w:rFonts w:hint="default" w:ascii="Times New Roman" w:hAnsi="Times New Roman" w:cs="Times New Roman"/>
        <w:sz w:val="24"/>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4DE87E58"/>
    <w:multiLevelType w:val="multilevel"/>
    <w:tmpl w:val="4DE87E5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705351C"/>
    <w:multiLevelType w:val="multilevel"/>
    <w:tmpl w:val="5705351C"/>
    <w:lvl w:ilvl="0" w:tentative="0">
      <w:start w:val="24"/>
      <w:numFmt w:val="decimal"/>
      <w:lvlText w:val="%1"/>
      <w:lvlJc w:val="left"/>
      <w:pPr>
        <w:ind w:left="720" w:hanging="360"/>
      </w:pPr>
      <w:rPr>
        <w:rFonts w:hint="default" w:eastAsia="SimSun"/>
        <w:color w:val="232323"/>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DEE"/>
    <w:rsid w:val="0000272E"/>
    <w:rsid w:val="000107DB"/>
    <w:rsid w:val="00031BF7"/>
    <w:rsid w:val="00032CA7"/>
    <w:rsid w:val="000544DF"/>
    <w:rsid w:val="0005490F"/>
    <w:rsid w:val="000614DF"/>
    <w:rsid w:val="0006386E"/>
    <w:rsid w:val="00071A5F"/>
    <w:rsid w:val="000A1BBF"/>
    <w:rsid w:val="000A2817"/>
    <w:rsid w:val="000A5469"/>
    <w:rsid w:val="000A6112"/>
    <w:rsid w:val="000B3647"/>
    <w:rsid w:val="000C1BD0"/>
    <w:rsid w:val="000C638B"/>
    <w:rsid w:val="000D06C6"/>
    <w:rsid w:val="000D27D1"/>
    <w:rsid w:val="000D6A4F"/>
    <w:rsid w:val="000F1F80"/>
    <w:rsid w:val="000F6710"/>
    <w:rsid w:val="000F7D1E"/>
    <w:rsid w:val="001078E8"/>
    <w:rsid w:val="00107E34"/>
    <w:rsid w:val="001144D9"/>
    <w:rsid w:val="00164747"/>
    <w:rsid w:val="001A3211"/>
    <w:rsid w:val="001B2FE8"/>
    <w:rsid w:val="001B6659"/>
    <w:rsid w:val="001B74D2"/>
    <w:rsid w:val="001C7E1E"/>
    <w:rsid w:val="001D176D"/>
    <w:rsid w:val="001E63BA"/>
    <w:rsid w:val="001F3A04"/>
    <w:rsid w:val="001F744D"/>
    <w:rsid w:val="00200006"/>
    <w:rsid w:val="00206C41"/>
    <w:rsid w:val="0020707A"/>
    <w:rsid w:val="00217A09"/>
    <w:rsid w:val="002437D0"/>
    <w:rsid w:val="00246D95"/>
    <w:rsid w:val="00252B12"/>
    <w:rsid w:val="002557FE"/>
    <w:rsid w:val="002572A2"/>
    <w:rsid w:val="002576BC"/>
    <w:rsid w:val="00261B07"/>
    <w:rsid w:val="00264885"/>
    <w:rsid w:val="0026637F"/>
    <w:rsid w:val="00266DEE"/>
    <w:rsid w:val="00285F63"/>
    <w:rsid w:val="00290616"/>
    <w:rsid w:val="00293DA2"/>
    <w:rsid w:val="002A0C56"/>
    <w:rsid w:val="002A3C93"/>
    <w:rsid w:val="002A69A0"/>
    <w:rsid w:val="002A70D1"/>
    <w:rsid w:val="002B14BD"/>
    <w:rsid w:val="002B6D9B"/>
    <w:rsid w:val="002E6779"/>
    <w:rsid w:val="002F0356"/>
    <w:rsid w:val="002F612A"/>
    <w:rsid w:val="003022F2"/>
    <w:rsid w:val="003040C2"/>
    <w:rsid w:val="003079A8"/>
    <w:rsid w:val="00310925"/>
    <w:rsid w:val="00311D86"/>
    <w:rsid w:val="00327799"/>
    <w:rsid w:val="00332A78"/>
    <w:rsid w:val="00335493"/>
    <w:rsid w:val="0033732D"/>
    <w:rsid w:val="00337BED"/>
    <w:rsid w:val="00337D85"/>
    <w:rsid w:val="0034150F"/>
    <w:rsid w:val="00344A34"/>
    <w:rsid w:val="0034604A"/>
    <w:rsid w:val="00347544"/>
    <w:rsid w:val="00361898"/>
    <w:rsid w:val="00363D11"/>
    <w:rsid w:val="003725A2"/>
    <w:rsid w:val="0037398B"/>
    <w:rsid w:val="003747C2"/>
    <w:rsid w:val="0037556D"/>
    <w:rsid w:val="00380575"/>
    <w:rsid w:val="00380BD0"/>
    <w:rsid w:val="00385E87"/>
    <w:rsid w:val="00386EBB"/>
    <w:rsid w:val="00390939"/>
    <w:rsid w:val="003A242C"/>
    <w:rsid w:val="003A404D"/>
    <w:rsid w:val="003B2F09"/>
    <w:rsid w:val="003B767E"/>
    <w:rsid w:val="003C3D72"/>
    <w:rsid w:val="003F0C4D"/>
    <w:rsid w:val="003F0F73"/>
    <w:rsid w:val="003F1E10"/>
    <w:rsid w:val="003F2483"/>
    <w:rsid w:val="003F7A4B"/>
    <w:rsid w:val="004006CF"/>
    <w:rsid w:val="00401C00"/>
    <w:rsid w:val="0040739A"/>
    <w:rsid w:val="0043131D"/>
    <w:rsid w:val="004467A6"/>
    <w:rsid w:val="00446AA5"/>
    <w:rsid w:val="00457C30"/>
    <w:rsid w:val="004603EB"/>
    <w:rsid w:val="00465C42"/>
    <w:rsid w:val="004957D2"/>
    <w:rsid w:val="00495EA0"/>
    <w:rsid w:val="004A0E3D"/>
    <w:rsid w:val="004A1CA7"/>
    <w:rsid w:val="004A608E"/>
    <w:rsid w:val="004B333E"/>
    <w:rsid w:val="004B3F9C"/>
    <w:rsid w:val="004C5A68"/>
    <w:rsid w:val="004E1F61"/>
    <w:rsid w:val="004E476B"/>
    <w:rsid w:val="004F7275"/>
    <w:rsid w:val="005037E2"/>
    <w:rsid w:val="0052144F"/>
    <w:rsid w:val="00525A2D"/>
    <w:rsid w:val="00532C0B"/>
    <w:rsid w:val="00534517"/>
    <w:rsid w:val="00543AC7"/>
    <w:rsid w:val="00545E07"/>
    <w:rsid w:val="00551690"/>
    <w:rsid w:val="00555A67"/>
    <w:rsid w:val="00557FD9"/>
    <w:rsid w:val="00566F09"/>
    <w:rsid w:val="005739B2"/>
    <w:rsid w:val="0059299B"/>
    <w:rsid w:val="005935A6"/>
    <w:rsid w:val="005B2D07"/>
    <w:rsid w:val="005D3D5F"/>
    <w:rsid w:val="005E1D92"/>
    <w:rsid w:val="0060271D"/>
    <w:rsid w:val="00605224"/>
    <w:rsid w:val="0061011D"/>
    <w:rsid w:val="0061056B"/>
    <w:rsid w:val="0062235A"/>
    <w:rsid w:val="00626876"/>
    <w:rsid w:val="00630C00"/>
    <w:rsid w:val="00630F19"/>
    <w:rsid w:val="00633B69"/>
    <w:rsid w:val="00645A5B"/>
    <w:rsid w:val="00654363"/>
    <w:rsid w:val="006619E3"/>
    <w:rsid w:val="00665A0E"/>
    <w:rsid w:val="006719DC"/>
    <w:rsid w:val="00673C72"/>
    <w:rsid w:val="00677EE2"/>
    <w:rsid w:val="006922EA"/>
    <w:rsid w:val="006925C7"/>
    <w:rsid w:val="00693CE3"/>
    <w:rsid w:val="006C4B51"/>
    <w:rsid w:val="006C62BF"/>
    <w:rsid w:val="006D0E20"/>
    <w:rsid w:val="006D1E2C"/>
    <w:rsid w:val="006E0DBF"/>
    <w:rsid w:val="006E325C"/>
    <w:rsid w:val="006E5294"/>
    <w:rsid w:val="006E644E"/>
    <w:rsid w:val="006F2DC1"/>
    <w:rsid w:val="00716BCF"/>
    <w:rsid w:val="00716EC9"/>
    <w:rsid w:val="00720B88"/>
    <w:rsid w:val="00723F89"/>
    <w:rsid w:val="00731762"/>
    <w:rsid w:val="00732228"/>
    <w:rsid w:val="00787A8A"/>
    <w:rsid w:val="007A6BD9"/>
    <w:rsid w:val="007A7091"/>
    <w:rsid w:val="007B28F8"/>
    <w:rsid w:val="007C0B46"/>
    <w:rsid w:val="007C5B08"/>
    <w:rsid w:val="007D32DE"/>
    <w:rsid w:val="007D6DE0"/>
    <w:rsid w:val="00814279"/>
    <w:rsid w:val="0082032A"/>
    <w:rsid w:val="0082131C"/>
    <w:rsid w:val="00822B23"/>
    <w:rsid w:val="00830421"/>
    <w:rsid w:val="0083653D"/>
    <w:rsid w:val="00853115"/>
    <w:rsid w:val="008576B0"/>
    <w:rsid w:val="00861FBF"/>
    <w:rsid w:val="00884B51"/>
    <w:rsid w:val="008915C0"/>
    <w:rsid w:val="008A78FB"/>
    <w:rsid w:val="008B46D8"/>
    <w:rsid w:val="008C56B7"/>
    <w:rsid w:val="008C6B63"/>
    <w:rsid w:val="008D77EA"/>
    <w:rsid w:val="008E6E1A"/>
    <w:rsid w:val="008E6E99"/>
    <w:rsid w:val="008E7B6F"/>
    <w:rsid w:val="008F17E0"/>
    <w:rsid w:val="008F509A"/>
    <w:rsid w:val="00900AE7"/>
    <w:rsid w:val="009022B5"/>
    <w:rsid w:val="00902355"/>
    <w:rsid w:val="00910AC4"/>
    <w:rsid w:val="00911F49"/>
    <w:rsid w:val="00913769"/>
    <w:rsid w:val="00913DB7"/>
    <w:rsid w:val="00916A6D"/>
    <w:rsid w:val="00921E68"/>
    <w:rsid w:val="009266F9"/>
    <w:rsid w:val="00942F24"/>
    <w:rsid w:val="009505D7"/>
    <w:rsid w:val="009549F7"/>
    <w:rsid w:val="00957ED7"/>
    <w:rsid w:val="00960491"/>
    <w:rsid w:val="00961E66"/>
    <w:rsid w:val="0097320D"/>
    <w:rsid w:val="00977C9B"/>
    <w:rsid w:val="0098235D"/>
    <w:rsid w:val="00982943"/>
    <w:rsid w:val="0099120D"/>
    <w:rsid w:val="009929E2"/>
    <w:rsid w:val="009B1340"/>
    <w:rsid w:val="009C340A"/>
    <w:rsid w:val="009C71BD"/>
    <w:rsid w:val="009D224B"/>
    <w:rsid w:val="009D3DD9"/>
    <w:rsid w:val="009F2577"/>
    <w:rsid w:val="009F5206"/>
    <w:rsid w:val="009F76D2"/>
    <w:rsid w:val="009F77E4"/>
    <w:rsid w:val="00A01975"/>
    <w:rsid w:val="00A041F4"/>
    <w:rsid w:val="00A10CAB"/>
    <w:rsid w:val="00A12EDE"/>
    <w:rsid w:val="00A203CB"/>
    <w:rsid w:val="00A30185"/>
    <w:rsid w:val="00A30F93"/>
    <w:rsid w:val="00A31A12"/>
    <w:rsid w:val="00A34431"/>
    <w:rsid w:val="00A37D5B"/>
    <w:rsid w:val="00A40C34"/>
    <w:rsid w:val="00A43816"/>
    <w:rsid w:val="00A43C24"/>
    <w:rsid w:val="00A444B2"/>
    <w:rsid w:val="00A44F5B"/>
    <w:rsid w:val="00A47CE6"/>
    <w:rsid w:val="00A55156"/>
    <w:rsid w:val="00A55361"/>
    <w:rsid w:val="00A647E6"/>
    <w:rsid w:val="00A76024"/>
    <w:rsid w:val="00A80C59"/>
    <w:rsid w:val="00A85CD1"/>
    <w:rsid w:val="00AB057B"/>
    <w:rsid w:val="00AB424B"/>
    <w:rsid w:val="00AC2112"/>
    <w:rsid w:val="00AC32B6"/>
    <w:rsid w:val="00AC33DB"/>
    <w:rsid w:val="00AC4815"/>
    <w:rsid w:val="00AC51DB"/>
    <w:rsid w:val="00AD1C89"/>
    <w:rsid w:val="00AF5B82"/>
    <w:rsid w:val="00AF6089"/>
    <w:rsid w:val="00AF64F0"/>
    <w:rsid w:val="00B42CDA"/>
    <w:rsid w:val="00B4529D"/>
    <w:rsid w:val="00B54B12"/>
    <w:rsid w:val="00B55562"/>
    <w:rsid w:val="00B56049"/>
    <w:rsid w:val="00B63148"/>
    <w:rsid w:val="00B64C2C"/>
    <w:rsid w:val="00B72DFE"/>
    <w:rsid w:val="00B82D05"/>
    <w:rsid w:val="00B84649"/>
    <w:rsid w:val="00B91E33"/>
    <w:rsid w:val="00B939F7"/>
    <w:rsid w:val="00B96769"/>
    <w:rsid w:val="00B96AA8"/>
    <w:rsid w:val="00BA23B2"/>
    <w:rsid w:val="00BA2845"/>
    <w:rsid w:val="00BA2CF3"/>
    <w:rsid w:val="00BA2D24"/>
    <w:rsid w:val="00BA4FFD"/>
    <w:rsid w:val="00BB1B17"/>
    <w:rsid w:val="00BB3391"/>
    <w:rsid w:val="00BB4941"/>
    <w:rsid w:val="00BD438F"/>
    <w:rsid w:val="00BF4658"/>
    <w:rsid w:val="00C0766D"/>
    <w:rsid w:val="00C12083"/>
    <w:rsid w:val="00C120A5"/>
    <w:rsid w:val="00C253E1"/>
    <w:rsid w:val="00C41C85"/>
    <w:rsid w:val="00C44915"/>
    <w:rsid w:val="00C47761"/>
    <w:rsid w:val="00C4795E"/>
    <w:rsid w:val="00C50F1A"/>
    <w:rsid w:val="00C563DC"/>
    <w:rsid w:val="00C61C87"/>
    <w:rsid w:val="00C61DA1"/>
    <w:rsid w:val="00C628F9"/>
    <w:rsid w:val="00C65351"/>
    <w:rsid w:val="00C716A5"/>
    <w:rsid w:val="00C7369B"/>
    <w:rsid w:val="00C76511"/>
    <w:rsid w:val="00C76E9D"/>
    <w:rsid w:val="00C8620B"/>
    <w:rsid w:val="00C8637D"/>
    <w:rsid w:val="00C944AA"/>
    <w:rsid w:val="00C94B02"/>
    <w:rsid w:val="00CA603E"/>
    <w:rsid w:val="00CB25AD"/>
    <w:rsid w:val="00CC6E1B"/>
    <w:rsid w:val="00CD24CC"/>
    <w:rsid w:val="00CD4133"/>
    <w:rsid w:val="00CE7938"/>
    <w:rsid w:val="00CF5377"/>
    <w:rsid w:val="00CF5906"/>
    <w:rsid w:val="00D02EE9"/>
    <w:rsid w:val="00D03570"/>
    <w:rsid w:val="00D109DA"/>
    <w:rsid w:val="00D2497C"/>
    <w:rsid w:val="00D35A41"/>
    <w:rsid w:val="00D46ED4"/>
    <w:rsid w:val="00D52253"/>
    <w:rsid w:val="00D858D5"/>
    <w:rsid w:val="00D90AD7"/>
    <w:rsid w:val="00D929D6"/>
    <w:rsid w:val="00D93235"/>
    <w:rsid w:val="00D94B68"/>
    <w:rsid w:val="00D94EFB"/>
    <w:rsid w:val="00D9531C"/>
    <w:rsid w:val="00DA0310"/>
    <w:rsid w:val="00DA60F2"/>
    <w:rsid w:val="00DB3907"/>
    <w:rsid w:val="00DB5285"/>
    <w:rsid w:val="00DD6EF0"/>
    <w:rsid w:val="00DF255E"/>
    <w:rsid w:val="00E01123"/>
    <w:rsid w:val="00E028FF"/>
    <w:rsid w:val="00E22A0F"/>
    <w:rsid w:val="00E300CE"/>
    <w:rsid w:val="00E31068"/>
    <w:rsid w:val="00E36F1A"/>
    <w:rsid w:val="00E42B18"/>
    <w:rsid w:val="00E4632D"/>
    <w:rsid w:val="00E60853"/>
    <w:rsid w:val="00E66E5B"/>
    <w:rsid w:val="00E67013"/>
    <w:rsid w:val="00E70507"/>
    <w:rsid w:val="00E809E0"/>
    <w:rsid w:val="00E850DE"/>
    <w:rsid w:val="00E852CC"/>
    <w:rsid w:val="00E9658B"/>
    <w:rsid w:val="00EC6978"/>
    <w:rsid w:val="00ED48B4"/>
    <w:rsid w:val="00ED68ED"/>
    <w:rsid w:val="00EE59D5"/>
    <w:rsid w:val="00EF0312"/>
    <w:rsid w:val="00EF540B"/>
    <w:rsid w:val="00F0522D"/>
    <w:rsid w:val="00F06462"/>
    <w:rsid w:val="00F12453"/>
    <w:rsid w:val="00F1287F"/>
    <w:rsid w:val="00F12F11"/>
    <w:rsid w:val="00F17091"/>
    <w:rsid w:val="00F23C5B"/>
    <w:rsid w:val="00F27BCB"/>
    <w:rsid w:val="00F32D84"/>
    <w:rsid w:val="00F35386"/>
    <w:rsid w:val="00F37C9C"/>
    <w:rsid w:val="00F40F53"/>
    <w:rsid w:val="00F51A6D"/>
    <w:rsid w:val="00F52BD2"/>
    <w:rsid w:val="00F542CF"/>
    <w:rsid w:val="00F548D3"/>
    <w:rsid w:val="00F77B89"/>
    <w:rsid w:val="00F80724"/>
    <w:rsid w:val="00F8119E"/>
    <w:rsid w:val="00F86DA6"/>
    <w:rsid w:val="00F87CCF"/>
    <w:rsid w:val="00F95A17"/>
    <w:rsid w:val="00F97EC9"/>
    <w:rsid w:val="00FB71C2"/>
    <w:rsid w:val="00FD5742"/>
    <w:rsid w:val="00FD7BB6"/>
    <w:rsid w:val="00FD7E1C"/>
    <w:rsid w:val="01B2260B"/>
    <w:rsid w:val="01C32608"/>
    <w:rsid w:val="02773F9C"/>
    <w:rsid w:val="02A66FF9"/>
    <w:rsid w:val="02E823AC"/>
    <w:rsid w:val="03A567E6"/>
    <w:rsid w:val="042C591E"/>
    <w:rsid w:val="0496080F"/>
    <w:rsid w:val="04A14ECC"/>
    <w:rsid w:val="056749E0"/>
    <w:rsid w:val="057617B3"/>
    <w:rsid w:val="057D7090"/>
    <w:rsid w:val="05CC2E9A"/>
    <w:rsid w:val="061B4A81"/>
    <w:rsid w:val="064B0DF5"/>
    <w:rsid w:val="065724FD"/>
    <w:rsid w:val="067D6104"/>
    <w:rsid w:val="0737696A"/>
    <w:rsid w:val="07AB1477"/>
    <w:rsid w:val="087928F3"/>
    <w:rsid w:val="08BC1ADD"/>
    <w:rsid w:val="097A6637"/>
    <w:rsid w:val="09A86D3D"/>
    <w:rsid w:val="09AB29AA"/>
    <w:rsid w:val="0B717D60"/>
    <w:rsid w:val="0BA961C9"/>
    <w:rsid w:val="0C087665"/>
    <w:rsid w:val="0C8D7600"/>
    <w:rsid w:val="0D306A6A"/>
    <w:rsid w:val="0DB07999"/>
    <w:rsid w:val="0DDC5E4D"/>
    <w:rsid w:val="0E763EE3"/>
    <w:rsid w:val="0E89337B"/>
    <w:rsid w:val="0F315302"/>
    <w:rsid w:val="0FC2549F"/>
    <w:rsid w:val="105C3CF9"/>
    <w:rsid w:val="11597F19"/>
    <w:rsid w:val="11945FC8"/>
    <w:rsid w:val="11D15F6F"/>
    <w:rsid w:val="121A2C30"/>
    <w:rsid w:val="12354EBF"/>
    <w:rsid w:val="12632C33"/>
    <w:rsid w:val="12867726"/>
    <w:rsid w:val="132A71F9"/>
    <w:rsid w:val="151B6610"/>
    <w:rsid w:val="15594798"/>
    <w:rsid w:val="15D346A7"/>
    <w:rsid w:val="16B7002E"/>
    <w:rsid w:val="17277968"/>
    <w:rsid w:val="186C41F8"/>
    <w:rsid w:val="18F035BA"/>
    <w:rsid w:val="19A810D5"/>
    <w:rsid w:val="1A40103A"/>
    <w:rsid w:val="1A5B0BC4"/>
    <w:rsid w:val="1A616EE8"/>
    <w:rsid w:val="1ACC5380"/>
    <w:rsid w:val="1ADE4291"/>
    <w:rsid w:val="1BA52278"/>
    <w:rsid w:val="1CD0714D"/>
    <w:rsid w:val="1D0A1C76"/>
    <w:rsid w:val="1D2A5750"/>
    <w:rsid w:val="1D5939F2"/>
    <w:rsid w:val="1E1079AA"/>
    <w:rsid w:val="1E703160"/>
    <w:rsid w:val="1EA01F8B"/>
    <w:rsid w:val="1EC31DFC"/>
    <w:rsid w:val="1FA41D6A"/>
    <w:rsid w:val="1FA77251"/>
    <w:rsid w:val="1FC253E7"/>
    <w:rsid w:val="201B7082"/>
    <w:rsid w:val="20342F34"/>
    <w:rsid w:val="206F53E7"/>
    <w:rsid w:val="207413CC"/>
    <w:rsid w:val="20B160B2"/>
    <w:rsid w:val="20D27B36"/>
    <w:rsid w:val="21797ECE"/>
    <w:rsid w:val="21CF1BD4"/>
    <w:rsid w:val="221F0D41"/>
    <w:rsid w:val="22D52FBC"/>
    <w:rsid w:val="23574C02"/>
    <w:rsid w:val="23DF286D"/>
    <w:rsid w:val="24983436"/>
    <w:rsid w:val="25044896"/>
    <w:rsid w:val="25C15E56"/>
    <w:rsid w:val="25F569C5"/>
    <w:rsid w:val="260E3AC8"/>
    <w:rsid w:val="26942001"/>
    <w:rsid w:val="2694685E"/>
    <w:rsid w:val="26E90E69"/>
    <w:rsid w:val="270462B1"/>
    <w:rsid w:val="274A3FC6"/>
    <w:rsid w:val="27EC7228"/>
    <w:rsid w:val="28926B67"/>
    <w:rsid w:val="28CB702B"/>
    <w:rsid w:val="296B2C66"/>
    <w:rsid w:val="29A463DA"/>
    <w:rsid w:val="29BC3422"/>
    <w:rsid w:val="2A80658E"/>
    <w:rsid w:val="2A8F30F0"/>
    <w:rsid w:val="2AFD4AB1"/>
    <w:rsid w:val="2BA82AF9"/>
    <w:rsid w:val="2BFF5A50"/>
    <w:rsid w:val="2C1823D8"/>
    <w:rsid w:val="2C1C7E2B"/>
    <w:rsid w:val="2C575571"/>
    <w:rsid w:val="2C6A3903"/>
    <w:rsid w:val="2CE77886"/>
    <w:rsid w:val="2D1401E4"/>
    <w:rsid w:val="2DC12642"/>
    <w:rsid w:val="2E2A6A00"/>
    <w:rsid w:val="2E5C4E50"/>
    <w:rsid w:val="2E820A6E"/>
    <w:rsid w:val="2E91647E"/>
    <w:rsid w:val="2EAF0309"/>
    <w:rsid w:val="2F9B510C"/>
    <w:rsid w:val="30022F2B"/>
    <w:rsid w:val="306F2EC1"/>
    <w:rsid w:val="31180F58"/>
    <w:rsid w:val="317C458D"/>
    <w:rsid w:val="31F51C80"/>
    <w:rsid w:val="322D29FB"/>
    <w:rsid w:val="329E1C9C"/>
    <w:rsid w:val="32AB4CED"/>
    <w:rsid w:val="33751EC3"/>
    <w:rsid w:val="33F97C97"/>
    <w:rsid w:val="344E1D08"/>
    <w:rsid w:val="34A42F44"/>
    <w:rsid w:val="359161EA"/>
    <w:rsid w:val="35970780"/>
    <w:rsid w:val="35A11364"/>
    <w:rsid w:val="36023164"/>
    <w:rsid w:val="361B27EB"/>
    <w:rsid w:val="369031B6"/>
    <w:rsid w:val="37392B2C"/>
    <w:rsid w:val="37B27DCB"/>
    <w:rsid w:val="3845476A"/>
    <w:rsid w:val="390A30B5"/>
    <w:rsid w:val="397E4C9D"/>
    <w:rsid w:val="39D26558"/>
    <w:rsid w:val="3A951AC1"/>
    <w:rsid w:val="3B4D0E99"/>
    <w:rsid w:val="3BAE091C"/>
    <w:rsid w:val="3C9F70B7"/>
    <w:rsid w:val="3CB67BB9"/>
    <w:rsid w:val="3D805A3E"/>
    <w:rsid w:val="3DC52452"/>
    <w:rsid w:val="3E0445B7"/>
    <w:rsid w:val="3E37441E"/>
    <w:rsid w:val="3FA916E7"/>
    <w:rsid w:val="3FCD0A76"/>
    <w:rsid w:val="3FEC71C5"/>
    <w:rsid w:val="40280290"/>
    <w:rsid w:val="40287810"/>
    <w:rsid w:val="406D7C61"/>
    <w:rsid w:val="40D907D9"/>
    <w:rsid w:val="411A5CC2"/>
    <w:rsid w:val="411C7642"/>
    <w:rsid w:val="413B02E1"/>
    <w:rsid w:val="421D7B68"/>
    <w:rsid w:val="421E0D1C"/>
    <w:rsid w:val="42F615DE"/>
    <w:rsid w:val="44765AF2"/>
    <w:rsid w:val="452600D2"/>
    <w:rsid w:val="459B7181"/>
    <w:rsid w:val="45C25FC7"/>
    <w:rsid w:val="460A0B55"/>
    <w:rsid w:val="46A079EA"/>
    <w:rsid w:val="47071796"/>
    <w:rsid w:val="472E5063"/>
    <w:rsid w:val="476C5281"/>
    <w:rsid w:val="48951076"/>
    <w:rsid w:val="48C02B90"/>
    <w:rsid w:val="48D51743"/>
    <w:rsid w:val="49210FAD"/>
    <w:rsid w:val="49325F13"/>
    <w:rsid w:val="4996755A"/>
    <w:rsid w:val="49B75FFA"/>
    <w:rsid w:val="49C73D0D"/>
    <w:rsid w:val="49E33175"/>
    <w:rsid w:val="4A7E5C24"/>
    <w:rsid w:val="4B690CF9"/>
    <w:rsid w:val="4BBA1E3D"/>
    <w:rsid w:val="4C0C5583"/>
    <w:rsid w:val="4C670D62"/>
    <w:rsid w:val="4D10105C"/>
    <w:rsid w:val="4D4579B9"/>
    <w:rsid w:val="4E383E98"/>
    <w:rsid w:val="4E6E47A6"/>
    <w:rsid w:val="4EA25F7A"/>
    <w:rsid w:val="4EB765D8"/>
    <w:rsid w:val="4F125FC6"/>
    <w:rsid w:val="4F3F7A99"/>
    <w:rsid w:val="4FCA188D"/>
    <w:rsid w:val="50163807"/>
    <w:rsid w:val="50935B8E"/>
    <w:rsid w:val="50A41736"/>
    <w:rsid w:val="50FE23F8"/>
    <w:rsid w:val="518B2A32"/>
    <w:rsid w:val="525E7D13"/>
    <w:rsid w:val="52E21A6C"/>
    <w:rsid w:val="53D8251A"/>
    <w:rsid w:val="53F05EC3"/>
    <w:rsid w:val="53F24013"/>
    <w:rsid w:val="54320B86"/>
    <w:rsid w:val="54BA7B2A"/>
    <w:rsid w:val="551A7B64"/>
    <w:rsid w:val="558164CA"/>
    <w:rsid w:val="55A26166"/>
    <w:rsid w:val="55A337AA"/>
    <w:rsid w:val="5621642B"/>
    <w:rsid w:val="56873F94"/>
    <w:rsid w:val="56EE13AD"/>
    <w:rsid w:val="57147993"/>
    <w:rsid w:val="572908D8"/>
    <w:rsid w:val="579C1495"/>
    <w:rsid w:val="57A739B2"/>
    <w:rsid w:val="589B28B0"/>
    <w:rsid w:val="58D033EB"/>
    <w:rsid w:val="59196503"/>
    <w:rsid w:val="5950344E"/>
    <w:rsid w:val="59B821CD"/>
    <w:rsid w:val="59E56B11"/>
    <w:rsid w:val="59F268E0"/>
    <w:rsid w:val="5A1849C0"/>
    <w:rsid w:val="5A201D2B"/>
    <w:rsid w:val="5A6A7F3D"/>
    <w:rsid w:val="5AA644BF"/>
    <w:rsid w:val="5AB34C56"/>
    <w:rsid w:val="5AC07D57"/>
    <w:rsid w:val="5AC34602"/>
    <w:rsid w:val="5B3D31B0"/>
    <w:rsid w:val="5C000CCF"/>
    <w:rsid w:val="5C1B063F"/>
    <w:rsid w:val="5C3571FB"/>
    <w:rsid w:val="5C5F0591"/>
    <w:rsid w:val="5D9C2231"/>
    <w:rsid w:val="5DC73E79"/>
    <w:rsid w:val="5DE5528C"/>
    <w:rsid w:val="5EFC6327"/>
    <w:rsid w:val="5F047816"/>
    <w:rsid w:val="5FAB19E2"/>
    <w:rsid w:val="5FFC48BF"/>
    <w:rsid w:val="608E6DDA"/>
    <w:rsid w:val="60D06D71"/>
    <w:rsid w:val="60D74DAA"/>
    <w:rsid w:val="61563F3E"/>
    <w:rsid w:val="616714B1"/>
    <w:rsid w:val="61BD2901"/>
    <w:rsid w:val="62316323"/>
    <w:rsid w:val="62351F4C"/>
    <w:rsid w:val="62D97F36"/>
    <w:rsid w:val="638F5675"/>
    <w:rsid w:val="644164E2"/>
    <w:rsid w:val="65481BA5"/>
    <w:rsid w:val="66FF0D79"/>
    <w:rsid w:val="67003EDB"/>
    <w:rsid w:val="67035CE7"/>
    <w:rsid w:val="67231BF2"/>
    <w:rsid w:val="68027C7A"/>
    <w:rsid w:val="68063629"/>
    <w:rsid w:val="685E0CB6"/>
    <w:rsid w:val="695914D9"/>
    <w:rsid w:val="69BA00C0"/>
    <w:rsid w:val="6A0B00A6"/>
    <w:rsid w:val="6A3448CB"/>
    <w:rsid w:val="6ADF5660"/>
    <w:rsid w:val="6B0524B9"/>
    <w:rsid w:val="6B5C7A1B"/>
    <w:rsid w:val="6BCA1B2D"/>
    <w:rsid w:val="6BDD77C8"/>
    <w:rsid w:val="6C741513"/>
    <w:rsid w:val="6D537C16"/>
    <w:rsid w:val="6DA976E1"/>
    <w:rsid w:val="6DBE3327"/>
    <w:rsid w:val="6E057EED"/>
    <w:rsid w:val="6E362230"/>
    <w:rsid w:val="6E5C5302"/>
    <w:rsid w:val="6E981187"/>
    <w:rsid w:val="6EA33FE7"/>
    <w:rsid w:val="6EF5441C"/>
    <w:rsid w:val="7238356A"/>
    <w:rsid w:val="72435135"/>
    <w:rsid w:val="72A93BDB"/>
    <w:rsid w:val="72BA7AAE"/>
    <w:rsid w:val="73290A5B"/>
    <w:rsid w:val="73F66B84"/>
    <w:rsid w:val="744118E6"/>
    <w:rsid w:val="745679A5"/>
    <w:rsid w:val="74D342ED"/>
    <w:rsid w:val="74F26991"/>
    <w:rsid w:val="75243775"/>
    <w:rsid w:val="75737D74"/>
    <w:rsid w:val="757D64CE"/>
    <w:rsid w:val="75F413D1"/>
    <w:rsid w:val="764970C0"/>
    <w:rsid w:val="77C430E1"/>
    <w:rsid w:val="7AD63CB0"/>
    <w:rsid w:val="7B2D791B"/>
    <w:rsid w:val="7C4649CA"/>
    <w:rsid w:val="7DE70F13"/>
    <w:rsid w:val="7E160316"/>
    <w:rsid w:val="7E8D5935"/>
    <w:rsid w:val="7E9C2B4D"/>
    <w:rsid w:val="7F190F23"/>
    <w:rsid w:val="7FAC40B4"/>
    <w:rsid w:val="7FE254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spacing w:after="100" w:afterAutospacing="1" w:line="240" w:lineRule="auto"/>
      <w:outlineLvl w:val="0"/>
    </w:pPr>
    <w:rPr>
      <w:rFonts w:ascii="Times New Roman" w:hAnsi="Times New Roman" w:cs="Times New Roman"/>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pPr>
      <w:spacing w:after="0" w:line="240" w:lineRule="auto"/>
    </w:pPr>
    <w:rPr>
      <w:rFonts w:ascii="Segoe UI" w:hAnsi="Segoe UI" w:cs="Segoe UI"/>
      <w:sz w:val="18"/>
      <w:szCs w:val="18"/>
    </w:rPr>
  </w:style>
  <w:style w:type="character" w:styleId="6">
    <w:name w:val="annotation reference"/>
    <w:basedOn w:val="3"/>
    <w:semiHidden/>
    <w:unhideWhenUsed/>
    <w:qFormat/>
    <w:uiPriority w:val="99"/>
    <w:rPr>
      <w:sz w:val="16"/>
      <w:szCs w:val="16"/>
    </w:rPr>
  </w:style>
  <w:style w:type="paragraph" w:styleId="7">
    <w:name w:val="annotation text"/>
    <w:basedOn w:val="1"/>
    <w:link w:val="18"/>
    <w:semiHidden/>
    <w:unhideWhenUsed/>
    <w:qFormat/>
    <w:uiPriority w:val="99"/>
  </w:style>
  <w:style w:type="paragraph" w:styleId="8">
    <w:name w:val="annotation subject"/>
    <w:basedOn w:val="7"/>
    <w:next w:val="7"/>
    <w:link w:val="19"/>
    <w:semiHidden/>
    <w:unhideWhenUsed/>
    <w:qFormat/>
    <w:uiPriority w:val="99"/>
    <w:pPr>
      <w:spacing w:line="240" w:lineRule="auto"/>
    </w:pPr>
    <w:rPr>
      <w:b/>
      <w:bCs/>
      <w:sz w:val="20"/>
      <w:szCs w:val="20"/>
    </w:rPr>
  </w:style>
  <w:style w:type="character" w:styleId="9">
    <w:name w:val="Emphasis"/>
    <w:basedOn w:val="3"/>
    <w:qFormat/>
    <w:uiPriority w:val="20"/>
    <w:rPr>
      <w:i/>
      <w:iCs/>
    </w:rPr>
  </w:style>
  <w:style w:type="character" w:styleId="10">
    <w:name w:val="Hyperlink"/>
    <w:basedOn w:val="3"/>
    <w:unhideWhenUsed/>
    <w:qFormat/>
    <w:uiPriority w:val="99"/>
    <w:rPr>
      <w:color w:val="0563C1" w:themeColor="hyperlink"/>
      <w:u w:val="single"/>
      <w14:textFill>
        <w14:solidFill>
          <w14:schemeClr w14:val="hlink"/>
        </w14:solidFill>
      </w14:textFill>
    </w:rPr>
  </w:style>
  <w:style w:type="paragraph" w:styleId="11">
    <w:name w:val="Normal (Web)"/>
    <w:semiHidden/>
    <w:unhideWhenUsed/>
    <w:qFormat/>
    <w:uiPriority w:val="99"/>
    <w:pPr>
      <w:spacing w:beforeAutospacing="1" w:afterAutospacing="1"/>
    </w:pPr>
    <w:rPr>
      <w:rFonts w:ascii="Calibri" w:hAnsi="Calibri" w:eastAsia="Calibri" w:cs="Times New Roman"/>
      <w:sz w:val="24"/>
      <w:szCs w:val="24"/>
      <w:lang w:val="en-US" w:eastAsia="zh-CN" w:bidi="ar-SA"/>
    </w:rPr>
  </w:style>
  <w:style w:type="character" w:styleId="12">
    <w:name w:val="Strong"/>
    <w:basedOn w:val="3"/>
    <w:qFormat/>
    <w:uiPriority w:val="22"/>
    <w:rPr>
      <w:b/>
      <w:bCs/>
    </w:rPr>
  </w:style>
  <w:style w:type="table" w:styleId="13">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4">
    <w:name w:val="List Paragraph"/>
    <w:basedOn w:val="1"/>
    <w:qFormat/>
    <w:uiPriority w:val="34"/>
    <w:pPr>
      <w:spacing w:after="200" w:line="276" w:lineRule="auto"/>
      <w:ind w:left="720"/>
      <w:contextualSpacing/>
    </w:pPr>
    <w:rPr>
      <w:rFonts w:ascii="Calibri" w:hAnsi="Calibri" w:eastAsia="Calibri" w:cs="Times New Roman"/>
    </w:rPr>
  </w:style>
  <w:style w:type="character" w:customStyle="1" w:styleId="15">
    <w:name w:val="identifier"/>
    <w:basedOn w:val="3"/>
    <w:qFormat/>
    <w:uiPriority w:val="0"/>
  </w:style>
  <w:style w:type="character" w:customStyle="1" w:styleId="16">
    <w:name w:val="id-label"/>
    <w:basedOn w:val="3"/>
    <w:qFormat/>
    <w:uiPriority w:val="0"/>
  </w:style>
  <w:style w:type="character" w:customStyle="1" w:styleId="17">
    <w:name w:val="Balloon Text Char"/>
    <w:basedOn w:val="3"/>
    <w:link w:val="5"/>
    <w:semiHidden/>
    <w:qFormat/>
    <w:uiPriority w:val="99"/>
    <w:rPr>
      <w:rFonts w:ascii="Segoe UI" w:hAnsi="Segoe UI" w:cs="Segoe UI" w:eastAsiaTheme="minorHAnsi"/>
      <w:sz w:val="18"/>
      <w:szCs w:val="18"/>
      <w:lang w:bidi="ar-SA"/>
    </w:rPr>
  </w:style>
  <w:style w:type="character" w:customStyle="1" w:styleId="18">
    <w:name w:val="Comment Text Char"/>
    <w:basedOn w:val="3"/>
    <w:link w:val="7"/>
    <w:semiHidden/>
    <w:qFormat/>
    <w:uiPriority w:val="99"/>
    <w:rPr>
      <w:rFonts w:asciiTheme="minorHAnsi" w:hAnsiTheme="minorHAnsi" w:eastAsiaTheme="minorHAnsi" w:cstheme="minorBidi"/>
      <w:sz w:val="22"/>
      <w:szCs w:val="22"/>
      <w:lang w:bidi="ar-SA"/>
    </w:rPr>
  </w:style>
  <w:style w:type="character" w:customStyle="1" w:styleId="19">
    <w:name w:val="Comment Subject Char"/>
    <w:basedOn w:val="18"/>
    <w:link w:val="8"/>
    <w:semiHidden/>
    <w:qFormat/>
    <w:uiPriority w:val="99"/>
    <w:rPr>
      <w:rFonts w:asciiTheme="minorHAnsi" w:hAnsiTheme="minorHAnsi" w:eastAsiaTheme="minorHAnsi" w:cstheme="minorBidi"/>
      <w:b/>
      <w:bCs/>
      <w:sz w:val="22"/>
      <w:szCs w:val="22"/>
      <w:lang w:bidi="ar-SA"/>
    </w:rPr>
  </w:style>
  <w:style w:type="character" w:customStyle="1" w:styleId="20">
    <w:name w:val="16"/>
    <w:qFormat/>
    <w:uiPriority w:val="0"/>
    <w:rPr>
      <w:rFonts w:hint="default" w:ascii="Times New Roman" w:hAnsi="Times New Roman" w:cs="Times New Roman"/>
      <w:i/>
      <w:iCs/>
    </w:rPr>
  </w:style>
  <w:style w:type="paragraph" w:customStyle="1" w:styleId="21">
    <w:name w:val="msolistparagraph"/>
    <w:qFormat/>
    <w:uiPriority w:val="0"/>
    <w:pPr>
      <w:spacing w:beforeAutospacing="1" w:after="160" w:line="254" w:lineRule="auto"/>
      <w:ind w:left="720"/>
      <w:contextualSpacing/>
    </w:pPr>
    <w:rPr>
      <w:rFonts w:hint="eastAsia" w:ascii="Calibri" w:hAnsi="Calibri" w:eastAsia="Times New Roman"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99A2F-9708-48E3-B875-E0D2C5E976D6}">
  <ds:schemaRefs/>
</ds:datastoreItem>
</file>

<file path=docProps/app.xml><?xml version="1.0" encoding="utf-8"?>
<Properties xmlns="http://schemas.openxmlformats.org/officeDocument/2006/extended-properties" xmlns:vt="http://schemas.openxmlformats.org/officeDocument/2006/docPropsVTypes">
  <Template>Normal</Template>
  <Pages>27</Pages>
  <Words>5088</Words>
  <Characters>29007</Characters>
  <Lines>241</Lines>
  <Paragraphs>68</Paragraphs>
  <TotalTime>33</TotalTime>
  <ScaleCrop>false</ScaleCrop>
  <LinksUpToDate>false</LinksUpToDate>
  <CharactersWithSpaces>34027</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2023-02-25T01:32:00Z</dcterms:created>
  <dc:creator>242</dc:creator>
  <cp:lastModifiedBy>mahesh.chaudhary</cp:lastModifiedBy>
  <cp:lastPrinted>2023-02-26T05:20:00Z</cp:lastPrinted>
  <dcterms:modified xsi:type="dcterms:W3CDTF">2023-04-02T06:54:28Z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491945607309407CB52850277C0B626F</vt:lpwstr>
  </property>
</Properties>
</file>