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FA3B2" w14:textId="77777777" w:rsidR="00753A0B" w:rsidRDefault="00000000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Supplementary Tables</w:t>
      </w:r>
    </w:p>
    <w:p w14:paraId="05B7CA2B" w14:textId="77777777" w:rsidR="00753A0B" w:rsidRDefault="00000000">
      <w:pPr>
        <w:spacing w:line="48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Supplementary Table 1.</w:t>
      </w:r>
      <w:r>
        <w:rPr>
          <w:sz w:val="18"/>
          <w:szCs w:val="18"/>
        </w:rPr>
        <w:t xml:space="preserve"> Nucleotide sequences of primers used in quantitative reverse transcription PCR (RT-qPCR) analysis.</w:t>
      </w:r>
    </w:p>
    <w:p w14:paraId="76D399AD" w14:textId="77777777" w:rsidR="00753A0B" w:rsidRDefault="00000000">
      <w:pPr>
        <w:rPr>
          <w:rFonts w:ascii="Times New Roman" w:eastAsia="宋体" w:hAnsi="Times New Roman"/>
          <w:kern w:val="0"/>
          <w:sz w:val="24"/>
        </w:rPr>
      </w:pPr>
      <w:r>
        <w:rPr>
          <w:rFonts w:ascii="Times New Roman" w:eastAsia="宋体" w:hAnsi="Times New Roman"/>
          <w:noProof/>
          <w:kern w:val="0"/>
          <w:sz w:val="24"/>
        </w:rPr>
        <w:drawing>
          <wp:inline distT="0" distB="0" distL="114300" distR="114300" wp14:anchorId="05494DFF" wp14:editId="6841EF2C">
            <wp:extent cx="4843780" cy="3543300"/>
            <wp:effectExtent l="0" t="0" r="4445" b="0"/>
            <wp:docPr id="8" name="图片 8" descr="632306aac54870889d6e257779829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32306aac54870889d6e257779829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B7BAF" w14:textId="77777777" w:rsidR="00753A0B" w:rsidRDefault="00753A0B">
      <w:pPr>
        <w:rPr>
          <w:rFonts w:ascii="Times New Roman" w:eastAsia="宋体" w:hAnsi="Times New Roman"/>
          <w:kern w:val="0"/>
          <w:sz w:val="24"/>
        </w:rPr>
      </w:pPr>
    </w:p>
    <w:p w14:paraId="6984A989" w14:textId="77777777" w:rsidR="00753A0B" w:rsidRDefault="00000000">
      <w:pPr>
        <w:rPr>
          <w:rFonts w:ascii="Times New Roman" w:eastAsia="宋体" w:hAnsi="Times New Roman"/>
          <w:kern w:val="0"/>
          <w:sz w:val="24"/>
        </w:rPr>
      </w:pPr>
      <w:r>
        <w:rPr>
          <w:rFonts w:ascii="Times New Roman" w:eastAsia="宋体" w:hAnsi="Times New Roman"/>
          <w:kern w:val="0"/>
          <w:sz w:val="24"/>
        </w:rPr>
        <w:br w:type="page"/>
      </w:r>
    </w:p>
    <w:p w14:paraId="2168D91E" w14:textId="77777777" w:rsidR="00753A0B" w:rsidRDefault="00753A0B">
      <w:pPr>
        <w:rPr>
          <w:rFonts w:ascii="Times New Roman" w:eastAsia="宋体" w:hAnsi="Times New Roman"/>
          <w:kern w:val="0"/>
          <w:sz w:val="24"/>
        </w:rPr>
      </w:pPr>
    </w:p>
    <w:p w14:paraId="4E5E2066" w14:textId="77777777" w:rsidR="00753A0B" w:rsidRDefault="00000000">
      <w:pPr>
        <w:spacing w:line="480" w:lineRule="auto"/>
        <w:rPr>
          <w:sz w:val="18"/>
          <w:szCs w:val="18"/>
        </w:rPr>
      </w:pPr>
      <w:r>
        <w:rPr>
          <w:b/>
          <w:bCs/>
          <w:sz w:val="18"/>
          <w:szCs w:val="18"/>
        </w:rPr>
        <w:t>Supplementary Table 2.</w:t>
      </w:r>
      <w:r>
        <w:rPr>
          <w:sz w:val="18"/>
          <w:szCs w:val="18"/>
        </w:rPr>
        <w:t xml:space="preserve">  Efflux pump gene expression levels in drug-resistant </w:t>
      </w:r>
      <w:proofErr w:type="spellStart"/>
      <w:r>
        <w:rPr>
          <w:sz w:val="18"/>
          <w:szCs w:val="18"/>
        </w:rPr>
        <w:t>Mtb</w:t>
      </w:r>
      <w:proofErr w:type="spellEnd"/>
      <w:r>
        <w:rPr>
          <w:sz w:val="18"/>
          <w:szCs w:val="18"/>
        </w:rPr>
        <w:t xml:space="preserve"> isolates under conditions of RIF or RIF+VP treatment.</w:t>
      </w:r>
    </w:p>
    <w:p w14:paraId="0C0DD45B" w14:textId="77777777" w:rsidR="00753A0B" w:rsidRDefault="00000000">
      <w:pPr>
        <w:spacing w:line="480" w:lineRule="auto"/>
        <w:jc w:val="center"/>
      </w:pPr>
      <w:r>
        <w:rPr>
          <w:noProof/>
        </w:rPr>
        <w:drawing>
          <wp:inline distT="0" distB="0" distL="114300" distR="114300" wp14:anchorId="44816C63" wp14:editId="3427E00B">
            <wp:extent cx="5672455" cy="3235325"/>
            <wp:effectExtent l="0" t="0" r="4445" b="3175"/>
            <wp:docPr id="6" name="图片 6" descr="0bdec5c8852db56f58feda5702a49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bdec5c8852db56f58feda5702a49c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2455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5EBC" w14:textId="77777777" w:rsidR="00753A0B" w:rsidRDefault="00000000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Relative mRNA expression was analyzed with the 2</w:t>
      </w:r>
      <w:r>
        <w:rPr>
          <w:sz w:val="18"/>
          <w:szCs w:val="18"/>
          <w:vertAlign w:val="superscript"/>
        </w:rPr>
        <w:t xml:space="preserve">- </w:t>
      </w:r>
      <w:r>
        <w:rPr>
          <w:rFonts w:hint="eastAsia"/>
          <w:sz w:val="18"/>
          <w:szCs w:val="18"/>
          <w:vertAlign w:val="superscript"/>
        </w:rPr>
        <w:t>△△</w:t>
      </w:r>
      <w:r>
        <w:rPr>
          <w:rFonts w:hint="eastAsia"/>
          <w:sz w:val="18"/>
          <w:szCs w:val="18"/>
          <w:vertAlign w:val="superscript"/>
        </w:rPr>
        <w:t>CT</w:t>
      </w:r>
      <w:r>
        <w:rPr>
          <w:sz w:val="18"/>
          <w:szCs w:val="18"/>
        </w:rPr>
        <w:t xml:space="preserve"> method, comparing samples to the control sample. The gene expression ratio for clinical isolates exposed to RIF and RIF+VP is presented as fold-change downregulation.</w:t>
      </w:r>
    </w:p>
    <w:p w14:paraId="35770433" w14:textId="77777777" w:rsidR="00753A0B" w:rsidRDefault="00753A0B">
      <w:pPr>
        <w:rPr>
          <w:rFonts w:ascii="Times New Roman" w:eastAsia="宋体" w:hAnsi="Times New Roman"/>
          <w:kern w:val="0"/>
          <w:sz w:val="24"/>
        </w:rPr>
      </w:pPr>
    </w:p>
    <w:p w14:paraId="31E8F152" w14:textId="77777777" w:rsidR="00753A0B" w:rsidRDefault="00000000">
      <w:pPr>
        <w:rPr>
          <w:rFonts w:ascii="Times New Roman" w:eastAsia="宋体" w:hAnsi="Times New Roman"/>
          <w:kern w:val="0"/>
          <w:sz w:val="24"/>
        </w:rPr>
      </w:pPr>
      <w:r>
        <w:rPr>
          <w:rFonts w:ascii="Times New Roman" w:eastAsia="宋体" w:hAnsi="Times New Roman"/>
          <w:kern w:val="0"/>
          <w:sz w:val="24"/>
        </w:rPr>
        <w:br w:type="page"/>
      </w:r>
    </w:p>
    <w:p w14:paraId="507E93A1" w14:textId="77777777" w:rsidR="00753A0B" w:rsidRDefault="00753A0B">
      <w:pPr>
        <w:rPr>
          <w:rFonts w:ascii="Times New Roman" w:eastAsia="宋体" w:hAnsi="Times New Roman"/>
          <w:kern w:val="0"/>
          <w:sz w:val="24"/>
        </w:rPr>
      </w:pPr>
    </w:p>
    <w:p w14:paraId="22F27436" w14:textId="77777777" w:rsidR="00753A0B" w:rsidRDefault="00000000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Supplementary Figures</w:t>
      </w:r>
    </w:p>
    <w:p w14:paraId="61F67AEA" w14:textId="77777777" w:rsidR="008078B8" w:rsidRDefault="008078B8">
      <w:pPr>
        <w:rPr>
          <w:b/>
          <w:bCs/>
          <w:sz w:val="32"/>
          <w:szCs w:val="32"/>
        </w:rPr>
      </w:pPr>
    </w:p>
    <w:p w14:paraId="01D7B7C6" w14:textId="77777777" w:rsidR="008078B8" w:rsidRDefault="008078B8">
      <w:pPr>
        <w:rPr>
          <w:b/>
          <w:bCs/>
          <w:sz w:val="32"/>
          <w:szCs w:val="32"/>
        </w:rPr>
      </w:pPr>
    </w:p>
    <w:p w14:paraId="017EF4AD" w14:textId="77777777" w:rsidR="008078B8" w:rsidRDefault="008078B8">
      <w:pPr>
        <w:rPr>
          <w:rFonts w:ascii="Times New Roman" w:eastAsia="宋体" w:hAnsi="Times New Roman" w:hint="eastAsia"/>
          <w:kern w:val="0"/>
          <w:sz w:val="24"/>
        </w:rPr>
      </w:pPr>
    </w:p>
    <w:p w14:paraId="4A610499" w14:textId="77777777" w:rsidR="00753A0B" w:rsidRDefault="00000000">
      <w:pPr>
        <w:spacing w:line="480" w:lineRule="auto"/>
        <w:rPr>
          <w:b/>
          <w:bCs/>
          <w:sz w:val="18"/>
          <w:szCs w:val="18"/>
        </w:rPr>
      </w:pPr>
      <w:r>
        <w:rPr>
          <w:rFonts w:hint="eastAsia"/>
          <w:b/>
          <w:bCs/>
          <w:noProof/>
          <w:sz w:val="18"/>
          <w:szCs w:val="18"/>
        </w:rPr>
        <w:drawing>
          <wp:inline distT="0" distB="0" distL="114300" distR="114300" wp14:anchorId="78CAC3CF" wp14:editId="15C6D6C9">
            <wp:extent cx="4733290" cy="3300730"/>
            <wp:effectExtent l="0" t="0" r="635" b="4445"/>
            <wp:docPr id="1" name="图片 1" descr="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329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3847" w14:textId="77777777" w:rsidR="00753A0B" w:rsidRDefault="00000000">
      <w:pPr>
        <w:spacing w:line="480" w:lineRule="auto"/>
        <w:rPr>
          <w:sz w:val="15"/>
          <w:szCs w:val="15"/>
        </w:rPr>
      </w:pPr>
      <w:r>
        <w:rPr>
          <w:b/>
          <w:bCs/>
          <w:sz w:val="18"/>
          <w:szCs w:val="18"/>
        </w:rPr>
        <w:t>Supplementary Figure 1.</w:t>
      </w:r>
      <w:r>
        <w:rPr>
          <w:sz w:val="18"/>
          <w:szCs w:val="18"/>
        </w:rPr>
        <w:t xml:space="preserve"> a-b. Data are shown for Rv0677c (mmpS5) (a) and Rv0191 (b). The 35 isolates included in this study were classified into 4 groups based on their MIC values in order to compare relative Rv0677c (mmpS5) and Rv0191 expression levels following exposure to RIF (1/2 MIC) for 10 days. Values represent normalized expression levels for the indicated genes relative to the control group, as analyzed via the 2</w:t>
      </w:r>
      <w:r>
        <w:rPr>
          <w:sz w:val="18"/>
          <w:szCs w:val="18"/>
          <w:vertAlign w:val="superscript"/>
        </w:rPr>
        <w:t xml:space="preserve">- </w:t>
      </w:r>
      <w:r>
        <w:rPr>
          <w:rFonts w:hint="eastAsia"/>
          <w:sz w:val="18"/>
          <w:szCs w:val="18"/>
          <w:vertAlign w:val="superscript"/>
        </w:rPr>
        <w:t>△△</w:t>
      </w:r>
      <w:r>
        <w:rPr>
          <w:rFonts w:hint="eastAsia"/>
          <w:sz w:val="18"/>
          <w:szCs w:val="18"/>
          <w:vertAlign w:val="superscript"/>
        </w:rPr>
        <w:t>CT</w:t>
      </w:r>
      <w:r>
        <w:rPr>
          <w:sz w:val="18"/>
          <w:szCs w:val="18"/>
        </w:rPr>
        <w:t xml:space="preserve"> method. No significant differences in Rv0677c (mmpS5) or Rv0191 overexpression were observed among groups.</w:t>
      </w:r>
    </w:p>
    <w:p w14:paraId="484DB556" w14:textId="77777777" w:rsidR="00753A0B" w:rsidRDefault="00753A0B">
      <w:pPr>
        <w:rPr>
          <w:rFonts w:ascii="Times New Roman" w:eastAsia="宋体" w:hAnsi="Times New Roman"/>
          <w:kern w:val="0"/>
          <w:sz w:val="24"/>
        </w:rPr>
      </w:pPr>
    </w:p>
    <w:p w14:paraId="2DA3F060" w14:textId="72A4C8FE" w:rsidR="00753A0B" w:rsidRPr="00A96345" w:rsidRDefault="00753A0B">
      <w:pPr>
        <w:rPr>
          <w:rFonts w:ascii="Times New Roman" w:eastAsia="宋体" w:hAnsi="Times New Roman" w:hint="eastAsia"/>
          <w:kern w:val="0"/>
          <w:sz w:val="24"/>
        </w:rPr>
      </w:pPr>
    </w:p>
    <w:sectPr w:rsidR="00753A0B" w:rsidRPr="00A96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A0B"/>
    <w:rsid w:val="00753A0B"/>
    <w:rsid w:val="008078B8"/>
    <w:rsid w:val="00A96345"/>
    <w:rsid w:val="00C42448"/>
    <w:rsid w:val="30EE230F"/>
    <w:rsid w:val="7A14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98268"/>
  <w15:docId w15:val="{05BDE7D1-744B-4C81-8535-775DA9B7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caoren</dc:creator>
  <cp:lastModifiedBy>rendong.mfr@163.com</cp:lastModifiedBy>
  <cp:revision>3</cp:revision>
  <dcterms:created xsi:type="dcterms:W3CDTF">2024-12-03T01:47:00Z</dcterms:created>
  <dcterms:modified xsi:type="dcterms:W3CDTF">2024-12-03T02:35:00Z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E76BA150D8C34E8983C6DB7BA7193509_12</vt:lpwstr>
  </property>
</Properties>
</file>