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9F1" w:rsidRDefault="009A4CF5" w:rsidP="00AB0546">
      <w:pPr>
        <w:pStyle w:val="Title"/>
      </w:pPr>
      <w:r>
        <w:t xml:space="preserve">Additional File 1 </w:t>
      </w:r>
    </w:p>
    <w:p w:rsidR="00F013E8" w:rsidRPr="00F013E8" w:rsidRDefault="00F013E8" w:rsidP="00F013E8">
      <w:pPr>
        <w:pStyle w:val="Heading1"/>
      </w:pPr>
      <w:r>
        <w:t xml:space="preserve">Detailed classification of relevant health and aging studies </w:t>
      </w:r>
    </w:p>
    <w:p w:rsidR="00A019F1" w:rsidRPr="00336514" w:rsidRDefault="00A019F1" w:rsidP="00A019F1">
      <w:pPr>
        <w:pStyle w:val="Caption"/>
        <w:keepNext/>
        <w:rPr>
          <w:rFonts w:asciiTheme="majorHAnsi" w:hAnsiTheme="majorHAnsi"/>
        </w:rPr>
      </w:pPr>
      <w:bookmarkStart w:id="0" w:name="_Ref536537438"/>
      <w:bookmarkStart w:id="1" w:name="_Ref1726265"/>
      <w:bookmarkStart w:id="2" w:name="_Ref536537433"/>
      <w:r w:rsidRPr="00336514">
        <w:rPr>
          <w:rFonts w:asciiTheme="majorHAnsi" w:hAnsiTheme="majorHAnsi"/>
        </w:rPr>
        <w:t xml:space="preserve">Table </w:t>
      </w:r>
      <w:r w:rsidR="008C4987">
        <w:rPr>
          <w:rFonts w:asciiTheme="majorHAnsi" w:hAnsiTheme="majorHAnsi"/>
        </w:rPr>
        <w:t>S</w:t>
      </w:r>
      <w:r w:rsidR="00AD0F13" w:rsidRPr="00336514">
        <w:rPr>
          <w:rFonts w:asciiTheme="majorHAnsi" w:hAnsiTheme="majorHAnsi"/>
          <w:noProof/>
        </w:rPr>
        <w:fldChar w:fldCharType="begin"/>
      </w:r>
      <w:r w:rsidRPr="00336514">
        <w:rPr>
          <w:rFonts w:asciiTheme="majorHAnsi" w:hAnsiTheme="majorHAnsi"/>
          <w:noProof/>
        </w:rPr>
        <w:instrText xml:space="preserve"> SEQ Table \* ARABIC </w:instrText>
      </w:r>
      <w:r w:rsidR="00AD0F13" w:rsidRPr="00336514">
        <w:rPr>
          <w:rFonts w:asciiTheme="majorHAnsi" w:hAnsiTheme="majorHAnsi"/>
          <w:noProof/>
        </w:rPr>
        <w:fldChar w:fldCharType="separate"/>
      </w:r>
      <w:r w:rsidR="00706D14">
        <w:rPr>
          <w:rFonts w:asciiTheme="majorHAnsi" w:hAnsiTheme="majorHAnsi"/>
          <w:noProof/>
        </w:rPr>
        <w:t>1</w:t>
      </w:r>
      <w:r w:rsidR="00AD0F13" w:rsidRPr="00336514">
        <w:rPr>
          <w:rFonts w:asciiTheme="majorHAnsi" w:hAnsiTheme="majorHAnsi"/>
          <w:noProof/>
        </w:rPr>
        <w:fldChar w:fldCharType="end"/>
      </w:r>
      <w:bookmarkEnd w:id="0"/>
      <w:r w:rsidRPr="00336514">
        <w:rPr>
          <w:rFonts w:asciiTheme="majorHAnsi" w:hAnsiTheme="majorHAnsi"/>
        </w:rPr>
        <w:t xml:space="preserve">: Mobility indicators from a selected set of exemplary studies classified according to the characteristic </w:t>
      </w:r>
      <w:r w:rsidR="00800C45" w:rsidRPr="00336514">
        <w:rPr>
          <w:rFonts w:asciiTheme="majorHAnsi" w:hAnsiTheme="majorHAnsi"/>
        </w:rPr>
        <w:t>aspects</w:t>
      </w:r>
      <w:r w:rsidRPr="00336514">
        <w:rPr>
          <w:rFonts w:asciiTheme="majorHAnsi" w:hAnsiTheme="majorHAnsi"/>
        </w:rPr>
        <w:t xml:space="preserve"> </w:t>
      </w:r>
      <w:r w:rsidR="00800C45" w:rsidRPr="00336514">
        <w:rPr>
          <w:rFonts w:asciiTheme="majorHAnsi" w:hAnsiTheme="majorHAnsi"/>
        </w:rPr>
        <w:t xml:space="preserve">of </w:t>
      </w:r>
      <w:r w:rsidR="00EA150F">
        <w:rPr>
          <w:rFonts w:asciiTheme="majorHAnsi" w:hAnsiTheme="majorHAnsi"/>
        </w:rPr>
        <w:t xml:space="preserve">the </w:t>
      </w:r>
      <w:r w:rsidRPr="00336514">
        <w:rPr>
          <w:rFonts w:asciiTheme="majorHAnsi" w:hAnsiTheme="majorHAnsi"/>
        </w:rPr>
        <w:t>mobility indic</w:t>
      </w:r>
      <w:r w:rsidR="00800C45" w:rsidRPr="00336514">
        <w:rPr>
          <w:rFonts w:asciiTheme="majorHAnsi" w:hAnsiTheme="majorHAnsi"/>
        </w:rPr>
        <w:t>ator classification framework (</w:t>
      </w:r>
      <w:r w:rsidR="00EA150F">
        <w:rPr>
          <w:rFonts w:asciiTheme="majorHAnsi" w:hAnsiTheme="majorHAnsi"/>
        </w:rPr>
        <w:t xml:space="preserve">cf. </w:t>
      </w:r>
      <w:r w:rsidR="00800C45" w:rsidRPr="00336514">
        <w:rPr>
          <w:rFonts w:asciiTheme="majorHAnsi" w:hAnsiTheme="majorHAnsi"/>
        </w:rPr>
        <w:t xml:space="preserve">Figure </w:t>
      </w:r>
      <w:r w:rsidR="000566A9">
        <w:rPr>
          <w:rFonts w:asciiTheme="majorHAnsi" w:hAnsiTheme="majorHAnsi"/>
        </w:rPr>
        <w:t>2</w:t>
      </w:r>
      <w:r w:rsidR="000566A9" w:rsidRPr="00336514">
        <w:rPr>
          <w:rFonts w:asciiTheme="majorHAnsi" w:hAnsiTheme="majorHAnsi"/>
        </w:rPr>
        <w:t xml:space="preserve"> </w:t>
      </w:r>
      <w:r w:rsidR="00800C45" w:rsidRPr="00336514">
        <w:rPr>
          <w:rFonts w:asciiTheme="majorHAnsi" w:hAnsiTheme="majorHAnsi"/>
        </w:rPr>
        <w:t xml:space="preserve">in the </w:t>
      </w:r>
      <w:r w:rsidR="00F013E8">
        <w:rPr>
          <w:rFonts w:asciiTheme="majorHAnsi" w:hAnsiTheme="majorHAnsi"/>
        </w:rPr>
        <w:t>main paper</w:t>
      </w:r>
      <w:r w:rsidR="00800C45" w:rsidRPr="00336514">
        <w:rPr>
          <w:rFonts w:asciiTheme="majorHAnsi" w:hAnsiTheme="majorHAnsi"/>
        </w:rPr>
        <w:t>)</w:t>
      </w:r>
      <w:r w:rsidRPr="00336514">
        <w:rPr>
          <w:rFonts w:asciiTheme="majorHAnsi" w:hAnsiTheme="majorHAnsi"/>
        </w:rPr>
        <w:t>.</w:t>
      </w:r>
      <w:bookmarkEnd w:id="1"/>
      <w:r w:rsidRPr="00336514">
        <w:rPr>
          <w:rFonts w:asciiTheme="majorHAnsi" w:hAnsiTheme="majorHAnsi"/>
        </w:rPr>
        <w:t xml:space="preserve"> </w:t>
      </w:r>
      <w:bookmarkEnd w:id="2"/>
    </w:p>
    <w:tbl>
      <w:tblPr>
        <w:tblW w:w="13722" w:type="dxa"/>
        <w:tblLayout w:type="fixed"/>
        <w:tblLook w:val="04A0" w:firstRow="1" w:lastRow="0" w:firstColumn="1" w:lastColumn="0" w:noHBand="0" w:noVBand="1"/>
      </w:tblPr>
      <w:tblGrid>
        <w:gridCol w:w="1985"/>
        <w:gridCol w:w="709"/>
        <w:gridCol w:w="6662"/>
        <w:gridCol w:w="363"/>
        <w:gridCol w:w="362"/>
        <w:gridCol w:w="362"/>
        <w:gridCol w:w="362"/>
        <w:gridCol w:w="362"/>
        <w:gridCol w:w="347"/>
        <w:gridCol w:w="377"/>
        <w:gridCol w:w="362"/>
        <w:gridCol w:w="362"/>
        <w:gridCol w:w="362"/>
        <w:gridCol w:w="362"/>
        <w:gridCol w:w="383"/>
      </w:tblGrid>
      <w:tr w:rsidR="0058232B" w:rsidRPr="00336514" w:rsidTr="00496AC8">
        <w:trPr>
          <w:trHeight w:val="158"/>
        </w:trPr>
        <w:tc>
          <w:tcPr>
            <w:tcW w:w="1985" w:type="dxa"/>
            <w:tcBorders>
              <w:top w:val="single" w:sz="4" w:space="0" w:color="auto"/>
              <w:left w:val="single" w:sz="4" w:space="0" w:color="auto"/>
            </w:tcBorders>
            <w:shd w:val="clear" w:color="auto" w:fill="auto"/>
          </w:tcPr>
          <w:p w:rsidR="0058232B" w:rsidRPr="00336514" w:rsidRDefault="0058232B" w:rsidP="0058232B">
            <w:pPr>
              <w:pStyle w:val="Table"/>
            </w:pPr>
            <w:r w:rsidRPr="00336514">
              <w:rPr>
                <w:b/>
              </w:rPr>
              <w:t>Study</w:t>
            </w:r>
          </w:p>
        </w:tc>
        <w:tc>
          <w:tcPr>
            <w:tcW w:w="709" w:type="dxa"/>
            <w:tcBorders>
              <w:top w:val="single" w:sz="4" w:space="0" w:color="auto"/>
            </w:tcBorders>
            <w:shd w:val="clear" w:color="auto" w:fill="auto"/>
          </w:tcPr>
          <w:p w:rsidR="0058232B" w:rsidRPr="00336514" w:rsidRDefault="0058232B" w:rsidP="0058232B">
            <w:pPr>
              <w:pStyle w:val="Table"/>
            </w:pPr>
            <w:r w:rsidRPr="00336514">
              <w:rPr>
                <w:b/>
              </w:rPr>
              <w:t>#</w:t>
            </w:r>
          </w:p>
        </w:tc>
        <w:tc>
          <w:tcPr>
            <w:tcW w:w="6662" w:type="dxa"/>
            <w:tcBorders>
              <w:top w:val="single" w:sz="4" w:space="0" w:color="auto"/>
            </w:tcBorders>
            <w:shd w:val="clear" w:color="auto" w:fill="auto"/>
          </w:tcPr>
          <w:p w:rsidR="0058232B" w:rsidRPr="00336514" w:rsidRDefault="0058232B" w:rsidP="0058232B">
            <w:pPr>
              <w:pStyle w:val="Table"/>
            </w:pPr>
            <w:r>
              <w:rPr>
                <w:b/>
              </w:rPr>
              <w:t>Mobility indicator</w:t>
            </w:r>
          </w:p>
        </w:tc>
        <w:tc>
          <w:tcPr>
            <w:tcW w:w="4366" w:type="dxa"/>
            <w:gridSpan w:val="12"/>
            <w:tcBorders>
              <w:top w:val="single" w:sz="4" w:space="0" w:color="auto"/>
              <w:right w:val="single" w:sz="4" w:space="0" w:color="auto"/>
            </w:tcBorders>
            <w:shd w:val="clear" w:color="auto" w:fill="auto"/>
          </w:tcPr>
          <w:p w:rsidR="0058232B" w:rsidRPr="00336514" w:rsidRDefault="0058232B" w:rsidP="0058232B">
            <w:pPr>
              <w:pStyle w:val="Table"/>
              <w:jc w:val="center"/>
              <w:rPr>
                <w:b/>
                <w:lang w:val="en-GB"/>
              </w:rPr>
            </w:pPr>
            <w:r w:rsidRPr="00336514">
              <w:rPr>
                <w:b/>
              </w:rPr>
              <w:t xml:space="preserve">Characteristic </w:t>
            </w:r>
            <w:r>
              <w:rPr>
                <w:b/>
              </w:rPr>
              <w:t>aspects</w:t>
            </w:r>
          </w:p>
        </w:tc>
      </w:tr>
      <w:tr w:rsidR="0058232B" w:rsidRPr="00336514" w:rsidTr="00496AC8">
        <w:trPr>
          <w:trHeight w:val="158"/>
        </w:trPr>
        <w:tc>
          <w:tcPr>
            <w:tcW w:w="1985" w:type="dxa"/>
            <w:tcBorders>
              <w:left w:val="single" w:sz="4" w:space="0" w:color="auto"/>
            </w:tcBorders>
            <w:shd w:val="clear" w:color="auto" w:fill="auto"/>
          </w:tcPr>
          <w:p w:rsidR="0058232B" w:rsidRPr="00336514" w:rsidRDefault="0058232B" w:rsidP="0058232B">
            <w:pPr>
              <w:pStyle w:val="Table"/>
            </w:pPr>
          </w:p>
        </w:tc>
        <w:tc>
          <w:tcPr>
            <w:tcW w:w="709" w:type="dxa"/>
            <w:shd w:val="clear" w:color="auto" w:fill="auto"/>
          </w:tcPr>
          <w:p w:rsidR="0058232B" w:rsidRPr="00336514" w:rsidRDefault="0058232B" w:rsidP="0058232B">
            <w:pPr>
              <w:pStyle w:val="Table"/>
              <w:rPr>
                <w:b/>
              </w:rPr>
            </w:pPr>
          </w:p>
        </w:tc>
        <w:tc>
          <w:tcPr>
            <w:tcW w:w="6662" w:type="dxa"/>
            <w:tcBorders>
              <w:right w:val="single" w:sz="4" w:space="0" w:color="auto"/>
            </w:tcBorders>
            <w:shd w:val="clear" w:color="auto" w:fill="auto"/>
          </w:tcPr>
          <w:p w:rsidR="0058232B" w:rsidRPr="00336514" w:rsidRDefault="0058232B" w:rsidP="0058232B">
            <w:pPr>
              <w:pStyle w:val="Table"/>
              <w:rPr>
                <w:b/>
              </w:rPr>
            </w:pPr>
          </w:p>
        </w:tc>
        <w:tc>
          <w:tcPr>
            <w:tcW w:w="1087" w:type="dxa"/>
            <w:gridSpan w:val="3"/>
            <w:tcBorders>
              <w:left w:val="single" w:sz="4" w:space="0" w:color="auto"/>
              <w:right w:val="single" w:sz="4" w:space="0" w:color="auto"/>
            </w:tcBorders>
            <w:shd w:val="clear" w:color="auto" w:fill="auto"/>
            <w:vAlign w:val="center"/>
          </w:tcPr>
          <w:p w:rsidR="0058232B" w:rsidRPr="00336514" w:rsidRDefault="0058232B" w:rsidP="0058232B">
            <w:pPr>
              <w:pStyle w:val="Table"/>
              <w:jc w:val="center"/>
              <w:rPr>
                <w:b/>
                <w:lang w:val="en-GB"/>
              </w:rPr>
            </w:pPr>
            <w:r w:rsidRPr="00336514">
              <w:rPr>
                <w:b/>
                <w:lang w:val="en-GB"/>
              </w:rPr>
              <w:t>Space</w:t>
            </w:r>
          </w:p>
        </w:tc>
        <w:tc>
          <w:tcPr>
            <w:tcW w:w="1071" w:type="dxa"/>
            <w:gridSpan w:val="3"/>
            <w:tcBorders>
              <w:left w:val="single" w:sz="4" w:space="0" w:color="auto"/>
              <w:right w:val="single" w:sz="4" w:space="0" w:color="auto"/>
            </w:tcBorders>
            <w:shd w:val="clear" w:color="auto" w:fill="auto"/>
            <w:vAlign w:val="center"/>
          </w:tcPr>
          <w:p w:rsidR="0058232B" w:rsidRPr="00336514" w:rsidRDefault="0058232B" w:rsidP="0058232B">
            <w:pPr>
              <w:pStyle w:val="Table"/>
              <w:jc w:val="center"/>
              <w:rPr>
                <w:b/>
                <w:lang w:val="en-GB"/>
              </w:rPr>
            </w:pPr>
            <w:r w:rsidRPr="00336514">
              <w:rPr>
                <w:b/>
                <w:lang w:val="en-GB"/>
              </w:rPr>
              <w:t>Time</w:t>
            </w:r>
          </w:p>
        </w:tc>
        <w:tc>
          <w:tcPr>
            <w:tcW w:w="1101" w:type="dxa"/>
            <w:gridSpan w:val="3"/>
            <w:tcBorders>
              <w:left w:val="single" w:sz="4" w:space="0" w:color="auto"/>
              <w:right w:val="single" w:sz="4" w:space="0" w:color="auto"/>
            </w:tcBorders>
            <w:shd w:val="clear" w:color="auto" w:fill="auto"/>
            <w:vAlign w:val="center"/>
          </w:tcPr>
          <w:p w:rsidR="0058232B" w:rsidRPr="00336514" w:rsidRDefault="00FD3EE3" w:rsidP="0058232B">
            <w:pPr>
              <w:pStyle w:val="Table"/>
              <w:jc w:val="center"/>
              <w:rPr>
                <w:b/>
                <w:lang w:val="en-GB"/>
              </w:rPr>
            </w:pPr>
            <w:r>
              <w:rPr>
                <w:b/>
                <w:lang w:val="en-GB"/>
              </w:rPr>
              <w:t>Mvt. sc.</w:t>
            </w:r>
          </w:p>
        </w:tc>
        <w:tc>
          <w:tcPr>
            <w:tcW w:w="1107" w:type="dxa"/>
            <w:gridSpan w:val="3"/>
            <w:tcBorders>
              <w:left w:val="single" w:sz="4" w:space="0" w:color="auto"/>
              <w:right w:val="single" w:sz="4" w:space="0" w:color="auto"/>
            </w:tcBorders>
            <w:shd w:val="clear" w:color="auto" w:fill="auto"/>
            <w:vAlign w:val="center"/>
          </w:tcPr>
          <w:p w:rsidR="0058232B" w:rsidRPr="00336514" w:rsidRDefault="0058232B" w:rsidP="0058232B">
            <w:pPr>
              <w:pStyle w:val="Table"/>
              <w:jc w:val="center"/>
              <w:rPr>
                <w:b/>
                <w:lang w:val="en-GB"/>
              </w:rPr>
            </w:pPr>
            <w:r w:rsidRPr="00336514">
              <w:rPr>
                <w:b/>
                <w:lang w:val="en-GB"/>
              </w:rPr>
              <w:t>Attribute</w:t>
            </w:r>
          </w:p>
        </w:tc>
      </w:tr>
      <w:tr w:rsidR="00496AC8" w:rsidRPr="00336514" w:rsidTr="00496AC8">
        <w:trPr>
          <w:trHeight w:val="1584"/>
        </w:trPr>
        <w:tc>
          <w:tcPr>
            <w:tcW w:w="1985" w:type="dxa"/>
            <w:tcBorders>
              <w:left w:val="single" w:sz="4" w:space="0" w:color="auto"/>
              <w:bottom w:val="single" w:sz="4" w:space="0" w:color="auto"/>
            </w:tcBorders>
            <w:shd w:val="clear" w:color="auto" w:fill="auto"/>
          </w:tcPr>
          <w:p w:rsidR="0058232B" w:rsidRPr="00336514" w:rsidRDefault="0058232B" w:rsidP="0058232B">
            <w:pPr>
              <w:pStyle w:val="Table"/>
              <w:rPr>
                <w:b/>
              </w:rPr>
            </w:pPr>
          </w:p>
        </w:tc>
        <w:tc>
          <w:tcPr>
            <w:tcW w:w="709" w:type="dxa"/>
            <w:tcBorders>
              <w:bottom w:val="single" w:sz="4" w:space="0" w:color="auto"/>
            </w:tcBorders>
            <w:shd w:val="clear" w:color="auto" w:fill="auto"/>
          </w:tcPr>
          <w:p w:rsidR="0058232B" w:rsidRPr="00336514" w:rsidRDefault="0058232B" w:rsidP="0058232B">
            <w:pPr>
              <w:pStyle w:val="Table"/>
              <w:rPr>
                <w:b/>
              </w:rPr>
            </w:pPr>
          </w:p>
        </w:tc>
        <w:tc>
          <w:tcPr>
            <w:tcW w:w="6662" w:type="dxa"/>
            <w:tcBorders>
              <w:bottom w:val="single" w:sz="4" w:space="0" w:color="auto"/>
              <w:right w:val="single" w:sz="4" w:space="0" w:color="auto"/>
            </w:tcBorders>
            <w:shd w:val="clear" w:color="auto" w:fill="auto"/>
          </w:tcPr>
          <w:p w:rsidR="0058232B" w:rsidRPr="00336514" w:rsidRDefault="0058232B" w:rsidP="0058232B">
            <w:pPr>
              <w:pStyle w:val="Table"/>
              <w:rPr>
                <w:b/>
              </w:rPr>
            </w:pPr>
          </w:p>
        </w:tc>
        <w:tc>
          <w:tcPr>
            <w:tcW w:w="363" w:type="dxa"/>
            <w:tcBorders>
              <w:left w:val="single" w:sz="4" w:space="0" w:color="auto"/>
              <w:bottom w:val="single" w:sz="4" w:space="0" w:color="auto"/>
            </w:tcBorders>
            <w:shd w:val="clear" w:color="auto" w:fill="auto"/>
            <w:textDirection w:val="btLr"/>
            <w:vAlign w:val="center"/>
          </w:tcPr>
          <w:p w:rsidR="0058232B" w:rsidRPr="00336514" w:rsidRDefault="00441F32" w:rsidP="0058232B">
            <w:pPr>
              <w:pStyle w:val="Table"/>
              <w:rPr>
                <w:b/>
                <w:lang w:val="en-GB"/>
              </w:rPr>
            </w:pPr>
            <w:r>
              <w:rPr>
                <w:b/>
                <w:lang w:val="en-GB"/>
              </w:rPr>
              <w:t>Count</w:t>
            </w:r>
          </w:p>
        </w:tc>
        <w:tc>
          <w:tcPr>
            <w:tcW w:w="362" w:type="dxa"/>
            <w:tcBorders>
              <w:bottom w:val="single" w:sz="4" w:space="0" w:color="auto"/>
            </w:tcBorders>
            <w:shd w:val="clear" w:color="auto" w:fill="auto"/>
            <w:textDirection w:val="btLr"/>
            <w:vAlign w:val="center"/>
          </w:tcPr>
          <w:p w:rsidR="0058232B" w:rsidRPr="00336514" w:rsidRDefault="0058232B" w:rsidP="0058232B">
            <w:pPr>
              <w:pStyle w:val="Table"/>
              <w:rPr>
                <w:b/>
                <w:lang w:val="en-GB"/>
              </w:rPr>
            </w:pPr>
            <w:r w:rsidRPr="00336514">
              <w:rPr>
                <w:b/>
                <w:lang w:val="en-GB"/>
              </w:rPr>
              <w:t>Extent</w:t>
            </w:r>
          </w:p>
        </w:tc>
        <w:tc>
          <w:tcPr>
            <w:tcW w:w="362" w:type="dxa"/>
            <w:tcBorders>
              <w:bottom w:val="single" w:sz="4" w:space="0" w:color="auto"/>
              <w:right w:val="single" w:sz="4" w:space="0" w:color="auto"/>
            </w:tcBorders>
            <w:shd w:val="clear" w:color="auto" w:fill="auto"/>
            <w:textDirection w:val="btLr"/>
            <w:vAlign w:val="center"/>
          </w:tcPr>
          <w:p w:rsidR="0058232B" w:rsidRPr="00336514" w:rsidRDefault="0058232B" w:rsidP="0058232B">
            <w:pPr>
              <w:pStyle w:val="Table"/>
              <w:rPr>
                <w:b/>
                <w:lang w:val="en-GB"/>
              </w:rPr>
            </w:pPr>
            <w:r>
              <w:rPr>
                <w:b/>
                <w:lang w:val="en-GB"/>
              </w:rPr>
              <w:t>Shape</w:t>
            </w:r>
            <w:r w:rsidRPr="00336514">
              <w:rPr>
                <w:b/>
                <w:lang w:val="en-GB"/>
              </w:rPr>
              <w:t>/</w:t>
            </w:r>
            <w:r>
              <w:rPr>
                <w:b/>
                <w:lang w:val="en-GB"/>
              </w:rPr>
              <w:t>d</w:t>
            </w:r>
            <w:r w:rsidRPr="00336514">
              <w:rPr>
                <w:b/>
                <w:lang w:val="en-GB"/>
              </w:rPr>
              <w:t>istr.</w:t>
            </w:r>
          </w:p>
        </w:tc>
        <w:tc>
          <w:tcPr>
            <w:tcW w:w="362" w:type="dxa"/>
            <w:tcBorders>
              <w:left w:val="single" w:sz="4" w:space="0" w:color="auto"/>
              <w:bottom w:val="single" w:sz="4" w:space="0" w:color="auto"/>
            </w:tcBorders>
            <w:shd w:val="clear" w:color="auto" w:fill="auto"/>
            <w:textDirection w:val="btLr"/>
            <w:vAlign w:val="center"/>
          </w:tcPr>
          <w:p w:rsidR="0058232B" w:rsidRPr="00336514" w:rsidRDefault="0058232B" w:rsidP="0058232B">
            <w:pPr>
              <w:pStyle w:val="Table"/>
              <w:rPr>
                <w:b/>
                <w:lang w:val="en-GB"/>
              </w:rPr>
            </w:pPr>
            <w:r w:rsidRPr="00336514">
              <w:rPr>
                <w:b/>
                <w:lang w:val="en-GB"/>
              </w:rPr>
              <w:t>Duration</w:t>
            </w:r>
          </w:p>
        </w:tc>
        <w:tc>
          <w:tcPr>
            <w:tcW w:w="362" w:type="dxa"/>
            <w:tcBorders>
              <w:bottom w:val="single" w:sz="4" w:space="0" w:color="auto"/>
            </w:tcBorders>
            <w:shd w:val="clear" w:color="auto" w:fill="auto"/>
            <w:textDirection w:val="btLr"/>
            <w:vAlign w:val="center"/>
          </w:tcPr>
          <w:p w:rsidR="0058232B" w:rsidRPr="00336514" w:rsidRDefault="0058232B" w:rsidP="0058232B">
            <w:pPr>
              <w:pStyle w:val="Table"/>
              <w:rPr>
                <w:b/>
                <w:lang w:val="en-GB"/>
              </w:rPr>
            </w:pPr>
            <w:r w:rsidRPr="00336514">
              <w:rPr>
                <w:b/>
                <w:lang w:val="en-GB"/>
              </w:rPr>
              <w:t>Timing</w:t>
            </w:r>
          </w:p>
        </w:tc>
        <w:tc>
          <w:tcPr>
            <w:tcW w:w="347" w:type="dxa"/>
            <w:tcBorders>
              <w:bottom w:val="single" w:sz="4" w:space="0" w:color="auto"/>
              <w:right w:val="single" w:sz="4" w:space="0" w:color="auto"/>
            </w:tcBorders>
            <w:shd w:val="clear" w:color="auto" w:fill="auto"/>
            <w:textDirection w:val="btLr"/>
            <w:vAlign w:val="center"/>
          </w:tcPr>
          <w:p w:rsidR="0058232B" w:rsidRPr="00336514" w:rsidRDefault="0058232B" w:rsidP="0058232B">
            <w:pPr>
              <w:pStyle w:val="Table"/>
              <w:rPr>
                <w:b/>
                <w:lang w:val="en-GB"/>
              </w:rPr>
            </w:pPr>
            <w:r w:rsidRPr="00336514">
              <w:rPr>
                <w:b/>
                <w:lang w:val="en-GB"/>
              </w:rPr>
              <w:t xml:space="preserve">Temp. distr. </w:t>
            </w:r>
          </w:p>
        </w:tc>
        <w:tc>
          <w:tcPr>
            <w:tcW w:w="377" w:type="dxa"/>
            <w:tcBorders>
              <w:left w:val="single" w:sz="4" w:space="0" w:color="auto"/>
              <w:bottom w:val="single" w:sz="4" w:space="0" w:color="auto"/>
            </w:tcBorders>
            <w:shd w:val="clear" w:color="auto" w:fill="auto"/>
            <w:textDirection w:val="btLr"/>
            <w:vAlign w:val="center"/>
          </w:tcPr>
          <w:p w:rsidR="0058232B" w:rsidRPr="00336514" w:rsidRDefault="0058232B" w:rsidP="0058232B">
            <w:pPr>
              <w:pStyle w:val="Table"/>
              <w:rPr>
                <w:b/>
                <w:lang w:val="en-GB"/>
              </w:rPr>
            </w:pPr>
            <w:r w:rsidRPr="00336514">
              <w:rPr>
                <w:b/>
                <w:lang w:val="en-GB"/>
              </w:rPr>
              <w:t>Stop</w:t>
            </w:r>
          </w:p>
        </w:tc>
        <w:tc>
          <w:tcPr>
            <w:tcW w:w="362" w:type="dxa"/>
            <w:tcBorders>
              <w:bottom w:val="single" w:sz="4" w:space="0" w:color="auto"/>
            </w:tcBorders>
            <w:shd w:val="clear" w:color="auto" w:fill="auto"/>
            <w:textDirection w:val="btLr"/>
            <w:vAlign w:val="center"/>
          </w:tcPr>
          <w:p w:rsidR="0058232B" w:rsidRPr="00336514" w:rsidRDefault="0058232B" w:rsidP="0058232B">
            <w:pPr>
              <w:pStyle w:val="Table"/>
              <w:rPr>
                <w:b/>
                <w:lang w:val="en-GB"/>
              </w:rPr>
            </w:pPr>
            <w:r w:rsidRPr="00336514">
              <w:rPr>
                <w:b/>
                <w:lang w:val="en-GB"/>
              </w:rPr>
              <w:t>Move</w:t>
            </w:r>
          </w:p>
        </w:tc>
        <w:tc>
          <w:tcPr>
            <w:tcW w:w="362" w:type="dxa"/>
            <w:tcBorders>
              <w:bottom w:val="single" w:sz="4" w:space="0" w:color="auto"/>
              <w:right w:val="single" w:sz="4" w:space="0" w:color="auto"/>
            </w:tcBorders>
            <w:shd w:val="clear" w:color="auto" w:fill="auto"/>
            <w:textDirection w:val="btLr"/>
            <w:vAlign w:val="center"/>
          </w:tcPr>
          <w:p w:rsidR="0058232B" w:rsidRPr="00336514" w:rsidRDefault="00441F32" w:rsidP="0058232B">
            <w:pPr>
              <w:pStyle w:val="Table"/>
              <w:rPr>
                <w:b/>
                <w:lang w:val="en-GB"/>
              </w:rPr>
            </w:pPr>
            <w:r>
              <w:rPr>
                <w:b/>
                <w:lang w:val="en-GB"/>
              </w:rPr>
              <w:t>Trajectory</w:t>
            </w:r>
          </w:p>
        </w:tc>
        <w:tc>
          <w:tcPr>
            <w:tcW w:w="362" w:type="dxa"/>
            <w:tcBorders>
              <w:left w:val="single" w:sz="4" w:space="0" w:color="auto"/>
              <w:bottom w:val="single" w:sz="4" w:space="0" w:color="auto"/>
            </w:tcBorders>
            <w:shd w:val="clear" w:color="auto" w:fill="auto"/>
            <w:textDirection w:val="btLr"/>
            <w:vAlign w:val="center"/>
          </w:tcPr>
          <w:p w:rsidR="0058232B" w:rsidRPr="00336514" w:rsidRDefault="0058232B" w:rsidP="0058232B">
            <w:pPr>
              <w:pStyle w:val="Table"/>
              <w:rPr>
                <w:b/>
                <w:lang w:val="en-GB"/>
              </w:rPr>
            </w:pPr>
            <w:r w:rsidRPr="00336514">
              <w:rPr>
                <w:b/>
                <w:lang w:val="en-GB"/>
              </w:rPr>
              <w:t>Out of home</w:t>
            </w:r>
          </w:p>
        </w:tc>
        <w:tc>
          <w:tcPr>
            <w:tcW w:w="362" w:type="dxa"/>
            <w:tcBorders>
              <w:bottom w:val="single" w:sz="4" w:space="0" w:color="auto"/>
            </w:tcBorders>
            <w:shd w:val="clear" w:color="auto" w:fill="auto"/>
            <w:textDirection w:val="btLr"/>
            <w:vAlign w:val="center"/>
          </w:tcPr>
          <w:p w:rsidR="0058232B" w:rsidRPr="00336514" w:rsidRDefault="0058232B" w:rsidP="0058232B">
            <w:pPr>
              <w:pStyle w:val="Table"/>
              <w:rPr>
                <w:b/>
                <w:lang w:val="en-GB"/>
              </w:rPr>
            </w:pPr>
            <w:r w:rsidRPr="00336514">
              <w:rPr>
                <w:b/>
                <w:lang w:val="en-GB"/>
              </w:rPr>
              <w:t>Transport mode</w:t>
            </w:r>
          </w:p>
        </w:tc>
        <w:tc>
          <w:tcPr>
            <w:tcW w:w="383" w:type="dxa"/>
            <w:tcBorders>
              <w:bottom w:val="single" w:sz="4" w:space="0" w:color="auto"/>
              <w:right w:val="single" w:sz="4" w:space="0" w:color="auto"/>
            </w:tcBorders>
            <w:shd w:val="clear" w:color="auto" w:fill="auto"/>
            <w:textDirection w:val="btLr"/>
            <w:vAlign w:val="center"/>
          </w:tcPr>
          <w:p w:rsidR="0058232B" w:rsidRPr="00336514" w:rsidRDefault="0058232B" w:rsidP="0058232B">
            <w:pPr>
              <w:pStyle w:val="Table"/>
              <w:rPr>
                <w:b/>
                <w:lang w:val="en-GB"/>
              </w:rPr>
            </w:pPr>
            <w:r w:rsidRPr="00336514">
              <w:rPr>
                <w:b/>
                <w:lang w:val="en-GB"/>
              </w:rPr>
              <w:t xml:space="preserve">Further </w:t>
            </w:r>
            <w:r w:rsidR="000A703A">
              <w:rPr>
                <w:b/>
                <w:lang w:val="en-GB"/>
              </w:rPr>
              <w:t>attribute</w:t>
            </w:r>
          </w:p>
        </w:tc>
      </w:tr>
      <w:tr w:rsidR="0058232B" w:rsidRPr="00336514" w:rsidTr="00496AC8">
        <w:tc>
          <w:tcPr>
            <w:tcW w:w="1985" w:type="dxa"/>
            <w:tcBorders>
              <w:top w:val="single" w:sz="4" w:space="0" w:color="auto"/>
              <w:left w:val="single" w:sz="4" w:space="0" w:color="auto"/>
            </w:tcBorders>
            <w:shd w:val="clear" w:color="auto" w:fill="F2F2F2" w:themeFill="background1" w:themeFillShade="F2"/>
          </w:tcPr>
          <w:p w:rsidR="0058232B" w:rsidRPr="00623170" w:rsidRDefault="0058232B" w:rsidP="0058232B">
            <w:pPr>
              <w:pStyle w:val="Table"/>
            </w:pPr>
            <w:r w:rsidRPr="00623170">
              <w:t xml:space="preserve">Harada et al. </w:t>
            </w:r>
            <w:r w:rsidR="00AD0F13" w:rsidRPr="00623170">
              <w:fldChar w:fldCharType="begin" w:fldLock="1"/>
            </w:r>
            <w:r w:rsidRPr="00623170">
              <w:instrText>ADDIN CSL_CITATION {"citationItems":[{"id":"ITEM-1","itemData":{"DOI":"10.1111/ggi.12895","ISSN":"14470594","PMID":"27633728","abstract":"AIM Objective measurements of outdoor time are essential to establishing evidence about the health benefits of going outdoors among older adults. To better understanding the health benefits of going outdoors, clarification of potential mediators to connect going outdoors with health benefits is necessary. The present study aimed to investigate associations of objectively-measured outdoor time with older adults' physical and psychological function, and examine the mediating role of physical activity on these associations. METHODS Baseline data from a randomized control trial of physical activity among older adults with global cognitive impairment was used. Data from 192 participants were analyzed. Measures included steps-per-day, objectively-measured outdoor time per day using global positioning systems, physical function (cardiorespiratory fitness, lower-extremity strength), psychological function (depression, well-being) and basic factors. RESULTS Path analysis showed that outdoor time was significantly associated with steps-per-day (path coefficient = 0.23) and depression (path coefficient = -0.16). Outdoor time was not directly associated with cardiorespiratory fitness, lower-extremity strength and well-being. However, steps-per-day was associated with cardiorespiratory fitness (path coefficient = 0.18), lower-extremity strength (path coefficient = -0.22) and well-being (path coefficient = 0.14). CONCLUSIONS We found that objectively-measured outdoor time was indirectly associated with physical function, and both directly and indirectly with psychological function through physical activity among older adults. This finding indicates that going outdoors influences older adults' health outcomes, and is mainly mediated by physical activity. Geriatr Gerontol Int 2017; 17: 1455-1462.","author":[{"dropping-particle":"","family":"Harada","given":"Kazuhiro","non-dropping-particle":"","parse-names":false,"suffix":""},{"dropping-particle":"","family":"Lee","given":"Sangyoon","non-dropping-particle":"","parse-names":false,"suffix":""},{"dropping-particle":"","family":"Lee","given":"Sungchul","non-dropping-particle":"","parse-names":false,"suffix":""},{"dropping-particle":"","family":"Bae","given":"Seongryu","non-dropping-particle":"","parse-names":false,"suffix":""},{"dropping-particle":"","family":"Harada","given":"Kenji","non-dropping-particle":"","parse-names":false,"suffix":""},{"dropping-particle":"","family":"Suzuki","given":"Takao","non-dropping-particle":"","parse-names":false,"suffix":""},{"dropping-particle":"","family":"Shimada","given":"Hiroyuki","non-dropping-particle":"","parse-names":false,"suffix":""}],"container-title":"Geriatrics and Gerontology International","id":"ITEM-1","issue":"10","issued":{"date-parts":[["2017"]]},"page":"1455-1462","title":"Objectively-measured outdoor time and physical and psychological function among older adults","type":"article-journal","volume":"17"},"uris":["http://www.mendeley.com/documents/?uuid=11fa317b-c39b-482d-9506-4150eace6374"]},{"id":"ITEM-2","itemData":{"DOI":"10.1016/J.ARCHGER.2018.06.003","ISSN":"0167-4943","abstract":"BACKGROUND\nOlder adults with cognitive impairment are at higher risk for various health problems. Although previous studies have suggested going outdoors more frequently might be effective to promote health, no longitudinal studies have examined objectively measured outdoor time in this population. This study examined the relationships between changes in objectively measured outdoor time and physical, psychological, and cognitive functions among older adults with cognitive impairments. \n\nMETHODS\nThis study was a secondary analysis of a randomized controlled trial (n = 145). The baseline and 1-year follow-up data of outdoor time per day measured by the global positioning system, physical functions (6-minute walk test, 5-repetition chair stand test), psychological functions (Geriatric Depression Scale, simplified World Health Organization Five Well-being Index), and cognitive functions (tablet versions of the Trail-making Test, Symbol Digit Substitution Test, Word Memory Test, Story Memory Test) were used. \n\nRESULTS\nMultiple regression analyses revealed that changes in outdoor time were significantly associated with changes in 6-minute walk (standardized beta = 0.20, p = 0.048) and 5-repetition chair stand tests (standardized beta = −0.19, p = 0.032) after adjusting for baseline data, basic factors, and trial allocation. However, significant relationships between changes in outdoor time and psychological and cognitive functions were not revealed. \n\nCONCLUSIONS\nThe results indicate that maintaining or increasing outdoor time would be effective to prevent declines in physical functions but that a quantitative aspect of going outdoors would have limited impact on psychological and cognitive functions among older adults with cognitive impairment.","author":[{"dropping-particle":"","family":"Harada","given":"Kazuhiro","non-dropping-particle":"","parse-names":false,"suffix":""},{"dropping-particle":"","family":"Lee","given":"Sangyoon","non-dropping-particle":"","parse-names":false,"suffix":""},{"dropping-particle":"","family":"Lee","given":"Sungchul","non-dropping-particle":"","parse-names":false,"suffix":""},{"dropping-particle":"","family":"Bae","given":"Seongryu","non-dropping-particle":"","parse-names":false,"suffix":""},{"dropping-particle":"","family":"Harada","given":"Kenji","non-dropping-particle":"","parse-names":false,"suffix":""},{"dropping-particle":"","family":"Shimada","given":"Hiroyuki","non-dropping-particle":"","parse-names":false,"suffix":""}],"container-title":"Archives of Gerontology and Geriatrics","id":"ITEM-2","issued":{"date-parts":[["2018","9","1"]]},"page":"190-195","publisher":"Elsevier","title":"Changes in objectively measured outdoor time and physical, psychological, and cognitive function among older adults with cognitive impairments","type":"article-journal","volume":"78"},"uris":["http://www.mendeley.com/documents/?uuid=c0d504d4-9a44-381b-b815-ed4466bf06b7"]}],"mendeley":{"formattedCitation":"(1,2)","plainTextFormattedCitation":"(1,2)","previouslyFormattedCitation":"(1,2)"},"properties":{"noteIndex":0},"schema":"https://github.com/citation-style-language/schema/raw/master/csl-citation.json"}</w:instrText>
            </w:r>
            <w:r w:rsidR="00AD0F13" w:rsidRPr="00623170">
              <w:fldChar w:fldCharType="separate"/>
            </w:r>
            <w:r w:rsidRPr="00623170">
              <w:rPr>
                <w:noProof/>
              </w:rPr>
              <w:t>(1,</w:t>
            </w:r>
            <w:r w:rsidRPr="00623170">
              <w:rPr>
                <w:noProof/>
                <w:u w:val="single"/>
              </w:rPr>
              <w:t>2</w:t>
            </w:r>
            <w:r w:rsidRPr="00623170">
              <w:rPr>
                <w:noProof/>
              </w:rPr>
              <w:t>)</w:t>
            </w:r>
            <w:r w:rsidR="00AD0F13" w:rsidRPr="00623170">
              <w:fldChar w:fldCharType="end"/>
            </w:r>
          </w:p>
        </w:tc>
        <w:tc>
          <w:tcPr>
            <w:tcW w:w="709" w:type="dxa"/>
            <w:tcBorders>
              <w:top w:val="single" w:sz="4" w:space="0" w:color="auto"/>
            </w:tcBorders>
            <w:shd w:val="clear" w:color="auto" w:fill="F2F2F2" w:themeFill="background1" w:themeFillShade="F2"/>
          </w:tcPr>
          <w:p w:rsidR="0058232B" w:rsidRPr="00336514" w:rsidRDefault="0058232B" w:rsidP="0058232B">
            <w:pPr>
              <w:pStyle w:val="Table"/>
            </w:pPr>
            <w:r w:rsidRPr="00336514">
              <w:t>1</w:t>
            </w:r>
          </w:p>
        </w:tc>
        <w:tc>
          <w:tcPr>
            <w:tcW w:w="6662" w:type="dxa"/>
            <w:tcBorders>
              <w:top w:val="single" w:sz="4" w:space="0" w:color="auto"/>
              <w:right w:val="single" w:sz="4" w:space="0" w:color="auto"/>
            </w:tcBorders>
            <w:shd w:val="clear" w:color="auto" w:fill="F2F2F2" w:themeFill="background1" w:themeFillShade="F2"/>
          </w:tcPr>
          <w:p w:rsidR="0058232B" w:rsidRPr="00336514" w:rsidRDefault="0058232B" w:rsidP="0058232B">
            <w:pPr>
              <w:pStyle w:val="Table"/>
            </w:pPr>
            <w:r w:rsidRPr="00336514">
              <w:t>Time out of home (TOH)</w:t>
            </w:r>
          </w:p>
        </w:tc>
        <w:tc>
          <w:tcPr>
            <w:tcW w:w="363" w:type="dxa"/>
            <w:tcBorders>
              <w:top w:val="single" w:sz="4" w:space="0" w:color="auto"/>
              <w:left w:val="single" w:sz="4" w:space="0" w:color="auto"/>
            </w:tcBorders>
            <w:shd w:val="clear" w:color="auto" w:fill="F2F2F2" w:themeFill="background1" w:themeFillShade="F2"/>
          </w:tcPr>
          <w:p w:rsidR="0058232B" w:rsidRPr="00336514" w:rsidRDefault="0058232B" w:rsidP="0058232B">
            <w:pPr>
              <w:pStyle w:val="Table"/>
            </w:pPr>
          </w:p>
        </w:tc>
        <w:tc>
          <w:tcPr>
            <w:tcW w:w="362" w:type="dxa"/>
            <w:tcBorders>
              <w:top w:val="single" w:sz="4" w:space="0" w:color="auto"/>
            </w:tcBorders>
            <w:shd w:val="clear" w:color="auto" w:fill="F2F2F2" w:themeFill="background1" w:themeFillShade="F2"/>
          </w:tcPr>
          <w:p w:rsidR="0058232B" w:rsidRPr="00336514" w:rsidRDefault="0058232B" w:rsidP="0058232B">
            <w:pPr>
              <w:pStyle w:val="Table"/>
              <w:rPr>
                <w:lang w:val="en-GB"/>
              </w:rPr>
            </w:pPr>
          </w:p>
        </w:tc>
        <w:tc>
          <w:tcPr>
            <w:tcW w:w="362" w:type="dxa"/>
            <w:tcBorders>
              <w:top w:val="single" w:sz="4" w:space="0" w:color="auto"/>
              <w:right w:val="single" w:sz="4" w:space="0" w:color="auto"/>
            </w:tcBorders>
            <w:shd w:val="clear" w:color="auto" w:fill="F2F2F2" w:themeFill="background1" w:themeFillShade="F2"/>
          </w:tcPr>
          <w:p w:rsidR="0058232B" w:rsidRPr="00336514" w:rsidRDefault="0058232B" w:rsidP="0058232B">
            <w:pPr>
              <w:pStyle w:val="Table"/>
            </w:pPr>
          </w:p>
        </w:tc>
        <w:tc>
          <w:tcPr>
            <w:tcW w:w="362" w:type="dxa"/>
            <w:tcBorders>
              <w:top w:val="single" w:sz="4" w:space="0" w:color="auto"/>
              <w:left w:val="single" w:sz="4" w:space="0" w:color="auto"/>
            </w:tcBorders>
            <w:shd w:val="clear" w:color="auto" w:fill="F2F2F2" w:themeFill="background1" w:themeFillShade="F2"/>
          </w:tcPr>
          <w:p w:rsidR="0058232B" w:rsidRPr="00336514" w:rsidRDefault="0058232B" w:rsidP="0058232B">
            <w:pPr>
              <w:pStyle w:val="Table"/>
            </w:pPr>
            <w:r w:rsidRPr="00336514">
              <w:rPr>
                <w:lang w:val="en-GB"/>
              </w:rPr>
              <w:sym w:font="Wingdings" w:char="F0FC"/>
            </w:r>
          </w:p>
        </w:tc>
        <w:tc>
          <w:tcPr>
            <w:tcW w:w="362" w:type="dxa"/>
            <w:tcBorders>
              <w:top w:val="single" w:sz="4" w:space="0" w:color="auto"/>
            </w:tcBorders>
            <w:shd w:val="clear" w:color="auto" w:fill="F2F2F2" w:themeFill="background1" w:themeFillShade="F2"/>
          </w:tcPr>
          <w:p w:rsidR="0058232B" w:rsidRPr="00336514" w:rsidRDefault="0058232B" w:rsidP="0058232B">
            <w:pPr>
              <w:pStyle w:val="Table"/>
            </w:pPr>
          </w:p>
        </w:tc>
        <w:tc>
          <w:tcPr>
            <w:tcW w:w="347" w:type="dxa"/>
            <w:tcBorders>
              <w:top w:val="single" w:sz="4" w:space="0" w:color="auto"/>
              <w:right w:val="single" w:sz="4" w:space="0" w:color="auto"/>
            </w:tcBorders>
            <w:shd w:val="clear" w:color="auto" w:fill="F2F2F2" w:themeFill="background1" w:themeFillShade="F2"/>
          </w:tcPr>
          <w:p w:rsidR="0058232B" w:rsidRPr="00336514" w:rsidRDefault="0058232B" w:rsidP="0058232B">
            <w:pPr>
              <w:pStyle w:val="Table"/>
            </w:pPr>
          </w:p>
        </w:tc>
        <w:tc>
          <w:tcPr>
            <w:tcW w:w="377" w:type="dxa"/>
            <w:tcBorders>
              <w:top w:val="single" w:sz="4" w:space="0" w:color="auto"/>
              <w:left w:val="single" w:sz="4" w:space="0" w:color="auto"/>
            </w:tcBorders>
            <w:shd w:val="clear" w:color="auto" w:fill="F2F2F2" w:themeFill="background1" w:themeFillShade="F2"/>
          </w:tcPr>
          <w:p w:rsidR="0058232B" w:rsidRPr="00336514" w:rsidRDefault="0058232B" w:rsidP="0058232B">
            <w:pPr>
              <w:pStyle w:val="Table"/>
            </w:pPr>
          </w:p>
        </w:tc>
        <w:tc>
          <w:tcPr>
            <w:tcW w:w="362" w:type="dxa"/>
            <w:tcBorders>
              <w:top w:val="single" w:sz="4" w:space="0" w:color="auto"/>
            </w:tcBorders>
            <w:shd w:val="clear" w:color="auto" w:fill="F2F2F2" w:themeFill="background1" w:themeFillShade="F2"/>
          </w:tcPr>
          <w:p w:rsidR="0058232B" w:rsidRPr="00336514" w:rsidRDefault="0058232B" w:rsidP="0058232B">
            <w:pPr>
              <w:pStyle w:val="Table"/>
            </w:pPr>
          </w:p>
        </w:tc>
        <w:tc>
          <w:tcPr>
            <w:tcW w:w="362" w:type="dxa"/>
            <w:tcBorders>
              <w:top w:val="single" w:sz="4" w:space="0" w:color="auto"/>
              <w:right w:val="single" w:sz="4" w:space="0" w:color="auto"/>
            </w:tcBorders>
            <w:shd w:val="clear" w:color="auto" w:fill="F2F2F2" w:themeFill="background1" w:themeFillShade="F2"/>
          </w:tcPr>
          <w:p w:rsidR="0058232B" w:rsidRPr="00336514" w:rsidRDefault="0058232B" w:rsidP="0058232B">
            <w:pPr>
              <w:pStyle w:val="Table"/>
            </w:pPr>
            <w:r w:rsidRPr="00336514">
              <w:rPr>
                <w:lang w:val="en-GB"/>
              </w:rPr>
              <w:sym w:font="Wingdings" w:char="F0FC"/>
            </w:r>
          </w:p>
        </w:tc>
        <w:tc>
          <w:tcPr>
            <w:tcW w:w="362" w:type="dxa"/>
            <w:tcBorders>
              <w:top w:val="single" w:sz="4" w:space="0" w:color="auto"/>
              <w:left w:val="single" w:sz="4" w:space="0" w:color="auto"/>
            </w:tcBorders>
            <w:shd w:val="clear" w:color="auto" w:fill="F2F2F2" w:themeFill="background1" w:themeFillShade="F2"/>
          </w:tcPr>
          <w:p w:rsidR="0058232B" w:rsidRPr="00336514" w:rsidRDefault="0058232B" w:rsidP="0058232B">
            <w:pPr>
              <w:pStyle w:val="Table"/>
            </w:pPr>
            <w:r w:rsidRPr="00336514">
              <w:rPr>
                <w:lang w:val="en-GB"/>
              </w:rPr>
              <w:sym w:font="Wingdings" w:char="F0FC"/>
            </w:r>
          </w:p>
        </w:tc>
        <w:tc>
          <w:tcPr>
            <w:tcW w:w="362" w:type="dxa"/>
            <w:tcBorders>
              <w:top w:val="single" w:sz="4" w:space="0" w:color="auto"/>
            </w:tcBorders>
            <w:shd w:val="clear" w:color="auto" w:fill="F2F2F2" w:themeFill="background1" w:themeFillShade="F2"/>
          </w:tcPr>
          <w:p w:rsidR="0058232B" w:rsidRPr="00336514" w:rsidRDefault="0058232B" w:rsidP="0058232B">
            <w:pPr>
              <w:pStyle w:val="Table"/>
            </w:pPr>
          </w:p>
        </w:tc>
        <w:tc>
          <w:tcPr>
            <w:tcW w:w="383" w:type="dxa"/>
            <w:tcBorders>
              <w:top w:val="single" w:sz="4" w:space="0" w:color="auto"/>
              <w:right w:val="single" w:sz="4" w:space="0" w:color="auto"/>
            </w:tcBorders>
            <w:shd w:val="clear" w:color="auto" w:fill="F2F2F2" w:themeFill="background1" w:themeFillShade="F2"/>
          </w:tcPr>
          <w:p w:rsidR="0058232B" w:rsidRPr="00336514" w:rsidRDefault="0058232B" w:rsidP="0058232B">
            <w:pPr>
              <w:pStyle w:val="Table"/>
            </w:pPr>
          </w:p>
        </w:tc>
      </w:tr>
      <w:tr w:rsidR="0058232B" w:rsidRPr="00336514" w:rsidTr="00496AC8">
        <w:tc>
          <w:tcPr>
            <w:tcW w:w="1985" w:type="dxa"/>
            <w:vMerge w:val="restart"/>
            <w:tcBorders>
              <w:left w:val="single" w:sz="4" w:space="0" w:color="auto"/>
            </w:tcBorders>
          </w:tcPr>
          <w:p w:rsidR="0058232B" w:rsidRPr="00623170" w:rsidRDefault="0058232B" w:rsidP="0058232B">
            <w:pPr>
              <w:pStyle w:val="Table"/>
            </w:pPr>
            <w:r w:rsidRPr="00623170">
              <w:t xml:space="preserve">Kaspar et al. </w:t>
            </w:r>
            <w:r w:rsidR="00AD0F13" w:rsidRPr="00623170">
              <w:fldChar w:fldCharType="begin" w:fldLock="1"/>
            </w:r>
            <w:r w:rsidRPr="00623170">
              <w:instrText>ADDIN CSL_CITATION {"citationItems":[{"id":"ITEM-1","itemData":{"DOI":"10.1177/0733464812466290","ISSN":"0733-4648","author":[{"dropping-particle":"","family":"Kaspar","given":"Roman","non-dropping-particle":"","parse-names":false,"suffix":""},{"dropping-particle":"","family":"Oswald","given":"Frank","non-dropping-particle":"","parse-names":false,"suffix":""},{"dropping-particle":"","family":"Wahl","given":"Hans-Werner","non-dropping-particle":"","parse-names":false,"suffix":""},{"dropping-particle":"","family":"Voss","given":"Elke","non-dropping-particle":"","parse-names":false,"suffix":""},{"dropping-particle":"","family":"Wettstein","given":"Markus","non-dropping-particle":"","parse-names":false,"suffix":""}],"container-title":"Journal of Applied Gerontology","id":"ITEM-1","issue":"1","issued":{"date-parts":[["2015","2"]]},"page":"26-47","title":"Daily mood and out-of-home mobility in older adults: does cognitive impairment matter?","type":"article-journal","volume":"34"},"uris":["http://www.mendeley.com/documents/?uuid=bd94dcc7-8b62-4390-a8e3-2697a4e3ed7f"]}],"mendeley":{"formattedCitation":"(3)","plainTextFormattedCitation":"(3)","previouslyFormattedCitation":"(3)"},"properties":{"noteIndex":0},"schema":"https://github.com/citation-style-language/schema/raw/master/csl-citation.json"}</w:instrText>
            </w:r>
            <w:r w:rsidR="00AD0F13" w:rsidRPr="00623170">
              <w:fldChar w:fldCharType="separate"/>
            </w:r>
            <w:r w:rsidRPr="00623170">
              <w:rPr>
                <w:noProof/>
              </w:rPr>
              <w:t>(3)</w:t>
            </w:r>
            <w:r w:rsidR="00AD0F13" w:rsidRPr="00623170">
              <w:fldChar w:fldCharType="end"/>
            </w:r>
          </w:p>
        </w:tc>
        <w:tc>
          <w:tcPr>
            <w:tcW w:w="709" w:type="dxa"/>
            <w:vMerge w:val="restart"/>
          </w:tcPr>
          <w:p w:rsidR="0058232B" w:rsidRPr="00336514" w:rsidRDefault="0058232B" w:rsidP="0058232B">
            <w:pPr>
              <w:pStyle w:val="Table"/>
            </w:pPr>
            <w:r w:rsidRPr="00336514">
              <w:t>2</w:t>
            </w:r>
          </w:p>
        </w:tc>
        <w:tc>
          <w:tcPr>
            <w:tcW w:w="6662" w:type="dxa"/>
            <w:tcBorders>
              <w:right w:val="single" w:sz="4" w:space="0" w:color="auto"/>
            </w:tcBorders>
          </w:tcPr>
          <w:p w:rsidR="0058232B" w:rsidRPr="00336514" w:rsidRDefault="0058232B" w:rsidP="0058232B">
            <w:pPr>
              <w:pStyle w:val="Table"/>
            </w:pPr>
            <w:r w:rsidRPr="00336514">
              <w:t xml:space="preserve">TOH </w:t>
            </w:r>
          </w:p>
        </w:tc>
        <w:tc>
          <w:tcPr>
            <w:tcW w:w="363" w:type="dxa"/>
            <w:tcBorders>
              <w:left w:val="single" w:sz="4" w:space="0" w:color="auto"/>
            </w:tcBorders>
          </w:tcPr>
          <w:p w:rsidR="0058232B" w:rsidRPr="00336514" w:rsidRDefault="0058232B" w:rsidP="0058232B">
            <w:pPr>
              <w:pStyle w:val="Table"/>
            </w:pPr>
          </w:p>
        </w:tc>
        <w:tc>
          <w:tcPr>
            <w:tcW w:w="362" w:type="dxa"/>
          </w:tcPr>
          <w:p w:rsidR="0058232B" w:rsidRPr="00336514" w:rsidRDefault="0058232B" w:rsidP="0058232B">
            <w:pPr>
              <w:pStyle w:val="Table"/>
              <w:rPr>
                <w:lang w:val="en-GB"/>
              </w:rPr>
            </w:pPr>
          </w:p>
        </w:tc>
        <w:tc>
          <w:tcPr>
            <w:tcW w:w="362" w:type="dxa"/>
            <w:tcBorders>
              <w:right w:val="single" w:sz="4" w:space="0" w:color="auto"/>
            </w:tcBorders>
          </w:tcPr>
          <w:p w:rsidR="0058232B" w:rsidRPr="00336514" w:rsidRDefault="0058232B" w:rsidP="0058232B">
            <w:pPr>
              <w:pStyle w:val="Table"/>
            </w:pPr>
          </w:p>
        </w:tc>
        <w:tc>
          <w:tcPr>
            <w:tcW w:w="362" w:type="dxa"/>
            <w:tcBorders>
              <w:left w:val="single" w:sz="4" w:space="0" w:color="auto"/>
            </w:tcBorders>
          </w:tcPr>
          <w:p w:rsidR="0058232B" w:rsidRPr="00336514" w:rsidRDefault="0058232B" w:rsidP="0058232B">
            <w:pPr>
              <w:pStyle w:val="Table"/>
              <w:rPr>
                <w:lang w:val="en-GB"/>
              </w:rPr>
            </w:pPr>
            <w:r w:rsidRPr="00336514">
              <w:rPr>
                <w:lang w:val="en-GB"/>
              </w:rPr>
              <w:sym w:font="Wingdings" w:char="F0FC"/>
            </w:r>
          </w:p>
        </w:tc>
        <w:tc>
          <w:tcPr>
            <w:tcW w:w="362" w:type="dxa"/>
          </w:tcPr>
          <w:p w:rsidR="0058232B" w:rsidRPr="00336514" w:rsidRDefault="0058232B" w:rsidP="0058232B">
            <w:pPr>
              <w:pStyle w:val="Table"/>
            </w:pPr>
          </w:p>
        </w:tc>
        <w:tc>
          <w:tcPr>
            <w:tcW w:w="347" w:type="dxa"/>
            <w:tcBorders>
              <w:right w:val="single" w:sz="4" w:space="0" w:color="auto"/>
            </w:tcBorders>
          </w:tcPr>
          <w:p w:rsidR="0058232B" w:rsidRPr="00336514" w:rsidRDefault="0058232B" w:rsidP="0058232B">
            <w:pPr>
              <w:pStyle w:val="Table"/>
            </w:pPr>
          </w:p>
        </w:tc>
        <w:tc>
          <w:tcPr>
            <w:tcW w:w="377" w:type="dxa"/>
            <w:tcBorders>
              <w:left w:val="single" w:sz="4" w:space="0" w:color="auto"/>
            </w:tcBorders>
          </w:tcPr>
          <w:p w:rsidR="0058232B" w:rsidRPr="00336514" w:rsidRDefault="0058232B" w:rsidP="0058232B">
            <w:pPr>
              <w:pStyle w:val="Table"/>
            </w:pPr>
          </w:p>
        </w:tc>
        <w:tc>
          <w:tcPr>
            <w:tcW w:w="362" w:type="dxa"/>
          </w:tcPr>
          <w:p w:rsidR="0058232B" w:rsidRPr="00336514" w:rsidRDefault="0058232B" w:rsidP="0058232B">
            <w:pPr>
              <w:pStyle w:val="Table"/>
              <w:rPr>
                <w:lang w:val="en-GB"/>
              </w:rPr>
            </w:pPr>
          </w:p>
        </w:tc>
        <w:tc>
          <w:tcPr>
            <w:tcW w:w="362" w:type="dxa"/>
            <w:tcBorders>
              <w:right w:val="single" w:sz="4" w:space="0" w:color="auto"/>
            </w:tcBorders>
          </w:tcPr>
          <w:p w:rsidR="0058232B" w:rsidRPr="00336514" w:rsidRDefault="0058232B" w:rsidP="0058232B">
            <w:pPr>
              <w:pStyle w:val="Table"/>
              <w:rPr>
                <w:lang w:val="en-GB"/>
              </w:rPr>
            </w:pPr>
            <w:r w:rsidRPr="00336514">
              <w:rPr>
                <w:lang w:val="en-GB"/>
              </w:rPr>
              <w:sym w:font="Wingdings" w:char="F0FC"/>
            </w:r>
          </w:p>
        </w:tc>
        <w:tc>
          <w:tcPr>
            <w:tcW w:w="362" w:type="dxa"/>
            <w:tcBorders>
              <w:left w:val="single" w:sz="4" w:space="0" w:color="auto"/>
            </w:tcBorders>
          </w:tcPr>
          <w:p w:rsidR="0058232B" w:rsidRPr="00336514" w:rsidRDefault="0058232B" w:rsidP="0058232B">
            <w:pPr>
              <w:pStyle w:val="Table"/>
              <w:rPr>
                <w:lang w:val="en-GB"/>
              </w:rPr>
            </w:pPr>
            <w:r w:rsidRPr="00336514">
              <w:rPr>
                <w:lang w:val="en-GB"/>
              </w:rPr>
              <w:sym w:font="Wingdings" w:char="F0FC"/>
            </w:r>
          </w:p>
        </w:tc>
        <w:tc>
          <w:tcPr>
            <w:tcW w:w="362" w:type="dxa"/>
          </w:tcPr>
          <w:p w:rsidR="0058232B" w:rsidRPr="00336514" w:rsidRDefault="0058232B" w:rsidP="0058232B">
            <w:pPr>
              <w:pStyle w:val="Table"/>
              <w:rPr>
                <w:lang w:val="en-GB"/>
              </w:rPr>
            </w:pPr>
          </w:p>
        </w:tc>
        <w:tc>
          <w:tcPr>
            <w:tcW w:w="383" w:type="dxa"/>
            <w:tcBorders>
              <w:right w:val="single" w:sz="4" w:space="0" w:color="auto"/>
            </w:tcBorders>
          </w:tcPr>
          <w:p w:rsidR="0058232B" w:rsidRPr="00336514" w:rsidRDefault="0058232B" w:rsidP="0058232B">
            <w:pPr>
              <w:pStyle w:val="Table"/>
            </w:pPr>
          </w:p>
        </w:tc>
      </w:tr>
      <w:tr w:rsidR="0058232B" w:rsidRPr="00336514" w:rsidTr="00496AC8">
        <w:tc>
          <w:tcPr>
            <w:tcW w:w="1985" w:type="dxa"/>
            <w:vMerge/>
            <w:tcBorders>
              <w:left w:val="single" w:sz="4" w:space="0" w:color="auto"/>
            </w:tcBorders>
          </w:tcPr>
          <w:p w:rsidR="0058232B" w:rsidRPr="00623170" w:rsidRDefault="0058232B" w:rsidP="0058232B">
            <w:pPr>
              <w:pStyle w:val="Table"/>
            </w:pPr>
          </w:p>
        </w:tc>
        <w:tc>
          <w:tcPr>
            <w:tcW w:w="709" w:type="dxa"/>
            <w:vMerge/>
          </w:tcPr>
          <w:p w:rsidR="0058232B" w:rsidRPr="00336514" w:rsidRDefault="0058232B" w:rsidP="0058232B">
            <w:pPr>
              <w:pStyle w:val="Table"/>
            </w:pPr>
          </w:p>
        </w:tc>
        <w:tc>
          <w:tcPr>
            <w:tcW w:w="6662" w:type="dxa"/>
            <w:tcBorders>
              <w:right w:val="single" w:sz="4" w:space="0" w:color="auto"/>
            </w:tcBorders>
          </w:tcPr>
          <w:p w:rsidR="0058232B" w:rsidRPr="00336514" w:rsidRDefault="0058232B" w:rsidP="0058232B">
            <w:pPr>
              <w:pStyle w:val="Table"/>
            </w:pPr>
            <w:r w:rsidRPr="00336514">
              <w:t>Distance walking</w:t>
            </w:r>
          </w:p>
        </w:tc>
        <w:tc>
          <w:tcPr>
            <w:tcW w:w="363" w:type="dxa"/>
            <w:tcBorders>
              <w:left w:val="single" w:sz="4" w:space="0" w:color="auto"/>
            </w:tcBorders>
          </w:tcPr>
          <w:p w:rsidR="0058232B" w:rsidRPr="00336514" w:rsidRDefault="0058232B" w:rsidP="0058232B">
            <w:pPr>
              <w:pStyle w:val="Table"/>
            </w:pPr>
          </w:p>
        </w:tc>
        <w:tc>
          <w:tcPr>
            <w:tcW w:w="362" w:type="dxa"/>
          </w:tcPr>
          <w:p w:rsidR="0058232B" w:rsidRPr="00336514" w:rsidRDefault="0058232B" w:rsidP="0058232B">
            <w:pPr>
              <w:pStyle w:val="Table"/>
              <w:rPr>
                <w:lang w:val="en-GB"/>
              </w:rPr>
            </w:pPr>
            <w:r w:rsidRPr="00336514">
              <w:rPr>
                <w:lang w:val="en-GB"/>
              </w:rPr>
              <w:sym w:font="Wingdings" w:char="F0FC"/>
            </w:r>
          </w:p>
        </w:tc>
        <w:tc>
          <w:tcPr>
            <w:tcW w:w="362" w:type="dxa"/>
            <w:tcBorders>
              <w:right w:val="single" w:sz="4" w:space="0" w:color="auto"/>
            </w:tcBorders>
          </w:tcPr>
          <w:p w:rsidR="0058232B" w:rsidRPr="00336514" w:rsidRDefault="0058232B" w:rsidP="0058232B">
            <w:pPr>
              <w:pStyle w:val="Table"/>
            </w:pPr>
          </w:p>
        </w:tc>
        <w:tc>
          <w:tcPr>
            <w:tcW w:w="362" w:type="dxa"/>
            <w:tcBorders>
              <w:left w:val="single" w:sz="4" w:space="0" w:color="auto"/>
            </w:tcBorders>
          </w:tcPr>
          <w:p w:rsidR="0058232B" w:rsidRPr="00336514" w:rsidRDefault="0058232B" w:rsidP="0058232B">
            <w:pPr>
              <w:pStyle w:val="Table"/>
              <w:rPr>
                <w:lang w:val="en-GB"/>
              </w:rPr>
            </w:pPr>
          </w:p>
        </w:tc>
        <w:tc>
          <w:tcPr>
            <w:tcW w:w="362" w:type="dxa"/>
          </w:tcPr>
          <w:p w:rsidR="0058232B" w:rsidRPr="00336514" w:rsidRDefault="0058232B" w:rsidP="0058232B">
            <w:pPr>
              <w:pStyle w:val="Table"/>
            </w:pPr>
          </w:p>
        </w:tc>
        <w:tc>
          <w:tcPr>
            <w:tcW w:w="347" w:type="dxa"/>
            <w:tcBorders>
              <w:right w:val="single" w:sz="4" w:space="0" w:color="auto"/>
            </w:tcBorders>
          </w:tcPr>
          <w:p w:rsidR="0058232B" w:rsidRPr="00336514" w:rsidRDefault="0058232B" w:rsidP="0058232B">
            <w:pPr>
              <w:pStyle w:val="Table"/>
            </w:pPr>
          </w:p>
        </w:tc>
        <w:tc>
          <w:tcPr>
            <w:tcW w:w="377" w:type="dxa"/>
            <w:tcBorders>
              <w:left w:val="single" w:sz="4" w:space="0" w:color="auto"/>
            </w:tcBorders>
          </w:tcPr>
          <w:p w:rsidR="0058232B" w:rsidRPr="00336514" w:rsidRDefault="0058232B" w:rsidP="0058232B">
            <w:pPr>
              <w:pStyle w:val="Table"/>
            </w:pPr>
          </w:p>
        </w:tc>
        <w:tc>
          <w:tcPr>
            <w:tcW w:w="362" w:type="dxa"/>
          </w:tcPr>
          <w:p w:rsidR="0058232B" w:rsidRPr="00336514" w:rsidRDefault="0058232B" w:rsidP="0058232B">
            <w:pPr>
              <w:pStyle w:val="Table"/>
              <w:rPr>
                <w:lang w:val="en-GB"/>
              </w:rPr>
            </w:pPr>
            <w:r w:rsidRPr="00336514">
              <w:rPr>
                <w:lang w:val="en-GB"/>
              </w:rPr>
              <w:sym w:font="Wingdings" w:char="F0FC"/>
            </w:r>
          </w:p>
        </w:tc>
        <w:tc>
          <w:tcPr>
            <w:tcW w:w="362" w:type="dxa"/>
            <w:tcBorders>
              <w:right w:val="single" w:sz="4" w:space="0" w:color="auto"/>
            </w:tcBorders>
          </w:tcPr>
          <w:p w:rsidR="0058232B" w:rsidRPr="00336514" w:rsidRDefault="0058232B" w:rsidP="0058232B">
            <w:pPr>
              <w:pStyle w:val="Table"/>
              <w:rPr>
                <w:lang w:val="en-GB"/>
              </w:rPr>
            </w:pPr>
          </w:p>
        </w:tc>
        <w:tc>
          <w:tcPr>
            <w:tcW w:w="362" w:type="dxa"/>
            <w:tcBorders>
              <w:left w:val="single" w:sz="4" w:space="0" w:color="auto"/>
            </w:tcBorders>
          </w:tcPr>
          <w:p w:rsidR="0058232B" w:rsidRPr="00336514" w:rsidRDefault="0058232B" w:rsidP="0058232B">
            <w:pPr>
              <w:pStyle w:val="Table"/>
              <w:rPr>
                <w:lang w:val="en-GB"/>
              </w:rPr>
            </w:pPr>
          </w:p>
        </w:tc>
        <w:tc>
          <w:tcPr>
            <w:tcW w:w="362" w:type="dxa"/>
          </w:tcPr>
          <w:p w:rsidR="0058232B" w:rsidRPr="00336514" w:rsidRDefault="0058232B" w:rsidP="0058232B">
            <w:pPr>
              <w:pStyle w:val="Table"/>
              <w:rPr>
                <w:lang w:val="en-GB"/>
              </w:rPr>
            </w:pPr>
            <w:r w:rsidRPr="00336514">
              <w:rPr>
                <w:lang w:val="en-GB"/>
              </w:rPr>
              <w:sym w:font="Wingdings" w:char="F0FC"/>
            </w:r>
          </w:p>
        </w:tc>
        <w:tc>
          <w:tcPr>
            <w:tcW w:w="383" w:type="dxa"/>
            <w:tcBorders>
              <w:right w:val="single" w:sz="4" w:space="0" w:color="auto"/>
            </w:tcBorders>
          </w:tcPr>
          <w:p w:rsidR="0058232B" w:rsidRPr="00336514" w:rsidRDefault="0058232B" w:rsidP="0058232B">
            <w:pPr>
              <w:pStyle w:val="Table"/>
            </w:pPr>
          </w:p>
        </w:tc>
      </w:tr>
      <w:tr w:rsidR="0058232B" w:rsidRPr="00336514" w:rsidTr="00496AC8">
        <w:tc>
          <w:tcPr>
            <w:tcW w:w="1985" w:type="dxa"/>
            <w:vMerge w:val="restart"/>
            <w:tcBorders>
              <w:left w:val="single" w:sz="4" w:space="0" w:color="auto"/>
            </w:tcBorders>
            <w:shd w:val="clear" w:color="auto" w:fill="F2F2F2" w:themeFill="background1" w:themeFillShade="F2"/>
          </w:tcPr>
          <w:p w:rsidR="0058232B" w:rsidRPr="00623170" w:rsidRDefault="0058232B" w:rsidP="0058232B">
            <w:pPr>
              <w:pStyle w:val="Table"/>
            </w:pPr>
            <w:r w:rsidRPr="00623170">
              <w:rPr>
                <w:lang w:val="en-GB"/>
              </w:rPr>
              <w:t xml:space="preserve">Wahl et al. </w:t>
            </w:r>
            <w:r w:rsidR="00AD0F13" w:rsidRPr="00623170">
              <w:rPr>
                <w:lang w:val="en-GB"/>
              </w:rPr>
              <w:fldChar w:fldCharType="begin" w:fldLock="1"/>
            </w:r>
            <w:r w:rsidRPr="00623170">
              <w:instrText>ADDIN CSL_CITATION {"citationItems":[{"id":"ITEM-1","itemData":{"DOI":"10.1093/geronb/gbs106.","author":[{"dropping-particle":"","family":"Wahl","given":"Hans-Werner","non-dropping-particle":"","parse-names":false,"suffix":""},{"dropping-particle":"","family":"Wettstein","given":"Markus","non-dropping-particle":"","parse-names":false,"suffix":""},{"dropping-particle":"","family":"Shoval","given":"Noam","non-dropping-particle":"","parse-names":false,"suffix":""},{"dropping-particle":"","family":"Oswald","given":"Frank","non-dropping-particle":"","parse-names":false,"suffix":""},{"dropping-particle":"","family":"Kaspar","given":"Roman","non-dropping-particle":"","parse-names":false,"suffix":""},{"dropping-particle":"","family":"Issacson","given":"Michal","non-dropping-particle":"","parse-names":false,"suffix":""},{"dropping-particle":"","family":"Voss","given":"Elke","non-dropping-particle":"","parse-names":false,"suffix":""},{"dropping-particle":"","family":"Auslander","given":"Gail","non-dropping-particle":"","parse-names":false,"suffix":""},{"dropping-particle":"","family":"Heinik","given":"Jeremia","non-dropping-particle":"","parse-names":false,"suffix":""}],"container-title":"Journals of Gerontology Series B: Psychological Sciences and Social Sciences","id":"ITEM-1","issue":"5","issued":{"date-parts":[["2013"]]},"page":"691-702","title":"Interplay of cognitive and motivational resources for out-of-home behavior in a sample of cognitively heterogeneous older adults: findings of the SenTra project","type":"article-journal","volume":"68"},"uris":["http://www.mendeley.com/documents/?uuid=b9369a7e-7746-4ca1-8857-27fea535d537"]}],"mendeley":{"formattedCitation":"(4)","plainTextFormattedCitation":"(4)","previouslyFormattedCitation":"(4)"},"properties":{"noteIndex":0},"schema":"https://github.com/citation-style-language/schema/raw/master/csl-citation.json"}</w:instrText>
            </w:r>
            <w:r w:rsidR="00AD0F13" w:rsidRPr="00623170">
              <w:rPr>
                <w:lang w:val="en-GB"/>
              </w:rPr>
              <w:fldChar w:fldCharType="separate"/>
            </w:r>
            <w:r w:rsidRPr="00623170">
              <w:rPr>
                <w:noProof/>
              </w:rPr>
              <w:t>(4)</w:t>
            </w:r>
            <w:r w:rsidR="00AD0F13" w:rsidRPr="00623170">
              <w:rPr>
                <w:lang w:val="en-GB"/>
              </w:rPr>
              <w:fldChar w:fldCharType="end"/>
            </w:r>
          </w:p>
        </w:tc>
        <w:tc>
          <w:tcPr>
            <w:tcW w:w="709" w:type="dxa"/>
            <w:vMerge w:val="restart"/>
            <w:shd w:val="clear" w:color="auto" w:fill="F2F2F2" w:themeFill="background1" w:themeFillShade="F2"/>
          </w:tcPr>
          <w:p w:rsidR="0058232B" w:rsidRPr="00336514" w:rsidRDefault="0058232B" w:rsidP="0058232B">
            <w:pPr>
              <w:pStyle w:val="Table"/>
            </w:pPr>
            <w:r w:rsidRPr="00336514">
              <w:t>2</w:t>
            </w:r>
          </w:p>
        </w:tc>
        <w:tc>
          <w:tcPr>
            <w:tcW w:w="6662" w:type="dxa"/>
            <w:tcBorders>
              <w:right w:val="single" w:sz="4" w:space="0" w:color="auto"/>
            </w:tcBorders>
            <w:shd w:val="clear" w:color="auto" w:fill="F2F2F2" w:themeFill="background1" w:themeFillShade="F2"/>
          </w:tcPr>
          <w:p w:rsidR="0058232B" w:rsidRPr="00336514" w:rsidRDefault="0058232B" w:rsidP="0058232B">
            <w:pPr>
              <w:pStyle w:val="Table"/>
            </w:pPr>
            <w:r w:rsidRPr="00336514">
              <w:t>TOH</w:t>
            </w:r>
          </w:p>
        </w:tc>
        <w:tc>
          <w:tcPr>
            <w:tcW w:w="363" w:type="dxa"/>
            <w:tcBorders>
              <w:left w:val="single" w:sz="4" w:space="0" w:color="auto"/>
            </w:tcBorders>
            <w:shd w:val="clear" w:color="auto" w:fill="F2F2F2" w:themeFill="background1" w:themeFillShade="F2"/>
          </w:tcPr>
          <w:p w:rsidR="0058232B" w:rsidRPr="00336514" w:rsidRDefault="0058232B" w:rsidP="0058232B">
            <w:pPr>
              <w:pStyle w:val="Table"/>
            </w:pPr>
          </w:p>
        </w:tc>
        <w:tc>
          <w:tcPr>
            <w:tcW w:w="362" w:type="dxa"/>
            <w:shd w:val="clear" w:color="auto" w:fill="F2F2F2" w:themeFill="background1" w:themeFillShade="F2"/>
          </w:tcPr>
          <w:p w:rsidR="0058232B" w:rsidRPr="00336514" w:rsidRDefault="0058232B" w:rsidP="0058232B">
            <w:pPr>
              <w:pStyle w:val="Table"/>
            </w:pPr>
          </w:p>
        </w:tc>
        <w:tc>
          <w:tcPr>
            <w:tcW w:w="362" w:type="dxa"/>
            <w:tcBorders>
              <w:right w:val="single" w:sz="4" w:space="0" w:color="auto"/>
            </w:tcBorders>
            <w:shd w:val="clear" w:color="auto" w:fill="F2F2F2" w:themeFill="background1" w:themeFillShade="F2"/>
          </w:tcPr>
          <w:p w:rsidR="0058232B" w:rsidRPr="00336514" w:rsidRDefault="0058232B" w:rsidP="0058232B">
            <w:pPr>
              <w:pStyle w:val="Table"/>
            </w:pPr>
          </w:p>
        </w:tc>
        <w:tc>
          <w:tcPr>
            <w:tcW w:w="362" w:type="dxa"/>
            <w:tcBorders>
              <w:left w:val="single" w:sz="4" w:space="0" w:color="auto"/>
            </w:tcBorders>
            <w:shd w:val="clear" w:color="auto" w:fill="F2F2F2" w:themeFill="background1" w:themeFillShade="F2"/>
          </w:tcPr>
          <w:p w:rsidR="0058232B" w:rsidRPr="00336514" w:rsidRDefault="0058232B" w:rsidP="0058232B">
            <w:pPr>
              <w:pStyle w:val="Table"/>
            </w:pPr>
            <w:r w:rsidRPr="00336514">
              <w:rPr>
                <w:lang w:val="en-GB"/>
              </w:rPr>
              <w:sym w:font="Wingdings" w:char="F0FC"/>
            </w:r>
          </w:p>
        </w:tc>
        <w:tc>
          <w:tcPr>
            <w:tcW w:w="362" w:type="dxa"/>
            <w:shd w:val="clear" w:color="auto" w:fill="F2F2F2" w:themeFill="background1" w:themeFillShade="F2"/>
          </w:tcPr>
          <w:p w:rsidR="0058232B" w:rsidRPr="00336514" w:rsidRDefault="0058232B" w:rsidP="0058232B">
            <w:pPr>
              <w:pStyle w:val="Table"/>
            </w:pPr>
          </w:p>
        </w:tc>
        <w:tc>
          <w:tcPr>
            <w:tcW w:w="347" w:type="dxa"/>
            <w:tcBorders>
              <w:right w:val="single" w:sz="4" w:space="0" w:color="auto"/>
            </w:tcBorders>
            <w:shd w:val="clear" w:color="auto" w:fill="F2F2F2" w:themeFill="background1" w:themeFillShade="F2"/>
          </w:tcPr>
          <w:p w:rsidR="0058232B" w:rsidRPr="00336514" w:rsidRDefault="0058232B" w:rsidP="0058232B">
            <w:pPr>
              <w:pStyle w:val="Table"/>
            </w:pPr>
          </w:p>
        </w:tc>
        <w:tc>
          <w:tcPr>
            <w:tcW w:w="377" w:type="dxa"/>
            <w:tcBorders>
              <w:left w:val="single" w:sz="4" w:space="0" w:color="auto"/>
            </w:tcBorders>
            <w:shd w:val="clear" w:color="auto" w:fill="F2F2F2" w:themeFill="background1" w:themeFillShade="F2"/>
          </w:tcPr>
          <w:p w:rsidR="0058232B" w:rsidRPr="00336514" w:rsidRDefault="0058232B" w:rsidP="0058232B">
            <w:pPr>
              <w:pStyle w:val="Table"/>
            </w:pPr>
          </w:p>
        </w:tc>
        <w:tc>
          <w:tcPr>
            <w:tcW w:w="362" w:type="dxa"/>
            <w:shd w:val="clear" w:color="auto" w:fill="F2F2F2" w:themeFill="background1" w:themeFillShade="F2"/>
          </w:tcPr>
          <w:p w:rsidR="0058232B" w:rsidRPr="00336514" w:rsidRDefault="0058232B" w:rsidP="0058232B">
            <w:pPr>
              <w:pStyle w:val="Table"/>
            </w:pPr>
          </w:p>
        </w:tc>
        <w:tc>
          <w:tcPr>
            <w:tcW w:w="362" w:type="dxa"/>
            <w:tcBorders>
              <w:right w:val="single" w:sz="4" w:space="0" w:color="auto"/>
            </w:tcBorders>
            <w:shd w:val="clear" w:color="auto" w:fill="F2F2F2" w:themeFill="background1" w:themeFillShade="F2"/>
          </w:tcPr>
          <w:p w:rsidR="0058232B" w:rsidRPr="00336514" w:rsidRDefault="0058232B" w:rsidP="0058232B">
            <w:pPr>
              <w:pStyle w:val="Table"/>
            </w:pPr>
            <w:r w:rsidRPr="00336514">
              <w:rPr>
                <w:lang w:val="en-GB"/>
              </w:rPr>
              <w:sym w:font="Wingdings" w:char="F0FC"/>
            </w:r>
          </w:p>
        </w:tc>
        <w:tc>
          <w:tcPr>
            <w:tcW w:w="362" w:type="dxa"/>
            <w:tcBorders>
              <w:left w:val="single" w:sz="4" w:space="0" w:color="auto"/>
            </w:tcBorders>
            <w:shd w:val="clear" w:color="auto" w:fill="F2F2F2" w:themeFill="background1" w:themeFillShade="F2"/>
          </w:tcPr>
          <w:p w:rsidR="0058232B" w:rsidRPr="00336514" w:rsidRDefault="0058232B" w:rsidP="0058232B">
            <w:pPr>
              <w:pStyle w:val="Table"/>
            </w:pPr>
            <w:r w:rsidRPr="00336514">
              <w:rPr>
                <w:lang w:val="en-GB"/>
              </w:rPr>
              <w:sym w:font="Wingdings" w:char="F0FC"/>
            </w:r>
          </w:p>
        </w:tc>
        <w:tc>
          <w:tcPr>
            <w:tcW w:w="362" w:type="dxa"/>
            <w:shd w:val="clear" w:color="auto" w:fill="F2F2F2" w:themeFill="background1" w:themeFillShade="F2"/>
          </w:tcPr>
          <w:p w:rsidR="0058232B" w:rsidRPr="00336514" w:rsidRDefault="0058232B" w:rsidP="0058232B">
            <w:pPr>
              <w:pStyle w:val="Table"/>
            </w:pPr>
          </w:p>
        </w:tc>
        <w:tc>
          <w:tcPr>
            <w:tcW w:w="383" w:type="dxa"/>
            <w:tcBorders>
              <w:right w:val="single" w:sz="4" w:space="0" w:color="auto"/>
            </w:tcBorders>
            <w:shd w:val="clear" w:color="auto" w:fill="F2F2F2" w:themeFill="background1" w:themeFillShade="F2"/>
          </w:tcPr>
          <w:p w:rsidR="0058232B" w:rsidRPr="00336514" w:rsidRDefault="0058232B" w:rsidP="0058232B">
            <w:pPr>
              <w:pStyle w:val="Table"/>
            </w:pPr>
          </w:p>
        </w:tc>
      </w:tr>
      <w:tr w:rsidR="0058232B" w:rsidRPr="00336514" w:rsidTr="00496AC8">
        <w:trPr>
          <w:trHeight w:val="230"/>
        </w:trPr>
        <w:tc>
          <w:tcPr>
            <w:tcW w:w="1985" w:type="dxa"/>
            <w:vMerge/>
            <w:tcBorders>
              <w:left w:val="single" w:sz="4" w:space="0" w:color="auto"/>
            </w:tcBorders>
            <w:shd w:val="clear" w:color="auto" w:fill="F2F2F2" w:themeFill="background1" w:themeFillShade="F2"/>
          </w:tcPr>
          <w:p w:rsidR="0058232B" w:rsidRPr="00623170" w:rsidRDefault="0058232B" w:rsidP="0058232B">
            <w:pPr>
              <w:pStyle w:val="Table"/>
              <w:rPr>
                <w:lang w:val="en-GB"/>
              </w:rPr>
            </w:pPr>
          </w:p>
        </w:tc>
        <w:tc>
          <w:tcPr>
            <w:tcW w:w="709" w:type="dxa"/>
            <w:vMerge/>
            <w:shd w:val="clear" w:color="auto" w:fill="F2F2F2" w:themeFill="background1" w:themeFillShade="F2"/>
          </w:tcPr>
          <w:p w:rsidR="0058232B" w:rsidRPr="00336514" w:rsidRDefault="0058232B" w:rsidP="0058232B">
            <w:pPr>
              <w:pStyle w:val="Table"/>
              <w:rPr>
                <w:lang w:val="en-GB"/>
              </w:rPr>
            </w:pPr>
          </w:p>
        </w:tc>
        <w:tc>
          <w:tcPr>
            <w:tcW w:w="6662" w:type="dxa"/>
            <w:tcBorders>
              <w:right w:val="single" w:sz="4" w:space="0" w:color="auto"/>
            </w:tcBorders>
            <w:shd w:val="clear" w:color="auto" w:fill="F2F2F2" w:themeFill="background1" w:themeFillShade="F2"/>
          </w:tcPr>
          <w:p w:rsidR="0058232B" w:rsidRPr="00336514" w:rsidRDefault="0058232B" w:rsidP="0058232B">
            <w:pPr>
              <w:pStyle w:val="Table"/>
            </w:pPr>
            <w:r w:rsidRPr="00336514">
              <w:t>Number of locations</w:t>
            </w:r>
          </w:p>
        </w:tc>
        <w:tc>
          <w:tcPr>
            <w:tcW w:w="363" w:type="dxa"/>
            <w:tcBorders>
              <w:left w:val="single" w:sz="4" w:space="0" w:color="auto"/>
            </w:tcBorders>
            <w:shd w:val="clear" w:color="auto" w:fill="F2F2F2" w:themeFill="background1" w:themeFillShade="F2"/>
          </w:tcPr>
          <w:p w:rsidR="0058232B" w:rsidRPr="00336514" w:rsidRDefault="0058232B" w:rsidP="0058232B">
            <w:pPr>
              <w:pStyle w:val="Table"/>
              <w:rPr>
                <w:lang w:val="en-GB"/>
              </w:rPr>
            </w:pPr>
            <w:r w:rsidRPr="00336514">
              <w:rPr>
                <w:lang w:val="en-GB"/>
              </w:rPr>
              <w:sym w:font="Wingdings" w:char="F0FC"/>
            </w:r>
          </w:p>
        </w:tc>
        <w:tc>
          <w:tcPr>
            <w:tcW w:w="362" w:type="dxa"/>
            <w:shd w:val="clear" w:color="auto" w:fill="F2F2F2" w:themeFill="background1" w:themeFillShade="F2"/>
          </w:tcPr>
          <w:p w:rsidR="0058232B" w:rsidRPr="00336514" w:rsidRDefault="0058232B" w:rsidP="0058232B">
            <w:pPr>
              <w:pStyle w:val="Table"/>
            </w:pPr>
          </w:p>
        </w:tc>
        <w:tc>
          <w:tcPr>
            <w:tcW w:w="362" w:type="dxa"/>
            <w:tcBorders>
              <w:right w:val="single" w:sz="4" w:space="0" w:color="auto"/>
            </w:tcBorders>
            <w:shd w:val="clear" w:color="auto" w:fill="F2F2F2" w:themeFill="background1" w:themeFillShade="F2"/>
          </w:tcPr>
          <w:p w:rsidR="0058232B" w:rsidRPr="00336514" w:rsidRDefault="0058232B" w:rsidP="0058232B">
            <w:pPr>
              <w:pStyle w:val="Table"/>
            </w:pPr>
          </w:p>
        </w:tc>
        <w:tc>
          <w:tcPr>
            <w:tcW w:w="362" w:type="dxa"/>
            <w:tcBorders>
              <w:left w:val="single" w:sz="4" w:space="0" w:color="auto"/>
            </w:tcBorders>
            <w:shd w:val="clear" w:color="auto" w:fill="F2F2F2" w:themeFill="background1" w:themeFillShade="F2"/>
          </w:tcPr>
          <w:p w:rsidR="0058232B" w:rsidRPr="00336514" w:rsidRDefault="0058232B" w:rsidP="0058232B">
            <w:pPr>
              <w:pStyle w:val="Table"/>
              <w:rPr>
                <w:lang w:val="en-GB"/>
              </w:rPr>
            </w:pPr>
          </w:p>
        </w:tc>
        <w:tc>
          <w:tcPr>
            <w:tcW w:w="362" w:type="dxa"/>
            <w:shd w:val="clear" w:color="auto" w:fill="F2F2F2" w:themeFill="background1" w:themeFillShade="F2"/>
          </w:tcPr>
          <w:p w:rsidR="0058232B" w:rsidRPr="00336514" w:rsidRDefault="0058232B" w:rsidP="0058232B">
            <w:pPr>
              <w:pStyle w:val="Table"/>
            </w:pPr>
          </w:p>
        </w:tc>
        <w:tc>
          <w:tcPr>
            <w:tcW w:w="347" w:type="dxa"/>
            <w:tcBorders>
              <w:right w:val="single" w:sz="4" w:space="0" w:color="auto"/>
            </w:tcBorders>
            <w:shd w:val="clear" w:color="auto" w:fill="F2F2F2" w:themeFill="background1" w:themeFillShade="F2"/>
          </w:tcPr>
          <w:p w:rsidR="0058232B" w:rsidRPr="00336514" w:rsidRDefault="0058232B" w:rsidP="0058232B">
            <w:pPr>
              <w:pStyle w:val="Table"/>
            </w:pPr>
          </w:p>
        </w:tc>
        <w:tc>
          <w:tcPr>
            <w:tcW w:w="377" w:type="dxa"/>
            <w:tcBorders>
              <w:left w:val="single" w:sz="4" w:space="0" w:color="auto"/>
            </w:tcBorders>
            <w:shd w:val="clear" w:color="auto" w:fill="F2F2F2" w:themeFill="background1" w:themeFillShade="F2"/>
          </w:tcPr>
          <w:p w:rsidR="0058232B" w:rsidRPr="00336514" w:rsidRDefault="0058232B" w:rsidP="0058232B">
            <w:pPr>
              <w:pStyle w:val="Table"/>
              <w:rPr>
                <w:lang w:val="en-GB"/>
              </w:rPr>
            </w:pPr>
            <w:r w:rsidRPr="00336514">
              <w:rPr>
                <w:lang w:val="en-GB"/>
              </w:rPr>
              <w:sym w:font="Wingdings" w:char="F0FC"/>
            </w:r>
          </w:p>
        </w:tc>
        <w:tc>
          <w:tcPr>
            <w:tcW w:w="362" w:type="dxa"/>
            <w:shd w:val="clear" w:color="auto" w:fill="F2F2F2" w:themeFill="background1" w:themeFillShade="F2"/>
          </w:tcPr>
          <w:p w:rsidR="0058232B" w:rsidRPr="00336514" w:rsidRDefault="0058232B" w:rsidP="0058232B">
            <w:pPr>
              <w:pStyle w:val="Table"/>
            </w:pPr>
          </w:p>
        </w:tc>
        <w:tc>
          <w:tcPr>
            <w:tcW w:w="362" w:type="dxa"/>
            <w:tcBorders>
              <w:right w:val="single" w:sz="4" w:space="0" w:color="auto"/>
            </w:tcBorders>
            <w:shd w:val="clear" w:color="auto" w:fill="F2F2F2" w:themeFill="background1" w:themeFillShade="F2"/>
          </w:tcPr>
          <w:p w:rsidR="0058232B" w:rsidRPr="00336514" w:rsidRDefault="0058232B" w:rsidP="0058232B">
            <w:pPr>
              <w:pStyle w:val="Table"/>
            </w:pPr>
          </w:p>
        </w:tc>
        <w:tc>
          <w:tcPr>
            <w:tcW w:w="362" w:type="dxa"/>
            <w:tcBorders>
              <w:left w:val="single" w:sz="4" w:space="0" w:color="auto"/>
            </w:tcBorders>
            <w:shd w:val="clear" w:color="auto" w:fill="F2F2F2" w:themeFill="background1" w:themeFillShade="F2"/>
          </w:tcPr>
          <w:p w:rsidR="0058232B" w:rsidRPr="00336514" w:rsidRDefault="0058232B" w:rsidP="0058232B">
            <w:pPr>
              <w:pStyle w:val="Table"/>
              <w:rPr>
                <w:lang w:val="en-GB"/>
              </w:rPr>
            </w:pPr>
          </w:p>
        </w:tc>
        <w:tc>
          <w:tcPr>
            <w:tcW w:w="362" w:type="dxa"/>
            <w:shd w:val="clear" w:color="auto" w:fill="F2F2F2" w:themeFill="background1" w:themeFillShade="F2"/>
          </w:tcPr>
          <w:p w:rsidR="0058232B" w:rsidRPr="00336514" w:rsidRDefault="0058232B" w:rsidP="0058232B">
            <w:pPr>
              <w:pStyle w:val="Table"/>
            </w:pPr>
          </w:p>
        </w:tc>
        <w:tc>
          <w:tcPr>
            <w:tcW w:w="383" w:type="dxa"/>
            <w:tcBorders>
              <w:right w:val="single" w:sz="4" w:space="0" w:color="auto"/>
            </w:tcBorders>
            <w:shd w:val="clear" w:color="auto" w:fill="F2F2F2" w:themeFill="background1" w:themeFillShade="F2"/>
          </w:tcPr>
          <w:p w:rsidR="0058232B" w:rsidRPr="00336514" w:rsidRDefault="0058232B" w:rsidP="0058232B">
            <w:pPr>
              <w:pStyle w:val="Table"/>
            </w:pPr>
          </w:p>
        </w:tc>
      </w:tr>
      <w:tr w:rsidR="0058232B" w:rsidRPr="00336514" w:rsidTr="00496AC8">
        <w:trPr>
          <w:trHeight w:val="230"/>
        </w:trPr>
        <w:tc>
          <w:tcPr>
            <w:tcW w:w="1985" w:type="dxa"/>
            <w:vMerge w:val="restart"/>
            <w:tcBorders>
              <w:left w:val="single" w:sz="4" w:space="0" w:color="auto"/>
            </w:tcBorders>
          </w:tcPr>
          <w:p w:rsidR="0058232B" w:rsidRPr="00623170" w:rsidRDefault="0058232B" w:rsidP="0058232B">
            <w:pPr>
              <w:pStyle w:val="Table"/>
              <w:rPr>
                <w:lang w:val="en-GB"/>
              </w:rPr>
            </w:pPr>
            <w:r w:rsidRPr="00623170">
              <w:rPr>
                <w:lang w:val="en-GB"/>
              </w:rPr>
              <w:t xml:space="preserve">Blamoutier et al. </w:t>
            </w:r>
            <w:r w:rsidR="00AD0F13" w:rsidRPr="00623170">
              <w:rPr>
                <w:lang w:val="en-GB"/>
              </w:rPr>
              <w:fldChar w:fldCharType="begin" w:fldLock="1"/>
            </w:r>
            <w:r w:rsidRPr="00623170">
              <w:rPr>
                <w:lang w:val="en-GB"/>
              </w:rPr>
              <w:instrText>ADDIN CSL_CITATION {"citationItems":[{"id":"ITEM-1","itemData":{"DOI":"10.17987/jcsm-cr.v3i1.42","ISSN":"2521-3555","abstract":"&lt;p&gt;Background: Absolute grip strength (aGS) is  used to detect dynapenia, and is also an  indicator of functional impairments such as mobility limitations. The objective of this study is to investigate whether dynapenia status assessed by absolute grip strength (aGS) is associated with loss of community mobility.Method: The population studied (n=62) was composed of  a dynapenic group of women (aged 66.4 ± 4.8) according to an aGS threshold of ≤ 19.9kg and an age-matched group of nodynapenic women (aged 66.1 ± 5.2). The aGS was measured and body-weigth-related to grip strength (BW/GS) was computed. Fonctionnal laboratory tests were conducted. During 12 days, each participant wore a GPS device to obtain Transit distance in vehicle per day, Transit distance on foot per day and Ellipse area.  The Life space (LS) was assessed using the Life Space Assesment questionnaire (LSA). A Wilcoxon test was used to compare the 2 groups for the community mobility measures. Then, data of the 2 groups were pooled to assess the relationship between BW/GS and community mobility measures. A Spearman correlation was used.Results: The dynapenic group performed worse for fonctionnal capacity tests such as the step test and the walking speed. Howerver, no significant difference was found for GPS measures and LS between the two groups. No significant relationship was found for the BW/GS and community mobility measures with the GPS measures and the LS.  &lt;/p&gt;","author":[{"dropping-particle":"","family":"Blamoutier","given":"Margaux","non-dropping-particle":"","parse-names":false,"suffix":""},{"dropping-particle":"","family":"Boissy","given":"Patrick","non-dropping-particle":"","parse-names":false,"suffix":""},{"dropping-particle":"","family":"Brière","given":"Simon","non-dropping-particle":"","parse-names":false,"suffix":""},{"dropping-particle":"","family":"Faucher","given":"Geneviève","non-dropping-particle":"","parse-names":false,"suffix":""},{"dropping-particle":"","family":"Lauzé","given":"Martine","non-dropping-particle":"","parse-names":false,"suffix":""},{"dropping-particle":"","family":"Duval","given":"Christian","non-dropping-particle":"","parse-names":false,"suffix":""}],"container-title":"JCSM Clinical Reports","id":"ITEM-1","issue":"1","issued":{"date-parts":[["2018"]]},"page":"1-9","title":"Is a decrease of grip strength associated with community mobility restriction in dynapenic older women?","type":"article-journal","volume":"3"},"uris":["http://www.mendeley.com/documents/?uuid=8fa6c686-b690-4111-a0fe-c225d9aba22a"]}],"mendeley":{"formattedCitation":"(5)","plainTextFormattedCitation":"(5)","previouslyFormattedCitation":"(5)"},"properties":{"noteIndex":0},"schema":"https://github.com/citation-style-language/schema/raw/master/csl-citation.json"}</w:instrText>
            </w:r>
            <w:r w:rsidR="00AD0F13" w:rsidRPr="00623170">
              <w:rPr>
                <w:lang w:val="en-GB"/>
              </w:rPr>
              <w:fldChar w:fldCharType="separate"/>
            </w:r>
            <w:r w:rsidRPr="00623170">
              <w:rPr>
                <w:noProof/>
                <w:lang w:val="en-GB"/>
              </w:rPr>
              <w:t>(5)</w:t>
            </w:r>
            <w:r w:rsidR="00AD0F13" w:rsidRPr="00623170">
              <w:rPr>
                <w:lang w:val="en-GB"/>
              </w:rPr>
              <w:fldChar w:fldCharType="end"/>
            </w:r>
          </w:p>
        </w:tc>
        <w:tc>
          <w:tcPr>
            <w:tcW w:w="709" w:type="dxa"/>
            <w:vMerge w:val="restart"/>
          </w:tcPr>
          <w:p w:rsidR="0058232B" w:rsidRPr="00336514" w:rsidRDefault="0058232B" w:rsidP="0058232B">
            <w:pPr>
              <w:pStyle w:val="Table"/>
              <w:rPr>
                <w:lang w:val="en-GB"/>
              </w:rPr>
            </w:pPr>
            <w:r w:rsidRPr="00336514">
              <w:rPr>
                <w:lang w:val="en-GB"/>
              </w:rPr>
              <w:t>3</w:t>
            </w:r>
          </w:p>
        </w:tc>
        <w:tc>
          <w:tcPr>
            <w:tcW w:w="6662" w:type="dxa"/>
            <w:tcBorders>
              <w:right w:val="single" w:sz="4" w:space="0" w:color="auto"/>
            </w:tcBorders>
          </w:tcPr>
          <w:p w:rsidR="0058232B" w:rsidRPr="00336514" w:rsidRDefault="0058232B" w:rsidP="0058232B">
            <w:pPr>
              <w:pStyle w:val="Table"/>
            </w:pPr>
            <w:r w:rsidRPr="00336514">
              <w:t xml:space="preserve">Time in vehicle </w:t>
            </w:r>
          </w:p>
        </w:tc>
        <w:tc>
          <w:tcPr>
            <w:tcW w:w="363" w:type="dxa"/>
            <w:tcBorders>
              <w:left w:val="single" w:sz="4" w:space="0" w:color="auto"/>
            </w:tcBorders>
          </w:tcPr>
          <w:p w:rsidR="0058232B" w:rsidRPr="00336514" w:rsidRDefault="0058232B" w:rsidP="0058232B">
            <w:pPr>
              <w:pStyle w:val="Table"/>
              <w:rPr>
                <w:lang w:val="en-GB"/>
              </w:rPr>
            </w:pPr>
          </w:p>
        </w:tc>
        <w:tc>
          <w:tcPr>
            <w:tcW w:w="362" w:type="dxa"/>
          </w:tcPr>
          <w:p w:rsidR="0058232B" w:rsidRPr="00336514" w:rsidRDefault="0058232B" w:rsidP="0058232B">
            <w:pPr>
              <w:pStyle w:val="Table"/>
            </w:pPr>
          </w:p>
        </w:tc>
        <w:tc>
          <w:tcPr>
            <w:tcW w:w="362" w:type="dxa"/>
            <w:tcBorders>
              <w:right w:val="single" w:sz="4" w:space="0" w:color="auto"/>
            </w:tcBorders>
          </w:tcPr>
          <w:p w:rsidR="0058232B" w:rsidRPr="00336514" w:rsidRDefault="0058232B" w:rsidP="0058232B">
            <w:pPr>
              <w:pStyle w:val="Table"/>
            </w:pPr>
          </w:p>
        </w:tc>
        <w:tc>
          <w:tcPr>
            <w:tcW w:w="362" w:type="dxa"/>
            <w:tcBorders>
              <w:left w:val="single" w:sz="4" w:space="0" w:color="auto"/>
            </w:tcBorders>
          </w:tcPr>
          <w:p w:rsidR="0058232B" w:rsidRPr="00336514" w:rsidRDefault="0058232B" w:rsidP="0058232B">
            <w:pPr>
              <w:pStyle w:val="Table"/>
              <w:rPr>
                <w:lang w:val="en-GB"/>
              </w:rPr>
            </w:pPr>
            <w:r w:rsidRPr="00336514">
              <w:rPr>
                <w:lang w:val="en-GB"/>
              </w:rPr>
              <w:sym w:font="Wingdings" w:char="F0FC"/>
            </w:r>
          </w:p>
        </w:tc>
        <w:tc>
          <w:tcPr>
            <w:tcW w:w="362" w:type="dxa"/>
          </w:tcPr>
          <w:p w:rsidR="0058232B" w:rsidRPr="00336514" w:rsidRDefault="0058232B" w:rsidP="0058232B">
            <w:pPr>
              <w:pStyle w:val="Table"/>
            </w:pPr>
          </w:p>
        </w:tc>
        <w:tc>
          <w:tcPr>
            <w:tcW w:w="347" w:type="dxa"/>
            <w:tcBorders>
              <w:right w:val="single" w:sz="4" w:space="0" w:color="auto"/>
            </w:tcBorders>
          </w:tcPr>
          <w:p w:rsidR="0058232B" w:rsidRPr="00336514" w:rsidRDefault="0058232B" w:rsidP="0058232B">
            <w:pPr>
              <w:pStyle w:val="Table"/>
            </w:pPr>
          </w:p>
        </w:tc>
        <w:tc>
          <w:tcPr>
            <w:tcW w:w="377" w:type="dxa"/>
            <w:tcBorders>
              <w:left w:val="single" w:sz="4" w:space="0" w:color="auto"/>
            </w:tcBorders>
          </w:tcPr>
          <w:p w:rsidR="0058232B" w:rsidRPr="00336514" w:rsidRDefault="0058232B" w:rsidP="0058232B">
            <w:pPr>
              <w:pStyle w:val="Table"/>
              <w:rPr>
                <w:lang w:val="en-GB"/>
              </w:rPr>
            </w:pPr>
          </w:p>
        </w:tc>
        <w:tc>
          <w:tcPr>
            <w:tcW w:w="362" w:type="dxa"/>
          </w:tcPr>
          <w:p w:rsidR="0058232B" w:rsidRPr="00336514" w:rsidRDefault="0058232B" w:rsidP="0058232B">
            <w:pPr>
              <w:pStyle w:val="Table"/>
            </w:pPr>
            <w:r w:rsidRPr="00336514">
              <w:rPr>
                <w:lang w:val="en-GB"/>
              </w:rPr>
              <w:sym w:font="Wingdings" w:char="F0FC"/>
            </w:r>
          </w:p>
        </w:tc>
        <w:tc>
          <w:tcPr>
            <w:tcW w:w="362" w:type="dxa"/>
            <w:tcBorders>
              <w:right w:val="single" w:sz="4" w:space="0" w:color="auto"/>
            </w:tcBorders>
          </w:tcPr>
          <w:p w:rsidR="0058232B" w:rsidRPr="00336514" w:rsidRDefault="0058232B" w:rsidP="0058232B">
            <w:pPr>
              <w:pStyle w:val="Table"/>
            </w:pPr>
          </w:p>
        </w:tc>
        <w:tc>
          <w:tcPr>
            <w:tcW w:w="362" w:type="dxa"/>
            <w:tcBorders>
              <w:left w:val="single" w:sz="4" w:space="0" w:color="auto"/>
            </w:tcBorders>
          </w:tcPr>
          <w:p w:rsidR="0058232B" w:rsidRPr="00336514" w:rsidRDefault="0058232B" w:rsidP="0058232B">
            <w:pPr>
              <w:pStyle w:val="Table"/>
              <w:rPr>
                <w:lang w:val="en-GB"/>
              </w:rPr>
            </w:pPr>
          </w:p>
        </w:tc>
        <w:tc>
          <w:tcPr>
            <w:tcW w:w="362" w:type="dxa"/>
          </w:tcPr>
          <w:p w:rsidR="0058232B" w:rsidRPr="00336514" w:rsidRDefault="0058232B" w:rsidP="0058232B">
            <w:pPr>
              <w:pStyle w:val="Table"/>
            </w:pPr>
            <w:r w:rsidRPr="00336514">
              <w:rPr>
                <w:lang w:val="en-GB"/>
              </w:rPr>
              <w:sym w:font="Wingdings" w:char="F0FC"/>
            </w:r>
          </w:p>
        </w:tc>
        <w:tc>
          <w:tcPr>
            <w:tcW w:w="383" w:type="dxa"/>
            <w:tcBorders>
              <w:right w:val="single" w:sz="4" w:space="0" w:color="auto"/>
            </w:tcBorders>
          </w:tcPr>
          <w:p w:rsidR="0058232B" w:rsidRPr="00336514" w:rsidRDefault="0058232B" w:rsidP="0058232B">
            <w:pPr>
              <w:pStyle w:val="Table"/>
            </w:pPr>
          </w:p>
        </w:tc>
      </w:tr>
      <w:tr w:rsidR="0058232B" w:rsidRPr="00336514" w:rsidTr="00496AC8">
        <w:trPr>
          <w:trHeight w:val="230"/>
        </w:trPr>
        <w:tc>
          <w:tcPr>
            <w:tcW w:w="1985" w:type="dxa"/>
            <w:vMerge/>
            <w:tcBorders>
              <w:left w:val="single" w:sz="4" w:space="0" w:color="auto"/>
            </w:tcBorders>
          </w:tcPr>
          <w:p w:rsidR="0058232B" w:rsidRPr="00623170" w:rsidRDefault="0058232B" w:rsidP="0058232B">
            <w:pPr>
              <w:pStyle w:val="Table"/>
              <w:rPr>
                <w:lang w:val="en-GB"/>
              </w:rPr>
            </w:pPr>
          </w:p>
        </w:tc>
        <w:tc>
          <w:tcPr>
            <w:tcW w:w="709" w:type="dxa"/>
            <w:vMerge/>
          </w:tcPr>
          <w:p w:rsidR="0058232B" w:rsidRPr="00336514" w:rsidRDefault="0058232B" w:rsidP="0058232B">
            <w:pPr>
              <w:pStyle w:val="Table"/>
              <w:rPr>
                <w:lang w:val="en-GB"/>
              </w:rPr>
            </w:pPr>
          </w:p>
        </w:tc>
        <w:tc>
          <w:tcPr>
            <w:tcW w:w="6662" w:type="dxa"/>
            <w:tcBorders>
              <w:right w:val="single" w:sz="4" w:space="0" w:color="auto"/>
            </w:tcBorders>
          </w:tcPr>
          <w:p w:rsidR="0058232B" w:rsidRPr="00336514" w:rsidRDefault="0058232B" w:rsidP="0058232B">
            <w:pPr>
              <w:pStyle w:val="Table"/>
            </w:pPr>
            <w:r w:rsidRPr="00336514">
              <w:t xml:space="preserve">Time on foot </w:t>
            </w:r>
          </w:p>
        </w:tc>
        <w:tc>
          <w:tcPr>
            <w:tcW w:w="363" w:type="dxa"/>
            <w:tcBorders>
              <w:left w:val="single" w:sz="4" w:space="0" w:color="auto"/>
            </w:tcBorders>
          </w:tcPr>
          <w:p w:rsidR="0058232B" w:rsidRPr="00336514" w:rsidRDefault="0058232B" w:rsidP="0058232B">
            <w:pPr>
              <w:pStyle w:val="Table"/>
              <w:rPr>
                <w:lang w:val="en-GB"/>
              </w:rPr>
            </w:pPr>
          </w:p>
        </w:tc>
        <w:tc>
          <w:tcPr>
            <w:tcW w:w="362" w:type="dxa"/>
          </w:tcPr>
          <w:p w:rsidR="0058232B" w:rsidRPr="00336514" w:rsidRDefault="0058232B" w:rsidP="0058232B">
            <w:pPr>
              <w:pStyle w:val="Table"/>
            </w:pPr>
          </w:p>
        </w:tc>
        <w:tc>
          <w:tcPr>
            <w:tcW w:w="362" w:type="dxa"/>
            <w:tcBorders>
              <w:right w:val="single" w:sz="4" w:space="0" w:color="auto"/>
            </w:tcBorders>
          </w:tcPr>
          <w:p w:rsidR="0058232B" w:rsidRPr="00336514" w:rsidRDefault="0058232B" w:rsidP="0058232B">
            <w:pPr>
              <w:pStyle w:val="Table"/>
            </w:pPr>
          </w:p>
        </w:tc>
        <w:tc>
          <w:tcPr>
            <w:tcW w:w="362" w:type="dxa"/>
            <w:tcBorders>
              <w:left w:val="single" w:sz="4" w:space="0" w:color="auto"/>
            </w:tcBorders>
          </w:tcPr>
          <w:p w:rsidR="0058232B" w:rsidRPr="00336514" w:rsidRDefault="0058232B" w:rsidP="0058232B">
            <w:pPr>
              <w:pStyle w:val="Table"/>
              <w:rPr>
                <w:lang w:val="en-GB"/>
              </w:rPr>
            </w:pPr>
            <w:r w:rsidRPr="00336514">
              <w:rPr>
                <w:lang w:val="en-GB"/>
              </w:rPr>
              <w:sym w:font="Wingdings" w:char="F0FC"/>
            </w:r>
          </w:p>
        </w:tc>
        <w:tc>
          <w:tcPr>
            <w:tcW w:w="362" w:type="dxa"/>
          </w:tcPr>
          <w:p w:rsidR="0058232B" w:rsidRPr="00336514" w:rsidRDefault="0058232B" w:rsidP="0058232B">
            <w:pPr>
              <w:pStyle w:val="Table"/>
            </w:pPr>
          </w:p>
        </w:tc>
        <w:tc>
          <w:tcPr>
            <w:tcW w:w="347" w:type="dxa"/>
            <w:tcBorders>
              <w:right w:val="single" w:sz="4" w:space="0" w:color="auto"/>
            </w:tcBorders>
          </w:tcPr>
          <w:p w:rsidR="0058232B" w:rsidRPr="00336514" w:rsidRDefault="0058232B" w:rsidP="0058232B">
            <w:pPr>
              <w:pStyle w:val="Table"/>
            </w:pPr>
          </w:p>
        </w:tc>
        <w:tc>
          <w:tcPr>
            <w:tcW w:w="377" w:type="dxa"/>
            <w:tcBorders>
              <w:left w:val="single" w:sz="4" w:space="0" w:color="auto"/>
            </w:tcBorders>
          </w:tcPr>
          <w:p w:rsidR="0058232B" w:rsidRPr="00336514" w:rsidRDefault="0058232B" w:rsidP="0058232B">
            <w:pPr>
              <w:pStyle w:val="Table"/>
              <w:rPr>
                <w:lang w:val="en-GB"/>
              </w:rPr>
            </w:pPr>
          </w:p>
        </w:tc>
        <w:tc>
          <w:tcPr>
            <w:tcW w:w="362" w:type="dxa"/>
          </w:tcPr>
          <w:p w:rsidR="0058232B" w:rsidRPr="00336514" w:rsidRDefault="0058232B" w:rsidP="0058232B">
            <w:pPr>
              <w:pStyle w:val="Table"/>
            </w:pPr>
          </w:p>
        </w:tc>
        <w:tc>
          <w:tcPr>
            <w:tcW w:w="362" w:type="dxa"/>
            <w:tcBorders>
              <w:right w:val="single" w:sz="4" w:space="0" w:color="auto"/>
            </w:tcBorders>
          </w:tcPr>
          <w:p w:rsidR="0058232B" w:rsidRPr="00336514" w:rsidRDefault="0058232B" w:rsidP="0058232B">
            <w:pPr>
              <w:pStyle w:val="Table"/>
            </w:pPr>
            <w:r w:rsidRPr="00336514">
              <w:rPr>
                <w:lang w:val="en-GB"/>
              </w:rPr>
              <w:sym w:font="Wingdings" w:char="F0FC"/>
            </w:r>
          </w:p>
        </w:tc>
        <w:tc>
          <w:tcPr>
            <w:tcW w:w="362" w:type="dxa"/>
            <w:tcBorders>
              <w:left w:val="single" w:sz="4" w:space="0" w:color="auto"/>
            </w:tcBorders>
          </w:tcPr>
          <w:p w:rsidR="0058232B" w:rsidRPr="00336514" w:rsidRDefault="0058232B" w:rsidP="0058232B">
            <w:pPr>
              <w:pStyle w:val="Table"/>
              <w:rPr>
                <w:lang w:val="en-GB"/>
              </w:rPr>
            </w:pPr>
          </w:p>
        </w:tc>
        <w:tc>
          <w:tcPr>
            <w:tcW w:w="362" w:type="dxa"/>
          </w:tcPr>
          <w:p w:rsidR="0058232B" w:rsidRPr="00336514" w:rsidRDefault="0058232B" w:rsidP="0058232B">
            <w:pPr>
              <w:pStyle w:val="Table"/>
            </w:pPr>
            <w:r w:rsidRPr="00336514">
              <w:rPr>
                <w:lang w:val="en-GB"/>
              </w:rPr>
              <w:sym w:font="Wingdings" w:char="F0FC"/>
            </w:r>
          </w:p>
        </w:tc>
        <w:tc>
          <w:tcPr>
            <w:tcW w:w="383" w:type="dxa"/>
            <w:tcBorders>
              <w:right w:val="single" w:sz="4" w:space="0" w:color="auto"/>
            </w:tcBorders>
          </w:tcPr>
          <w:p w:rsidR="0058232B" w:rsidRPr="00336514" w:rsidRDefault="0058232B" w:rsidP="0058232B">
            <w:pPr>
              <w:pStyle w:val="Table"/>
            </w:pPr>
          </w:p>
        </w:tc>
      </w:tr>
      <w:tr w:rsidR="0058232B" w:rsidRPr="00336514" w:rsidTr="00496AC8">
        <w:trPr>
          <w:trHeight w:val="230"/>
        </w:trPr>
        <w:tc>
          <w:tcPr>
            <w:tcW w:w="1985" w:type="dxa"/>
            <w:vMerge/>
            <w:tcBorders>
              <w:left w:val="single" w:sz="4" w:space="0" w:color="auto"/>
            </w:tcBorders>
          </w:tcPr>
          <w:p w:rsidR="0058232B" w:rsidRPr="00623170" w:rsidRDefault="0058232B" w:rsidP="0058232B">
            <w:pPr>
              <w:pStyle w:val="Table"/>
              <w:rPr>
                <w:lang w:val="en-GB"/>
              </w:rPr>
            </w:pPr>
          </w:p>
        </w:tc>
        <w:tc>
          <w:tcPr>
            <w:tcW w:w="709" w:type="dxa"/>
            <w:vMerge/>
          </w:tcPr>
          <w:p w:rsidR="0058232B" w:rsidRPr="00336514" w:rsidRDefault="0058232B" w:rsidP="0058232B">
            <w:pPr>
              <w:pStyle w:val="Table"/>
              <w:rPr>
                <w:lang w:val="en-GB"/>
              </w:rPr>
            </w:pPr>
          </w:p>
        </w:tc>
        <w:tc>
          <w:tcPr>
            <w:tcW w:w="6662" w:type="dxa"/>
            <w:tcBorders>
              <w:right w:val="single" w:sz="4" w:space="0" w:color="auto"/>
            </w:tcBorders>
          </w:tcPr>
          <w:p w:rsidR="0058232B" w:rsidRPr="00336514" w:rsidRDefault="0058232B" w:rsidP="0058232B">
            <w:pPr>
              <w:pStyle w:val="Table"/>
            </w:pPr>
            <w:r w:rsidRPr="00336514">
              <w:rPr>
                <w:lang w:val="en-GB"/>
              </w:rPr>
              <w:t>Minimum span ellipse area</w:t>
            </w:r>
          </w:p>
        </w:tc>
        <w:tc>
          <w:tcPr>
            <w:tcW w:w="363" w:type="dxa"/>
            <w:tcBorders>
              <w:left w:val="single" w:sz="4" w:space="0" w:color="auto"/>
            </w:tcBorders>
          </w:tcPr>
          <w:p w:rsidR="0058232B" w:rsidRPr="00336514" w:rsidRDefault="0058232B" w:rsidP="0058232B">
            <w:pPr>
              <w:pStyle w:val="Table"/>
              <w:rPr>
                <w:lang w:val="en-GB"/>
              </w:rPr>
            </w:pPr>
          </w:p>
        </w:tc>
        <w:tc>
          <w:tcPr>
            <w:tcW w:w="362" w:type="dxa"/>
          </w:tcPr>
          <w:p w:rsidR="0058232B" w:rsidRPr="00336514" w:rsidRDefault="0058232B" w:rsidP="0058232B">
            <w:pPr>
              <w:pStyle w:val="Table"/>
            </w:pPr>
            <w:r w:rsidRPr="00336514">
              <w:rPr>
                <w:lang w:val="en-GB"/>
              </w:rPr>
              <w:sym w:font="Wingdings" w:char="F0FC"/>
            </w:r>
          </w:p>
        </w:tc>
        <w:tc>
          <w:tcPr>
            <w:tcW w:w="362" w:type="dxa"/>
            <w:tcBorders>
              <w:right w:val="single" w:sz="4" w:space="0" w:color="auto"/>
            </w:tcBorders>
          </w:tcPr>
          <w:p w:rsidR="0058232B" w:rsidRPr="00336514" w:rsidRDefault="0058232B" w:rsidP="0058232B">
            <w:pPr>
              <w:pStyle w:val="Table"/>
            </w:pPr>
          </w:p>
        </w:tc>
        <w:tc>
          <w:tcPr>
            <w:tcW w:w="362" w:type="dxa"/>
            <w:tcBorders>
              <w:left w:val="single" w:sz="4" w:space="0" w:color="auto"/>
            </w:tcBorders>
          </w:tcPr>
          <w:p w:rsidR="0058232B" w:rsidRPr="00336514" w:rsidRDefault="0058232B" w:rsidP="0058232B">
            <w:pPr>
              <w:pStyle w:val="Table"/>
              <w:rPr>
                <w:lang w:val="en-GB"/>
              </w:rPr>
            </w:pPr>
          </w:p>
        </w:tc>
        <w:tc>
          <w:tcPr>
            <w:tcW w:w="362" w:type="dxa"/>
          </w:tcPr>
          <w:p w:rsidR="0058232B" w:rsidRPr="00336514" w:rsidRDefault="0058232B" w:rsidP="0058232B">
            <w:pPr>
              <w:pStyle w:val="Table"/>
            </w:pPr>
          </w:p>
        </w:tc>
        <w:tc>
          <w:tcPr>
            <w:tcW w:w="347" w:type="dxa"/>
            <w:tcBorders>
              <w:right w:val="single" w:sz="4" w:space="0" w:color="auto"/>
            </w:tcBorders>
          </w:tcPr>
          <w:p w:rsidR="0058232B" w:rsidRPr="00336514" w:rsidRDefault="0058232B" w:rsidP="0058232B">
            <w:pPr>
              <w:pStyle w:val="Table"/>
            </w:pPr>
          </w:p>
        </w:tc>
        <w:tc>
          <w:tcPr>
            <w:tcW w:w="377" w:type="dxa"/>
            <w:tcBorders>
              <w:left w:val="single" w:sz="4" w:space="0" w:color="auto"/>
            </w:tcBorders>
          </w:tcPr>
          <w:p w:rsidR="0058232B" w:rsidRPr="00336514" w:rsidRDefault="0058232B" w:rsidP="0058232B">
            <w:pPr>
              <w:pStyle w:val="Table"/>
              <w:rPr>
                <w:lang w:val="en-GB"/>
              </w:rPr>
            </w:pPr>
          </w:p>
        </w:tc>
        <w:tc>
          <w:tcPr>
            <w:tcW w:w="362" w:type="dxa"/>
          </w:tcPr>
          <w:p w:rsidR="0058232B" w:rsidRPr="00336514" w:rsidRDefault="0058232B" w:rsidP="0058232B">
            <w:pPr>
              <w:pStyle w:val="Table"/>
            </w:pPr>
          </w:p>
        </w:tc>
        <w:tc>
          <w:tcPr>
            <w:tcW w:w="362" w:type="dxa"/>
            <w:tcBorders>
              <w:right w:val="single" w:sz="4" w:space="0" w:color="auto"/>
            </w:tcBorders>
          </w:tcPr>
          <w:p w:rsidR="0058232B" w:rsidRPr="00336514" w:rsidRDefault="0058232B" w:rsidP="0058232B">
            <w:pPr>
              <w:pStyle w:val="Table"/>
            </w:pPr>
            <w:r w:rsidRPr="00336514">
              <w:rPr>
                <w:lang w:val="en-GB"/>
              </w:rPr>
              <w:sym w:font="Wingdings" w:char="F0FC"/>
            </w:r>
          </w:p>
        </w:tc>
        <w:tc>
          <w:tcPr>
            <w:tcW w:w="362" w:type="dxa"/>
            <w:tcBorders>
              <w:left w:val="single" w:sz="4" w:space="0" w:color="auto"/>
            </w:tcBorders>
          </w:tcPr>
          <w:p w:rsidR="0058232B" w:rsidRPr="00336514" w:rsidRDefault="0058232B" w:rsidP="0058232B">
            <w:pPr>
              <w:pStyle w:val="Table"/>
              <w:rPr>
                <w:lang w:val="en-GB"/>
              </w:rPr>
            </w:pPr>
          </w:p>
        </w:tc>
        <w:tc>
          <w:tcPr>
            <w:tcW w:w="362" w:type="dxa"/>
          </w:tcPr>
          <w:p w:rsidR="0058232B" w:rsidRPr="00336514" w:rsidRDefault="0058232B" w:rsidP="0058232B">
            <w:pPr>
              <w:pStyle w:val="Table"/>
            </w:pPr>
          </w:p>
        </w:tc>
        <w:tc>
          <w:tcPr>
            <w:tcW w:w="383" w:type="dxa"/>
            <w:tcBorders>
              <w:right w:val="single" w:sz="4" w:space="0" w:color="auto"/>
            </w:tcBorders>
          </w:tcPr>
          <w:p w:rsidR="0058232B" w:rsidRPr="00336514" w:rsidRDefault="0058232B" w:rsidP="0058232B">
            <w:pPr>
              <w:pStyle w:val="Table"/>
            </w:pPr>
          </w:p>
        </w:tc>
      </w:tr>
      <w:tr w:rsidR="006366EA" w:rsidRPr="00336514" w:rsidTr="001344B1">
        <w:trPr>
          <w:trHeight w:val="230"/>
        </w:trPr>
        <w:tc>
          <w:tcPr>
            <w:tcW w:w="1985" w:type="dxa"/>
            <w:vMerge w:val="restart"/>
            <w:tcBorders>
              <w:left w:val="single" w:sz="4" w:space="0" w:color="auto"/>
            </w:tcBorders>
            <w:shd w:val="clear" w:color="auto" w:fill="F2F2F2" w:themeFill="background1" w:themeFillShade="F2"/>
          </w:tcPr>
          <w:p w:rsidR="006366EA" w:rsidRPr="00623170" w:rsidRDefault="006366EA" w:rsidP="006366EA">
            <w:pPr>
              <w:pStyle w:val="Table"/>
              <w:rPr>
                <w:lang w:val="en-GB"/>
              </w:rPr>
            </w:pPr>
            <w:r w:rsidRPr="00623170">
              <w:rPr>
                <w:lang w:val="en-GB"/>
              </w:rPr>
              <w:t xml:space="preserve">Cuignet et al. </w:t>
            </w:r>
            <w:r w:rsidRPr="00623170">
              <w:rPr>
                <w:lang w:val="en-GB"/>
              </w:rPr>
              <w:fldChar w:fldCharType="begin" w:fldLock="1"/>
            </w:r>
            <w:r>
              <w:instrText>ADDIN CSL_CITATION {"citationItems":[{"id":"ITEM-1","itemData":{"DOI":"10.1177/0042098019852033","ISSN":"0042-0980","abstract":"Daily mobility has been shown to contribute to the wellbeing of older adults, as it promotes healthy and independent living. However, very little is known about how the complex relationships between locations, geographic environments and daily mobility relate to wellbeing. In the current paper, we rely on the concept of ‘motility’– defined as potential mobility– and the concept of ‘movement’– defined as actual mobility– to take a step forwards in disentangling the relationship between mobility and wellbeing. We further examine how both motility and movement relate to two complementary definitions of wellbeing: hedonic wellbeing as a measurement of happiness, and eudaimonic wellbeing as the actualisation of an individual’s human potential. To investigate this relationship, we draw up a conceptual framework stressing pathways linking mobility to wellbeing, which we empirically test using structural equation modelling on a stratified sample of 470 older adults. We first quantitatively confirm that motility is defined by access, competences, appropriation and attitudes to modes of transportation. We then observe that motility has direct effects on eudaimonic wellbeing and, to a lesser extent, on hedonic wellbeing. Part of the motility effects on wellbeing are mediated by movement. Separating mobility into motility and movement stresses the independent and complementary role that potential and realised mobility play in shaping older adults’ wellbeing.","author":[{"dropping-particle":"","family":"Cuignet","given":"Timothée","non-dropping-particle":"","parse-names":false,"suffix":""},{"dropping-particle":"","family":"Perchoux","given":"Camille","non-dropping-particle":"","parse-names":false,"suffix":""},{"dropping-particle":"","family":"Caruso","given":"Geoffrey","non-dropping-particle":"","parse-names":false,"suffix":""},{"dropping-particle":"","family":"Klein","given":"Olivier","non-dropping-particle":"","parse-names":false,"suffix":""},{"dropping-particle":"","family":"Klein","given":"Sylvain","non-dropping-particle":"","parse-names":false,"suffix":""},{"dropping-particle":"","family":"Chaix","given":"Basile","non-dropping-particle":"","parse-names":false,"suffix":""},{"dropping-particle":"","family":"Kestens","given":"Yan","non-dropping-particle":"","parse-names":false,"suffix":""},{"dropping-particle":"","family":"Gerber","given":"Philippe","non-dropping-particle":"","parse-names":false,"suffix":""}],"container-title":"Urban Studies","id":"ITEM-1","issued":{"date-parts":[["2019"]]},"title":"Mobility among older adults: deconstructing the effects of motility and movement on wellbeing","type":"article-journal"},"uris":["http://www.mendeley.com/documents/?uuid=daab3960-71fe-35d9-8363-c6e8f7d52c5d"]}],"mendeley":{"formattedCitation":"(8)","plainTextFormattedCitation":"(8)","previouslyFormattedCitation":"(8)"},"properties":{"noteIndex":0},"schema":"https://github.com/citation-style-language/schema/raw/master/csl-citation.json"}</w:instrText>
            </w:r>
            <w:r w:rsidRPr="00623170">
              <w:rPr>
                <w:lang w:val="en-GB"/>
              </w:rPr>
              <w:fldChar w:fldCharType="separate"/>
            </w:r>
            <w:r w:rsidRPr="00854212">
              <w:rPr>
                <w:noProof/>
              </w:rPr>
              <w:t>(8)</w:t>
            </w:r>
            <w:r w:rsidRPr="00623170">
              <w:rPr>
                <w:lang w:val="en-GB"/>
              </w:rPr>
              <w:fldChar w:fldCharType="end"/>
            </w:r>
          </w:p>
        </w:tc>
        <w:tc>
          <w:tcPr>
            <w:tcW w:w="709" w:type="dxa"/>
            <w:vMerge w:val="restart"/>
            <w:shd w:val="clear" w:color="auto" w:fill="F2F2F2" w:themeFill="background1" w:themeFillShade="F2"/>
          </w:tcPr>
          <w:p w:rsidR="006366EA" w:rsidRPr="00336514" w:rsidRDefault="006366EA" w:rsidP="006366EA">
            <w:pPr>
              <w:pStyle w:val="Table"/>
              <w:rPr>
                <w:lang w:val="en-GB"/>
              </w:rPr>
            </w:pPr>
            <w:r>
              <w:rPr>
                <w:lang w:val="en-GB"/>
              </w:rPr>
              <w:t>3</w:t>
            </w: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 xml:space="preserve">Area of standard deviational </w:t>
            </w:r>
            <w:r>
              <w:t xml:space="preserve">(SD) </w:t>
            </w:r>
            <w:r w:rsidRPr="00336514">
              <w:t xml:space="preserve">ellipse </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1344B1">
        <w:trPr>
          <w:trHeight w:val="230"/>
        </w:trPr>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rPr>
                <w:lang w:val="en-GB"/>
              </w:rPr>
            </w:pPr>
          </w:p>
        </w:tc>
        <w:tc>
          <w:tcPr>
            <w:tcW w:w="709" w:type="dxa"/>
            <w:vMerge/>
            <w:shd w:val="clear" w:color="auto" w:fill="F2F2F2" w:themeFill="background1" w:themeFillShade="F2"/>
          </w:tcPr>
          <w:p w:rsidR="006366EA" w:rsidRPr="00336514" w:rsidRDefault="006366EA" w:rsidP="006366EA">
            <w:pPr>
              <w:pStyle w:val="Table"/>
              <w:rPr>
                <w:lang w:val="en-GB"/>
              </w:rPr>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Time spent in trips</w:t>
            </w:r>
          </w:p>
        </w:tc>
        <w:tc>
          <w:tcPr>
            <w:tcW w:w="363" w:type="dxa"/>
            <w:tcBorders>
              <w:left w:val="single" w:sz="4" w:space="0" w:color="auto"/>
            </w:tcBorders>
            <w:shd w:val="clear" w:color="auto" w:fill="F2F2F2" w:themeFill="background1" w:themeFillShade="F2"/>
          </w:tcPr>
          <w:p w:rsidR="006366EA" w:rsidRPr="00854212" w:rsidRDefault="006366EA" w:rsidP="006366EA">
            <w:pPr>
              <w:pStyle w:val="Table"/>
            </w:pPr>
          </w:p>
        </w:tc>
        <w:tc>
          <w:tcPr>
            <w:tcW w:w="362" w:type="dxa"/>
            <w:shd w:val="clear" w:color="auto" w:fill="F2F2F2" w:themeFill="background1" w:themeFillShade="F2"/>
          </w:tcPr>
          <w:p w:rsidR="006366EA" w:rsidRPr="00854212" w:rsidRDefault="006366EA" w:rsidP="006366EA">
            <w:pPr>
              <w:pStyle w:val="Table"/>
            </w:pPr>
          </w:p>
        </w:tc>
        <w:tc>
          <w:tcPr>
            <w:tcW w:w="362" w:type="dxa"/>
            <w:tcBorders>
              <w:right w:val="single" w:sz="4" w:space="0" w:color="auto"/>
            </w:tcBorders>
            <w:shd w:val="clear" w:color="auto" w:fill="F2F2F2" w:themeFill="background1" w:themeFillShade="F2"/>
          </w:tcPr>
          <w:p w:rsidR="006366EA" w:rsidRPr="00854212" w:rsidRDefault="006366EA" w:rsidP="006366EA">
            <w:pPr>
              <w:pStyle w:val="Table"/>
            </w:pPr>
          </w:p>
        </w:tc>
        <w:tc>
          <w:tcPr>
            <w:tcW w:w="362" w:type="dxa"/>
            <w:tcBorders>
              <w:left w:val="single" w:sz="4" w:space="0" w:color="auto"/>
            </w:tcBorders>
            <w:shd w:val="clear" w:color="auto" w:fill="F2F2F2" w:themeFill="background1" w:themeFillShade="F2"/>
          </w:tcPr>
          <w:p w:rsidR="006366EA" w:rsidRPr="00854212"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854212" w:rsidRDefault="006366EA" w:rsidP="006366EA">
            <w:pPr>
              <w:pStyle w:val="Table"/>
            </w:pPr>
          </w:p>
        </w:tc>
        <w:tc>
          <w:tcPr>
            <w:tcW w:w="347" w:type="dxa"/>
            <w:tcBorders>
              <w:right w:val="single" w:sz="4" w:space="0" w:color="auto"/>
            </w:tcBorders>
            <w:shd w:val="clear" w:color="auto" w:fill="F2F2F2" w:themeFill="background1" w:themeFillShade="F2"/>
          </w:tcPr>
          <w:p w:rsidR="006366EA" w:rsidRPr="00854212" w:rsidRDefault="006366EA" w:rsidP="006366EA">
            <w:pPr>
              <w:pStyle w:val="Table"/>
            </w:pPr>
          </w:p>
        </w:tc>
        <w:tc>
          <w:tcPr>
            <w:tcW w:w="377" w:type="dxa"/>
            <w:tcBorders>
              <w:left w:val="single" w:sz="4" w:space="0" w:color="auto"/>
            </w:tcBorders>
            <w:shd w:val="clear" w:color="auto" w:fill="F2F2F2" w:themeFill="background1" w:themeFillShade="F2"/>
          </w:tcPr>
          <w:p w:rsidR="006366EA" w:rsidRPr="00854212" w:rsidRDefault="006366EA" w:rsidP="006366EA">
            <w:pPr>
              <w:pStyle w:val="Table"/>
            </w:pPr>
          </w:p>
        </w:tc>
        <w:tc>
          <w:tcPr>
            <w:tcW w:w="362" w:type="dxa"/>
            <w:shd w:val="clear" w:color="auto" w:fill="F2F2F2" w:themeFill="background1" w:themeFillShade="F2"/>
          </w:tcPr>
          <w:p w:rsidR="006366EA" w:rsidRPr="00854212"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854212" w:rsidRDefault="006366EA" w:rsidP="006366EA">
            <w:pPr>
              <w:pStyle w:val="Table"/>
            </w:pPr>
          </w:p>
        </w:tc>
        <w:tc>
          <w:tcPr>
            <w:tcW w:w="362" w:type="dxa"/>
            <w:tcBorders>
              <w:left w:val="single" w:sz="4" w:space="0" w:color="auto"/>
            </w:tcBorders>
            <w:shd w:val="clear" w:color="auto" w:fill="F2F2F2" w:themeFill="background1" w:themeFillShade="F2"/>
          </w:tcPr>
          <w:p w:rsidR="006366EA" w:rsidRPr="00854212" w:rsidRDefault="006366EA" w:rsidP="006366EA">
            <w:pPr>
              <w:pStyle w:val="Table"/>
            </w:pPr>
          </w:p>
        </w:tc>
        <w:tc>
          <w:tcPr>
            <w:tcW w:w="362" w:type="dxa"/>
            <w:shd w:val="clear" w:color="auto" w:fill="F2F2F2" w:themeFill="background1" w:themeFillShade="F2"/>
          </w:tcPr>
          <w:p w:rsidR="006366EA" w:rsidRPr="00854212" w:rsidRDefault="006366EA" w:rsidP="006366EA">
            <w:pPr>
              <w:pStyle w:val="Table"/>
            </w:pPr>
          </w:p>
        </w:tc>
        <w:tc>
          <w:tcPr>
            <w:tcW w:w="383" w:type="dxa"/>
            <w:tcBorders>
              <w:right w:val="single" w:sz="4" w:space="0" w:color="auto"/>
            </w:tcBorders>
            <w:shd w:val="clear" w:color="auto" w:fill="F2F2F2" w:themeFill="background1" w:themeFillShade="F2"/>
          </w:tcPr>
          <w:p w:rsidR="006366EA" w:rsidRPr="00854212" w:rsidRDefault="006366EA" w:rsidP="006366EA">
            <w:pPr>
              <w:pStyle w:val="Table"/>
            </w:pPr>
          </w:p>
        </w:tc>
      </w:tr>
      <w:tr w:rsidR="006366EA" w:rsidRPr="00336514" w:rsidTr="001344B1">
        <w:trPr>
          <w:trHeight w:val="230"/>
        </w:trPr>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rPr>
                <w:lang w:val="en-GB"/>
              </w:rPr>
            </w:pPr>
          </w:p>
        </w:tc>
        <w:tc>
          <w:tcPr>
            <w:tcW w:w="709" w:type="dxa"/>
            <w:vMerge/>
            <w:shd w:val="clear" w:color="auto" w:fill="F2F2F2" w:themeFill="background1" w:themeFillShade="F2"/>
          </w:tcPr>
          <w:p w:rsidR="006366EA" w:rsidRPr="00336514" w:rsidRDefault="006366EA" w:rsidP="006366EA">
            <w:pPr>
              <w:pStyle w:val="Table"/>
              <w:rPr>
                <w:lang w:val="en-GB"/>
              </w:rPr>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Number of trips</w:t>
            </w:r>
          </w:p>
        </w:tc>
        <w:tc>
          <w:tcPr>
            <w:tcW w:w="363" w:type="dxa"/>
            <w:tcBorders>
              <w:left w:val="single" w:sz="4" w:space="0" w:color="auto"/>
            </w:tcBorders>
            <w:shd w:val="clear" w:color="auto" w:fill="F2F2F2" w:themeFill="background1" w:themeFillShade="F2"/>
          </w:tcPr>
          <w:p w:rsidR="006366EA" w:rsidRPr="00854212"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854212" w:rsidRDefault="006366EA" w:rsidP="006366EA">
            <w:pPr>
              <w:pStyle w:val="Table"/>
            </w:pPr>
          </w:p>
        </w:tc>
        <w:tc>
          <w:tcPr>
            <w:tcW w:w="362" w:type="dxa"/>
            <w:tcBorders>
              <w:right w:val="single" w:sz="4" w:space="0" w:color="auto"/>
            </w:tcBorders>
            <w:shd w:val="clear" w:color="auto" w:fill="F2F2F2" w:themeFill="background1" w:themeFillShade="F2"/>
          </w:tcPr>
          <w:p w:rsidR="006366EA" w:rsidRPr="00854212" w:rsidRDefault="006366EA" w:rsidP="006366EA">
            <w:pPr>
              <w:pStyle w:val="Table"/>
            </w:pPr>
          </w:p>
        </w:tc>
        <w:tc>
          <w:tcPr>
            <w:tcW w:w="362" w:type="dxa"/>
            <w:tcBorders>
              <w:left w:val="single" w:sz="4" w:space="0" w:color="auto"/>
            </w:tcBorders>
            <w:shd w:val="clear" w:color="auto" w:fill="F2F2F2" w:themeFill="background1" w:themeFillShade="F2"/>
          </w:tcPr>
          <w:p w:rsidR="006366EA" w:rsidRPr="00854212" w:rsidRDefault="006366EA" w:rsidP="006366EA">
            <w:pPr>
              <w:pStyle w:val="Table"/>
            </w:pPr>
          </w:p>
        </w:tc>
        <w:tc>
          <w:tcPr>
            <w:tcW w:w="362" w:type="dxa"/>
            <w:shd w:val="clear" w:color="auto" w:fill="F2F2F2" w:themeFill="background1" w:themeFillShade="F2"/>
          </w:tcPr>
          <w:p w:rsidR="006366EA" w:rsidRPr="00854212" w:rsidRDefault="006366EA" w:rsidP="006366EA">
            <w:pPr>
              <w:pStyle w:val="Table"/>
            </w:pPr>
          </w:p>
        </w:tc>
        <w:tc>
          <w:tcPr>
            <w:tcW w:w="347" w:type="dxa"/>
            <w:tcBorders>
              <w:right w:val="single" w:sz="4" w:space="0" w:color="auto"/>
            </w:tcBorders>
            <w:shd w:val="clear" w:color="auto" w:fill="F2F2F2" w:themeFill="background1" w:themeFillShade="F2"/>
          </w:tcPr>
          <w:p w:rsidR="006366EA" w:rsidRPr="00854212" w:rsidRDefault="006366EA" w:rsidP="006366EA">
            <w:pPr>
              <w:pStyle w:val="Table"/>
            </w:pPr>
          </w:p>
        </w:tc>
        <w:tc>
          <w:tcPr>
            <w:tcW w:w="377" w:type="dxa"/>
            <w:tcBorders>
              <w:left w:val="single" w:sz="4" w:space="0" w:color="auto"/>
            </w:tcBorders>
            <w:shd w:val="clear" w:color="auto" w:fill="F2F2F2" w:themeFill="background1" w:themeFillShade="F2"/>
          </w:tcPr>
          <w:p w:rsidR="006366EA" w:rsidRPr="00854212" w:rsidRDefault="006366EA" w:rsidP="006366EA">
            <w:pPr>
              <w:pStyle w:val="Table"/>
            </w:pPr>
          </w:p>
        </w:tc>
        <w:tc>
          <w:tcPr>
            <w:tcW w:w="362" w:type="dxa"/>
            <w:shd w:val="clear" w:color="auto" w:fill="F2F2F2" w:themeFill="background1" w:themeFillShade="F2"/>
          </w:tcPr>
          <w:p w:rsidR="006366EA" w:rsidRPr="00854212"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854212" w:rsidRDefault="006366EA" w:rsidP="006366EA">
            <w:pPr>
              <w:pStyle w:val="Table"/>
            </w:pPr>
          </w:p>
        </w:tc>
        <w:tc>
          <w:tcPr>
            <w:tcW w:w="362" w:type="dxa"/>
            <w:tcBorders>
              <w:left w:val="single" w:sz="4" w:space="0" w:color="auto"/>
            </w:tcBorders>
            <w:shd w:val="clear" w:color="auto" w:fill="F2F2F2" w:themeFill="background1" w:themeFillShade="F2"/>
          </w:tcPr>
          <w:p w:rsidR="006366EA" w:rsidRPr="00854212" w:rsidRDefault="006366EA" w:rsidP="006366EA">
            <w:pPr>
              <w:pStyle w:val="Table"/>
            </w:pPr>
          </w:p>
        </w:tc>
        <w:tc>
          <w:tcPr>
            <w:tcW w:w="362" w:type="dxa"/>
            <w:shd w:val="clear" w:color="auto" w:fill="F2F2F2" w:themeFill="background1" w:themeFillShade="F2"/>
          </w:tcPr>
          <w:p w:rsidR="006366EA" w:rsidRPr="00854212" w:rsidRDefault="006366EA" w:rsidP="006366EA">
            <w:pPr>
              <w:pStyle w:val="Table"/>
            </w:pPr>
          </w:p>
        </w:tc>
        <w:tc>
          <w:tcPr>
            <w:tcW w:w="383" w:type="dxa"/>
            <w:tcBorders>
              <w:right w:val="single" w:sz="4" w:space="0" w:color="auto"/>
            </w:tcBorders>
            <w:shd w:val="clear" w:color="auto" w:fill="F2F2F2" w:themeFill="background1" w:themeFillShade="F2"/>
          </w:tcPr>
          <w:p w:rsidR="006366EA" w:rsidRPr="00854212" w:rsidRDefault="006366EA" w:rsidP="006366EA">
            <w:pPr>
              <w:pStyle w:val="Table"/>
            </w:pPr>
          </w:p>
        </w:tc>
      </w:tr>
      <w:tr w:rsidR="006366EA" w:rsidRPr="00336514" w:rsidTr="001344B1">
        <w:tc>
          <w:tcPr>
            <w:tcW w:w="1985" w:type="dxa"/>
            <w:vMerge w:val="restart"/>
            <w:tcBorders>
              <w:left w:val="single" w:sz="4" w:space="0" w:color="auto"/>
            </w:tcBorders>
            <w:shd w:val="clear" w:color="auto" w:fill="auto"/>
          </w:tcPr>
          <w:p w:rsidR="006366EA" w:rsidRPr="00623170" w:rsidRDefault="006366EA" w:rsidP="006366EA">
            <w:pPr>
              <w:pStyle w:val="Table"/>
            </w:pPr>
            <w:bookmarkStart w:id="3" w:name="_GoBack" w:colFirst="0" w:colLast="14"/>
            <w:r w:rsidRPr="00623170">
              <w:t xml:space="preserve">Giannouli et al. </w:t>
            </w:r>
            <w:r w:rsidRPr="00623170">
              <w:fldChar w:fldCharType="begin" w:fldLock="1"/>
            </w:r>
            <w:r w:rsidRPr="00623170">
              <w:instrText>ADDIN CSL_CITATION {"citationItems":[{"id":"ITEM-1","itemData":{"DOI":"10.1155/2016/3261567","ISSN":"2314-6133","PMID":"27034932","abstract":"Background . Outcomes of laboratory-based tests for mobility are often used to infer about older adults’ performance in real life; however, it is unclear whether such association exists. We hypothesized that mobility capacity, as measured in the laboratory, and mobility performance, as measured in real life, would be poorly linked. Methods . The sample consisted of 84 older adults ( 72.5 ± 5.9 years). Capacity was assessed via the iTUG and standard gait parameters (stride length, stride velocity, and cadence). Performance was assessed in real life over a period of 6.95 ± 1.99 days using smartphone technology to calculate following parameters: active and gait time, number of steps, life-space, mean action-range, and maximum action-range. Correlation analyses and stepwise multiple regression analyses were applied. Results . All laboratory measures demonstrated significant associations with the real-life measures (between r = . 229 and r = . 461 ). The multiple regression analyses indicated that the laboratory measures accounted for a significant but very low proportion of variance (between 5% and 21%) in real-life measures. Conclusion . In older adults without mobility impairments, capacity-related measures of mobility bear little significance for predicting real-life performance. Hence, other factors play a role in how older people manage their daily-life mobility. This should be considered for diagnosis and treatment of mobility deficits in older people.","author":[{"dropping-particle":"","family":"Giannouli","given":"Eleftheria","non-dropping-particle":"","parse-names":false,"suffix":""},{"dropping-particle":"","family":"Bock","given":"Otmar","non-dropping-particle":"","parse-names":false,"suffix":""},{"dropping-particle":"","family":"Mellone","given":"Sabato","non-dropping-particle":"","parse-names":false,"suffix":""},{"dropping-particle":"","family":"Zijlstra","given":"Wiebren","non-dropping-particle":"","parse-names":false,"suffix":""}],"container-title":"BioMed Research International","id":"ITEM-1","issue":"February","issued":{"date-parts":[["2016"]]},"page":"1-8","title":"Mobility in old age: capacity is not performance","type":"article-journal"},"uris":["http://www.mendeley.com/documents/?uuid=1ff3dc08-391c-4471-b164-1f2333f18502"]},{"id":"ITEM-2","itemData":{"DOI":"10.1007/s10433-017-0434-3","ISBN":"1043301704","ISSN":"16139380","abstract":"Increasing evidence indicates that mobility depends on cognitive resources, but the exact relationships between various cognitive functions and different mobility parameters still need to be investigated. This study exam-ines the hypothesis that cognitive functioning is more closely related to real-life mobility performance than to mobility capacity as measured with standardized laboratory tests. The final sample used for analysis consisted of 66 older adults (72.3 ± 5.6 years). Cognition was assessed by measures of planning (HOTAP test), spatial working memory (Grid-Span test) and visuospatial attention (At-tention Window test). Mobility capacity was assessed by an instrumented version of the Timed Up-and-Go test (iTUG). Mobility performance was assessed with smartphones which collected accelerometer and GPS data over one week to determine the spatial extent and temporal duration of real-life activities. Data analyses involved an explora-tory factor analysis and correlation analyses. Mobility measures were reduced to four orthogonal factors: the factor 'real-life mobility' correlated significantly with most cognitive measures (between r = .229 and r = .396); fac-tors representing 'sit-to-stand transition' and 'turn' corre-lated with fewer cognitive measures (between r = .271 and r = .315 and between r = .210 and r = .316, respectively), and the factor representing straight gait correlated with only one cognitive measure (r = .237). Among the cogni-tive functions tested, visuospatial attention was associated with most mobility measures, executive functions with fewer and spatial working memory with only one mobility measure. Capacity and real-life performance represent different aspects of mobility. Real-life mobility is more closely associated with cognition than mobility capacity, and in our data this association is most pronounced for visuospatial attention. The close link between real-life mobility and visuospatial attention should be considered by interventions targeting mobility in old age.","author":[{"dropping-particle":"","family":"Giannouli","given":"Eleftheria","non-dropping-particle":"","parse-names":false,"suffix":""},{"dropping-particle":"","family":"Bock","given":"Otmar","non-dropping-particle":"","parse-names":false,"suffix":""},{"dropping-particle":"","family":"Zijlstra","given":"Wiebren","non-dropping-particle":"","parse-names":false,"suffix":""}],"container-title":"European Journal of Ageing","id":"ITEM-2","issued":{"date-parts":[["2018"]]},"page":"1-9","publisher":"Springer Netherlands","title":"Cognitive functioning is more closely related to real-life mobility than to laboratory-based mobility parameters","type":"article-journal"},"uris":["http://www.mendeley.com/documents/?uuid=050c19ef-7463-4032-af9e-ad3b943991b9"]}],"mendeley":{"formattedCitation":"(6,7)","plainTextFormattedCitation":"(6,7)","previouslyFormattedCitation":"(6,7)"},"properties":{"noteIndex":0},"schema":"https://github.com/citation-style-language/schema/raw/master/csl-citation.json"}</w:instrText>
            </w:r>
            <w:r w:rsidRPr="00623170">
              <w:fldChar w:fldCharType="separate"/>
            </w:r>
            <w:r w:rsidRPr="00623170">
              <w:rPr>
                <w:noProof/>
              </w:rPr>
              <w:t>(6,</w:t>
            </w:r>
            <w:r w:rsidRPr="00623170">
              <w:rPr>
                <w:noProof/>
                <w:u w:val="single"/>
              </w:rPr>
              <w:t>7</w:t>
            </w:r>
            <w:r w:rsidRPr="00623170">
              <w:rPr>
                <w:noProof/>
              </w:rPr>
              <w:t>)</w:t>
            </w:r>
            <w:r w:rsidRPr="00623170">
              <w:fldChar w:fldCharType="end"/>
            </w:r>
          </w:p>
        </w:tc>
        <w:tc>
          <w:tcPr>
            <w:tcW w:w="709" w:type="dxa"/>
            <w:vMerge w:val="restart"/>
            <w:shd w:val="clear" w:color="auto" w:fill="auto"/>
          </w:tcPr>
          <w:p w:rsidR="006366EA" w:rsidRPr="00336514" w:rsidRDefault="006366EA" w:rsidP="006366EA">
            <w:pPr>
              <w:pStyle w:val="Table"/>
            </w:pPr>
            <w:r w:rsidRPr="00336514">
              <w:t>4</w:t>
            </w:r>
          </w:p>
        </w:tc>
        <w:tc>
          <w:tcPr>
            <w:tcW w:w="6662" w:type="dxa"/>
            <w:tcBorders>
              <w:right w:val="single" w:sz="4" w:space="0" w:color="auto"/>
            </w:tcBorders>
            <w:shd w:val="clear" w:color="auto" w:fill="auto"/>
          </w:tcPr>
          <w:p w:rsidR="006366EA" w:rsidRPr="00336514" w:rsidRDefault="006366EA" w:rsidP="006366EA">
            <w:pPr>
              <w:pStyle w:val="Table"/>
            </w:pPr>
            <w:r w:rsidRPr="00336514">
              <w:t xml:space="preserve">Area of convex hull </w:t>
            </w:r>
          </w:p>
        </w:tc>
        <w:tc>
          <w:tcPr>
            <w:tcW w:w="363" w:type="dxa"/>
            <w:tcBorders>
              <w:left w:val="single" w:sz="4" w:space="0" w:color="auto"/>
            </w:tcBorders>
            <w:shd w:val="clear" w:color="auto" w:fill="auto"/>
          </w:tcPr>
          <w:p w:rsidR="006366EA" w:rsidRPr="00336514" w:rsidRDefault="006366EA" w:rsidP="006366EA">
            <w:pPr>
              <w:pStyle w:val="Table"/>
            </w:pPr>
          </w:p>
        </w:tc>
        <w:tc>
          <w:tcPr>
            <w:tcW w:w="362" w:type="dxa"/>
            <w:shd w:val="clear" w:color="auto" w:fill="auto"/>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auto"/>
          </w:tcPr>
          <w:p w:rsidR="006366EA" w:rsidRPr="00336514" w:rsidRDefault="006366EA" w:rsidP="006366EA">
            <w:pPr>
              <w:pStyle w:val="Table"/>
            </w:pPr>
          </w:p>
        </w:tc>
        <w:tc>
          <w:tcPr>
            <w:tcW w:w="362" w:type="dxa"/>
            <w:tcBorders>
              <w:left w:val="single" w:sz="4" w:space="0" w:color="auto"/>
            </w:tcBorders>
            <w:shd w:val="clear" w:color="auto" w:fill="auto"/>
          </w:tcPr>
          <w:p w:rsidR="006366EA" w:rsidRPr="00336514" w:rsidRDefault="006366EA" w:rsidP="006366EA">
            <w:pPr>
              <w:pStyle w:val="Table"/>
            </w:pPr>
          </w:p>
        </w:tc>
        <w:tc>
          <w:tcPr>
            <w:tcW w:w="362" w:type="dxa"/>
            <w:shd w:val="clear" w:color="auto" w:fill="auto"/>
          </w:tcPr>
          <w:p w:rsidR="006366EA" w:rsidRPr="00336514" w:rsidRDefault="006366EA" w:rsidP="006366EA">
            <w:pPr>
              <w:pStyle w:val="Table"/>
            </w:pPr>
          </w:p>
        </w:tc>
        <w:tc>
          <w:tcPr>
            <w:tcW w:w="347" w:type="dxa"/>
            <w:tcBorders>
              <w:right w:val="single" w:sz="4" w:space="0" w:color="auto"/>
            </w:tcBorders>
            <w:shd w:val="clear" w:color="auto" w:fill="auto"/>
          </w:tcPr>
          <w:p w:rsidR="006366EA" w:rsidRPr="00336514" w:rsidRDefault="006366EA" w:rsidP="006366EA">
            <w:pPr>
              <w:pStyle w:val="Table"/>
            </w:pPr>
          </w:p>
        </w:tc>
        <w:tc>
          <w:tcPr>
            <w:tcW w:w="377" w:type="dxa"/>
            <w:tcBorders>
              <w:left w:val="single" w:sz="4" w:space="0" w:color="auto"/>
            </w:tcBorders>
            <w:shd w:val="clear" w:color="auto" w:fill="auto"/>
          </w:tcPr>
          <w:p w:rsidR="006366EA" w:rsidRPr="00336514" w:rsidRDefault="006366EA" w:rsidP="006366EA">
            <w:pPr>
              <w:pStyle w:val="Table"/>
            </w:pPr>
          </w:p>
        </w:tc>
        <w:tc>
          <w:tcPr>
            <w:tcW w:w="362" w:type="dxa"/>
            <w:shd w:val="clear" w:color="auto" w:fill="auto"/>
          </w:tcPr>
          <w:p w:rsidR="006366EA" w:rsidRPr="00336514" w:rsidRDefault="006366EA" w:rsidP="006366EA">
            <w:pPr>
              <w:pStyle w:val="Table"/>
            </w:pPr>
          </w:p>
        </w:tc>
        <w:tc>
          <w:tcPr>
            <w:tcW w:w="362" w:type="dxa"/>
            <w:tcBorders>
              <w:right w:val="single" w:sz="4" w:space="0" w:color="auto"/>
            </w:tcBorders>
            <w:shd w:val="clear" w:color="auto" w:fill="auto"/>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shd w:val="clear" w:color="auto" w:fill="auto"/>
          </w:tcPr>
          <w:p w:rsidR="006366EA" w:rsidRPr="00336514" w:rsidRDefault="006366EA" w:rsidP="006366EA">
            <w:pPr>
              <w:pStyle w:val="Table"/>
            </w:pPr>
          </w:p>
        </w:tc>
        <w:tc>
          <w:tcPr>
            <w:tcW w:w="362" w:type="dxa"/>
            <w:shd w:val="clear" w:color="auto" w:fill="auto"/>
          </w:tcPr>
          <w:p w:rsidR="006366EA" w:rsidRPr="00336514" w:rsidRDefault="006366EA" w:rsidP="006366EA">
            <w:pPr>
              <w:pStyle w:val="Table"/>
            </w:pPr>
          </w:p>
        </w:tc>
        <w:tc>
          <w:tcPr>
            <w:tcW w:w="383" w:type="dxa"/>
            <w:tcBorders>
              <w:right w:val="single" w:sz="4" w:space="0" w:color="auto"/>
            </w:tcBorders>
            <w:shd w:val="clear" w:color="auto" w:fill="auto"/>
          </w:tcPr>
          <w:p w:rsidR="006366EA" w:rsidRPr="00336514" w:rsidRDefault="006366EA" w:rsidP="006366EA">
            <w:pPr>
              <w:pStyle w:val="Table"/>
            </w:pPr>
          </w:p>
        </w:tc>
      </w:tr>
      <w:tr w:rsidR="006366EA" w:rsidRPr="00336514" w:rsidTr="001344B1">
        <w:trPr>
          <w:trHeight w:val="191"/>
        </w:trPr>
        <w:tc>
          <w:tcPr>
            <w:tcW w:w="1985" w:type="dxa"/>
            <w:vMerge/>
            <w:tcBorders>
              <w:left w:val="single" w:sz="4" w:space="0" w:color="auto"/>
            </w:tcBorders>
            <w:shd w:val="clear" w:color="auto" w:fill="auto"/>
          </w:tcPr>
          <w:p w:rsidR="006366EA" w:rsidRPr="00623170" w:rsidRDefault="006366EA" w:rsidP="006366EA">
            <w:pPr>
              <w:pStyle w:val="Table"/>
            </w:pPr>
          </w:p>
        </w:tc>
        <w:tc>
          <w:tcPr>
            <w:tcW w:w="709" w:type="dxa"/>
            <w:vMerge/>
            <w:shd w:val="clear" w:color="auto" w:fill="auto"/>
          </w:tcPr>
          <w:p w:rsidR="006366EA" w:rsidRPr="00336514" w:rsidRDefault="006366EA" w:rsidP="006366EA">
            <w:pPr>
              <w:pStyle w:val="Table"/>
            </w:pPr>
          </w:p>
        </w:tc>
        <w:tc>
          <w:tcPr>
            <w:tcW w:w="6662" w:type="dxa"/>
            <w:tcBorders>
              <w:right w:val="single" w:sz="4" w:space="0" w:color="auto"/>
            </w:tcBorders>
            <w:shd w:val="clear" w:color="auto" w:fill="auto"/>
          </w:tcPr>
          <w:p w:rsidR="006366EA" w:rsidRPr="00336514" w:rsidRDefault="006366EA" w:rsidP="006366EA">
            <w:pPr>
              <w:pStyle w:val="Table"/>
            </w:pPr>
            <w:r w:rsidRPr="00336514">
              <w:t>Mean</w:t>
            </w:r>
            <w:r>
              <w:t>/</w:t>
            </w:r>
            <w:r w:rsidRPr="00336514">
              <w:t>max distance from home</w:t>
            </w:r>
          </w:p>
        </w:tc>
        <w:tc>
          <w:tcPr>
            <w:tcW w:w="363" w:type="dxa"/>
            <w:tcBorders>
              <w:left w:val="single" w:sz="4" w:space="0" w:color="auto"/>
            </w:tcBorders>
            <w:shd w:val="clear" w:color="auto" w:fill="auto"/>
          </w:tcPr>
          <w:p w:rsidR="006366EA" w:rsidRPr="00336514" w:rsidRDefault="006366EA" w:rsidP="006366EA">
            <w:pPr>
              <w:pStyle w:val="Table"/>
            </w:pPr>
          </w:p>
        </w:tc>
        <w:tc>
          <w:tcPr>
            <w:tcW w:w="362" w:type="dxa"/>
            <w:shd w:val="clear" w:color="auto" w:fill="auto"/>
          </w:tcPr>
          <w:p w:rsidR="006366EA" w:rsidRPr="00336514" w:rsidRDefault="006366EA" w:rsidP="006366EA">
            <w:pPr>
              <w:pStyle w:val="Table"/>
              <w:rPr>
                <w:lang w:val="en-GB"/>
              </w:rPr>
            </w:pPr>
            <w:r w:rsidRPr="00336514">
              <w:rPr>
                <w:lang w:val="en-GB"/>
              </w:rPr>
              <w:sym w:font="Wingdings" w:char="F0FC"/>
            </w:r>
          </w:p>
        </w:tc>
        <w:tc>
          <w:tcPr>
            <w:tcW w:w="362" w:type="dxa"/>
            <w:tcBorders>
              <w:right w:val="single" w:sz="4" w:space="0" w:color="auto"/>
            </w:tcBorders>
            <w:shd w:val="clear" w:color="auto" w:fill="auto"/>
          </w:tcPr>
          <w:p w:rsidR="006366EA" w:rsidRPr="00336514" w:rsidRDefault="006366EA" w:rsidP="006366EA">
            <w:pPr>
              <w:pStyle w:val="Table"/>
              <w:rPr>
                <w:lang w:val="en-GB"/>
              </w:rPr>
            </w:pPr>
          </w:p>
        </w:tc>
        <w:tc>
          <w:tcPr>
            <w:tcW w:w="362" w:type="dxa"/>
            <w:tcBorders>
              <w:left w:val="single" w:sz="4" w:space="0" w:color="auto"/>
            </w:tcBorders>
            <w:shd w:val="clear" w:color="auto" w:fill="auto"/>
          </w:tcPr>
          <w:p w:rsidR="006366EA" w:rsidRPr="00336514" w:rsidRDefault="006366EA" w:rsidP="006366EA">
            <w:pPr>
              <w:pStyle w:val="Table"/>
            </w:pPr>
          </w:p>
        </w:tc>
        <w:tc>
          <w:tcPr>
            <w:tcW w:w="362" w:type="dxa"/>
            <w:shd w:val="clear" w:color="auto" w:fill="auto"/>
          </w:tcPr>
          <w:p w:rsidR="006366EA" w:rsidRPr="00336514" w:rsidRDefault="006366EA" w:rsidP="006366EA">
            <w:pPr>
              <w:pStyle w:val="Table"/>
            </w:pPr>
          </w:p>
        </w:tc>
        <w:tc>
          <w:tcPr>
            <w:tcW w:w="347" w:type="dxa"/>
            <w:tcBorders>
              <w:right w:val="single" w:sz="4" w:space="0" w:color="auto"/>
            </w:tcBorders>
            <w:shd w:val="clear" w:color="auto" w:fill="auto"/>
          </w:tcPr>
          <w:p w:rsidR="006366EA" w:rsidRPr="00336514" w:rsidRDefault="006366EA" w:rsidP="006366EA">
            <w:pPr>
              <w:pStyle w:val="Table"/>
            </w:pPr>
          </w:p>
        </w:tc>
        <w:tc>
          <w:tcPr>
            <w:tcW w:w="377" w:type="dxa"/>
            <w:tcBorders>
              <w:left w:val="single" w:sz="4" w:space="0" w:color="auto"/>
            </w:tcBorders>
            <w:shd w:val="clear" w:color="auto" w:fill="auto"/>
          </w:tcPr>
          <w:p w:rsidR="006366EA" w:rsidRPr="00336514" w:rsidRDefault="006366EA" w:rsidP="006366EA">
            <w:pPr>
              <w:pStyle w:val="Table"/>
            </w:pPr>
          </w:p>
        </w:tc>
        <w:tc>
          <w:tcPr>
            <w:tcW w:w="362" w:type="dxa"/>
            <w:shd w:val="clear" w:color="auto" w:fill="auto"/>
          </w:tcPr>
          <w:p w:rsidR="006366EA" w:rsidRPr="00336514" w:rsidRDefault="006366EA" w:rsidP="006366EA">
            <w:pPr>
              <w:pStyle w:val="Table"/>
              <w:rPr>
                <w:lang w:val="en-GB"/>
              </w:rPr>
            </w:pPr>
          </w:p>
        </w:tc>
        <w:tc>
          <w:tcPr>
            <w:tcW w:w="362" w:type="dxa"/>
            <w:tcBorders>
              <w:right w:val="single" w:sz="4" w:space="0" w:color="auto"/>
            </w:tcBorders>
            <w:shd w:val="clear" w:color="auto" w:fill="auto"/>
          </w:tcPr>
          <w:p w:rsidR="006366EA" w:rsidRPr="00336514" w:rsidRDefault="006366EA" w:rsidP="006366EA">
            <w:pPr>
              <w:pStyle w:val="Table"/>
              <w:rPr>
                <w:lang w:val="en-GB"/>
              </w:rPr>
            </w:pPr>
            <w:r w:rsidRPr="00336514">
              <w:rPr>
                <w:lang w:val="en-GB"/>
              </w:rPr>
              <w:sym w:font="Wingdings" w:char="F0FC"/>
            </w:r>
          </w:p>
        </w:tc>
        <w:tc>
          <w:tcPr>
            <w:tcW w:w="362" w:type="dxa"/>
            <w:tcBorders>
              <w:left w:val="single" w:sz="4" w:space="0" w:color="auto"/>
            </w:tcBorders>
            <w:shd w:val="clear" w:color="auto" w:fill="auto"/>
          </w:tcPr>
          <w:p w:rsidR="006366EA" w:rsidRPr="00336514" w:rsidRDefault="006366EA" w:rsidP="006366EA">
            <w:pPr>
              <w:pStyle w:val="Table"/>
            </w:pPr>
          </w:p>
        </w:tc>
        <w:tc>
          <w:tcPr>
            <w:tcW w:w="362" w:type="dxa"/>
            <w:shd w:val="clear" w:color="auto" w:fill="auto"/>
          </w:tcPr>
          <w:p w:rsidR="006366EA" w:rsidRPr="00336514" w:rsidRDefault="006366EA" w:rsidP="006366EA">
            <w:pPr>
              <w:pStyle w:val="Table"/>
            </w:pPr>
          </w:p>
        </w:tc>
        <w:tc>
          <w:tcPr>
            <w:tcW w:w="383" w:type="dxa"/>
            <w:tcBorders>
              <w:right w:val="single" w:sz="4" w:space="0" w:color="auto"/>
            </w:tcBorders>
            <w:shd w:val="clear" w:color="auto" w:fill="auto"/>
          </w:tcPr>
          <w:p w:rsidR="006366EA" w:rsidRPr="00336514" w:rsidRDefault="006366EA" w:rsidP="006366EA">
            <w:pPr>
              <w:pStyle w:val="Table"/>
            </w:pPr>
          </w:p>
        </w:tc>
      </w:tr>
      <w:tr w:rsidR="006366EA" w:rsidRPr="00336514" w:rsidTr="001344B1">
        <w:tc>
          <w:tcPr>
            <w:tcW w:w="1985" w:type="dxa"/>
            <w:vMerge/>
            <w:tcBorders>
              <w:left w:val="single" w:sz="4" w:space="0" w:color="auto"/>
            </w:tcBorders>
            <w:shd w:val="clear" w:color="auto" w:fill="auto"/>
          </w:tcPr>
          <w:p w:rsidR="006366EA" w:rsidRPr="00623170" w:rsidRDefault="006366EA" w:rsidP="006366EA">
            <w:pPr>
              <w:pStyle w:val="Table"/>
            </w:pPr>
          </w:p>
        </w:tc>
        <w:tc>
          <w:tcPr>
            <w:tcW w:w="709" w:type="dxa"/>
            <w:vMerge/>
            <w:shd w:val="clear" w:color="auto" w:fill="auto"/>
          </w:tcPr>
          <w:p w:rsidR="006366EA" w:rsidRPr="00336514" w:rsidRDefault="006366EA" w:rsidP="006366EA">
            <w:pPr>
              <w:pStyle w:val="Table"/>
            </w:pPr>
          </w:p>
        </w:tc>
        <w:tc>
          <w:tcPr>
            <w:tcW w:w="6662" w:type="dxa"/>
            <w:tcBorders>
              <w:right w:val="single" w:sz="4" w:space="0" w:color="auto"/>
            </w:tcBorders>
            <w:shd w:val="clear" w:color="auto" w:fill="auto"/>
          </w:tcPr>
          <w:p w:rsidR="006366EA" w:rsidRPr="00336514" w:rsidRDefault="006366EA" w:rsidP="006366EA">
            <w:pPr>
              <w:pStyle w:val="Table"/>
            </w:pPr>
            <w:r w:rsidRPr="00336514">
              <w:t xml:space="preserve">Total distance </w:t>
            </w:r>
          </w:p>
        </w:tc>
        <w:tc>
          <w:tcPr>
            <w:tcW w:w="363" w:type="dxa"/>
            <w:tcBorders>
              <w:left w:val="single" w:sz="4" w:space="0" w:color="auto"/>
            </w:tcBorders>
            <w:shd w:val="clear" w:color="auto" w:fill="auto"/>
          </w:tcPr>
          <w:p w:rsidR="006366EA" w:rsidRPr="00336514" w:rsidRDefault="006366EA" w:rsidP="006366EA">
            <w:pPr>
              <w:pStyle w:val="Table"/>
            </w:pPr>
          </w:p>
        </w:tc>
        <w:tc>
          <w:tcPr>
            <w:tcW w:w="362" w:type="dxa"/>
            <w:shd w:val="clear" w:color="auto" w:fill="auto"/>
          </w:tcPr>
          <w:p w:rsidR="006366EA" w:rsidRPr="00336514" w:rsidRDefault="006366EA" w:rsidP="006366EA">
            <w:pPr>
              <w:pStyle w:val="Table"/>
              <w:rPr>
                <w:lang w:val="en-GB"/>
              </w:rPr>
            </w:pPr>
            <w:r w:rsidRPr="00336514">
              <w:rPr>
                <w:lang w:val="en-GB"/>
              </w:rPr>
              <w:sym w:font="Wingdings" w:char="F0FC"/>
            </w:r>
          </w:p>
        </w:tc>
        <w:tc>
          <w:tcPr>
            <w:tcW w:w="362" w:type="dxa"/>
            <w:tcBorders>
              <w:right w:val="single" w:sz="4" w:space="0" w:color="auto"/>
            </w:tcBorders>
            <w:shd w:val="clear" w:color="auto" w:fill="auto"/>
          </w:tcPr>
          <w:p w:rsidR="006366EA" w:rsidRPr="00336514" w:rsidRDefault="006366EA" w:rsidP="006366EA">
            <w:pPr>
              <w:pStyle w:val="Table"/>
            </w:pPr>
          </w:p>
        </w:tc>
        <w:tc>
          <w:tcPr>
            <w:tcW w:w="362" w:type="dxa"/>
            <w:tcBorders>
              <w:left w:val="single" w:sz="4" w:space="0" w:color="auto"/>
            </w:tcBorders>
            <w:shd w:val="clear" w:color="auto" w:fill="auto"/>
          </w:tcPr>
          <w:p w:rsidR="006366EA" w:rsidRPr="00336514" w:rsidRDefault="006366EA" w:rsidP="006366EA">
            <w:pPr>
              <w:pStyle w:val="Table"/>
            </w:pPr>
          </w:p>
        </w:tc>
        <w:tc>
          <w:tcPr>
            <w:tcW w:w="362" w:type="dxa"/>
            <w:shd w:val="clear" w:color="auto" w:fill="auto"/>
          </w:tcPr>
          <w:p w:rsidR="006366EA" w:rsidRPr="00336514" w:rsidRDefault="006366EA" w:rsidP="006366EA">
            <w:pPr>
              <w:pStyle w:val="Table"/>
            </w:pPr>
          </w:p>
        </w:tc>
        <w:tc>
          <w:tcPr>
            <w:tcW w:w="347" w:type="dxa"/>
            <w:tcBorders>
              <w:right w:val="single" w:sz="4" w:space="0" w:color="auto"/>
            </w:tcBorders>
            <w:shd w:val="clear" w:color="auto" w:fill="auto"/>
          </w:tcPr>
          <w:p w:rsidR="006366EA" w:rsidRPr="00336514" w:rsidRDefault="006366EA" w:rsidP="006366EA">
            <w:pPr>
              <w:pStyle w:val="Table"/>
            </w:pPr>
          </w:p>
        </w:tc>
        <w:tc>
          <w:tcPr>
            <w:tcW w:w="377" w:type="dxa"/>
            <w:tcBorders>
              <w:left w:val="single" w:sz="4" w:space="0" w:color="auto"/>
            </w:tcBorders>
            <w:shd w:val="clear" w:color="auto" w:fill="auto"/>
          </w:tcPr>
          <w:p w:rsidR="006366EA" w:rsidRPr="00336514" w:rsidRDefault="006366EA" w:rsidP="006366EA">
            <w:pPr>
              <w:pStyle w:val="Table"/>
            </w:pPr>
          </w:p>
        </w:tc>
        <w:tc>
          <w:tcPr>
            <w:tcW w:w="362" w:type="dxa"/>
            <w:shd w:val="clear" w:color="auto" w:fill="auto"/>
          </w:tcPr>
          <w:p w:rsidR="006366EA" w:rsidRPr="00336514" w:rsidRDefault="006366EA" w:rsidP="006366EA">
            <w:pPr>
              <w:pStyle w:val="Table"/>
              <w:rPr>
                <w:lang w:val="en-GB"/>
              </w:rPr>
            </w:pPr>
          </w:p>
        </w:tc>
        <w:tc>
          <w:tcPr>
            <w:tcW w:w="362" w:type="dxa"/>
            <w:tcBorders>
              <w:right w:val="single" w:sz="4" w:space="0" w:color="auto"/>
            </w:tcBorders>
            <w:shd w:val="clear" w:color="auto" w:fill="auto"/>
          </w:tcPr>
          <w:p w:rsidR="006366EA" w:rsidRPr="00336514" w:rsidRDefault="006366EA" w:rsidP="006366EA">
            <w:pPr>
              <w:pStyle w:val="Table"/>
              <w:rPr>
                <w:lang w:val="en-GB"/>
              </w:rPr>
            </w:pPr>
            <w:r w:rsidRPr="00336514">
              <w:rPr>
                <w:lang w:val="en-GB"/>
              </w:rPr>
              <w:sym w:font="Wingdings" w:char="F0FC"/>
            </w:r>
          </w:p>
        </w:tc>
        <w:tc>
          <w:tcPr>
            <w:tcW w:w="362" w:type="dxa"/>
            <w:tcBorders>
              <w:left w:val="single" w:sz="4" w:space="0" w:color="auto"/>
            </w:tcBorders>
            <w:shd w:val="clear" w:color="auto" w:fill="auto"/>
          </w:tcPr>
          <w:p w:rsidR="006366EA" w:rsidRPr="00336514" w:rsidRDefault="006366EA" w:rsidP="006366EA">
            <w:pPr>
              <w:pStyle w:val="Table"/>
            </w:pPr>
          </w:p>
        </w:tc>
        <w:tc>
          <w:tcPr>
            <w:tcW w:w="362" w:type="dxa"/>
            <w:shd w:val="clear" w:color="auto" w:fill="auto"/>
          </w:tcPr>
          <w:p w:rsidR="006366EA" w:rsidRPr="00336514" w:rsidRDefault="006366EA" w:rsidP="006366EA">
            <w:pPr>
              <w:pStyle w:val="Table"/>
            </w:pPr>
          </w:p>
        </w:tc>
        <w:tc>
          <w:tcPr>
            <w:tcW w:w="383" w:type="dxa"/>
            <w:tcBorders>
              <w:right w:val="single" w:sz="4" w:space="0" w:color="auto"/>
            </w:tcBorders>
            <w:shd w:val="clear" w:color="auto" w:fill="auto"/>
          </w:tcPr>
          <w:p w:rsidR="006366EA" w:rsidRPr="00336514" w:rsidRDefault="006366EA" w:rsidP="006366EA">
            <w:pPr>
              <w:pStyle w:val="Table"/>
            </w:pPr>
          </w:p>
        </w:tc>
      </w:tr>
      <w:bookmarkEnd w:id="3"/>
      <w:tr w:rsidR="006366EA" w:rsidRPr="00336514" w:rsidTr="00496AC8">
        <w:tc>
          <w:tcPr>
            <w:tcW w:w="1985" w:type="dxa"/>
            <w:vMerge w:val="restart"/>
            <w:tcBorders>
              <w:left w:val="single" w:sz="4" w:space="0" w:color="auto"/>
            </w:tcBorders>
            <w:shd w:val="clear" w:color="auto" w:fill="F2F2F2" w:themeFill="background1" w:themeFillShade="F2"/>
          </w:tcPr>
          <w:p w:rsidR="006366EA" w:rsidRPr="00623170" w:rsidRDefault="006366EA" w:rsidP="006366EA">
            <w:pPr>
              <w:pStyle w:val="Table"/>
              <w:rPr>
                <w:lang w:val="en-GB"/>
              </w:rPr>
            </w:pPr>
            <w:r w:rsidRPr="00623170">
              <w:rPr>
                <w:lang w:val="en-GB"/>
              </w:rPr>
              <w:t xml:space="preserve">Tung et al. </w:t>
            </w:r>
            <w:r w:rsidRPr="00623170">
              <w:rPr>
                <w:lang w:val="en-GB"/>
              </w:rPr>
              <w:fldChar w:fldCharType="begin" w:fldLock="1"/>
            </w:r>
            <w:r w:rsidRPr="00623170">
              <w:rPr>
                <w:lang w:val="en-GB"/>
              </w:rPr>
              <w:instrText>ADDIN CSL_CITATION {"citationItems":[{"id":"ITEM-1","itemData":{"DOI":"10.1159/000355669","ISBN":"0304-324X","ISSN":"14230003","PMID":"24356464","abstract":"BACKGROUND: As an indicator of physical and cognitive functioning in community-dwelling older adults, there is increasing interest in measuring life space, defined as the geographical area a person covers in daily life. Typically measured through questionnaires, life space can be challenging to assess in amnestic dementia associated with Alzheimer's disease (AD). While global positioning system (GPS) technology has been suggested as a potential solution, there remains a lack of data validating GPS-based methods to measure life space in cognitively impaired populations. OBJECTIVE: The purpose of the study was to evaluate the construct validity of a GPS system to provide quantitative measurements of global movement for individuals with mild-to-moderate AD. METHODS: Nineteen community-dwelling older adults with mild-to-moderate AD (Mini-Mental State Examination score 14-28, age 70.7 ± 2.2 years) and 33 controls (CTL; age 74.0 ± 1.2 years) wore a GPS-enabled mobile phone during the day for 3 days. Measures of geographical territory (area, perimeter, mean distance from home, and time away from home) were calculated from the GPS log. Following a log-transformation to produce symmetrical distributions, group differences were tested using two-sample t tests. Construct validity of the GPS measures was tested by examining the correlation between the GPS measures and indicators of physical function [steps/day, gait velocity, and Disability Assessment for Dementia (DAD)] and affective state (Apathy Evaluation Scale and Geriatric Depression Scale). Multivariate regression was performed to evaluate the relative strength of significantly correlated factors. RESULTS: GPS-derived area (p &lt; 0.01), perimeter (p &lt; 0.01), and mean distance from home (p &lt; 0.05) were smaller in the AD group compared to CTL. The correlation analysis found significant associations of the GPS measures area and perimeter with all measures of physical function (steps/day, DAD, and gait velocity; p &lt; 0.01), symptoms of apathy (p &lt; 0.01), and depression (p &lt; 0.05). Multivariate regression analysis indicated that gait velocity and dependence were the strongest variables associated with GPS measures. CONCLUSION: This study demonstrated that GPS-derived area and perimeter: (1) distinguished mild-to-moderate AD patients from CTL and (2) were strongly correlated with physical function and affective state. These findings confirm the ability of GPS technology to assess life space behaviour and may be parti…","author":[{"dropping-particle":"","family":"Tung","given":"James Yungjen","non-dropping-particle":"","parse-names":false,"suffix":""},{"dropping-particle":"","family":"Rose","given":"Rhiannon Victoria","non-dropping-particle":"","parse-names":false,"suffix":""},{"dropping-particle":"","family":"Gammada","given":"Emnet","non-dropping-particle":"","parse-names":false,"suffix":""},{"dropping-particle":"","family":"Lam","given":"Isabel","non-dropping-particle":"","parse-names":false,"suffix":""},{"dropping-particle":"","family":"Roy","given":"Eric Alexander","non-dropping-particle":"","parse-names":false,"suffix":""},{"dropping-particle":"","family":"Black","given":"Sandra E.","non-dropping-particle":"","parse-names":false,"suffix":""},{"dropping-particle":"","family":"Poupart","given":"Pascal","non-dropping-particle":"","parse-names":false,"suffix":""}],"container-title":"Gerontology","id":"ITEM-1","issued":{"date-parts":[["2014"]]},"page":"154-162","title":"Measuring life space in older adults with mild-to-moderate Alzheimer's disease using mobile phone GPS","type":"article-journal","volume":"60"},"uris":["http://www.mendeley.com/documents/?uuid=56a2d6de-e047-350a-8a47-2883bd590acc"]}],"mendeley":{"formattedCitation":"(9)","plainTextFormattedCitation":"(9)","previouslyFormattedCitation":"(9)"},"properties":{"noteIndex":0},"schema":"https://github.com/citation-style-language/schema/raw/master/csl-citation.json"}</w:instrText>
            </w:r>
            <w:r w:rsidRPr="00623170">
              <w:rPr>
                <w:lang w:val="en-GB"/>
              </w:rPr>
              <w:fldChar w:fldCharType="separate"/>
            </w:r>
            <w:r w:rsidRPr="00623170">
              <w:rPr>
                <w:noProof/>
                <w:lang w:val="en-GB"/>
              </w:rPr>
              <w:t>(9)</w:t>
            </w:r>
            <w:r w:rsidRPr="00623170">
              <w:rPr>
                <w:lang w:val="en-GB"/>
              </w:rPr>
              <w:fldChar w:fldCharType="end"/>
            </w:r>
          </w:p>
        </w:tc>
        <w:tc>
          <w:tcPr>
            <w:tcW w:w="709" w:type="dxa"/>
            <w:vMerge w:val="restart"/>
            <w:shd w:val="clear" w:color="auto" w:fill="F2F2F2" w:themeFill="background1" w:themeFillShade="F2"/>
          </w:tcPr>
          <w:p w:rsidR="006366EA" w:rsidRPr="00336514" w:rsidRDefault="006366EA" w:rsidP="006366EA">
            <w:pPr>
              <w:pStyle w:val="Table"/>
            </w:pPr>
            <w:r w:rsidRPr="00336514">
              <w:t>4</w:t>
            </w: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 xml:space="preserve">Area of convex hull </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rPr>
                <w:lang w:val="en-GB"/>
              </w:rPr>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rPr>
                <w:lang w:val="en-GB"/>
              </w:rPr>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Perimeter of convex hull</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rPr>
                <w:lang w:val="en-GB"/>
              </w:rPr>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rPr>
                <w:lang w:val="en-GB"/>
              </w:rPr>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TOH</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rPr>
                <w:lang w:val="en-GB"/>
              </w:rPr>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rPr>
                <w:lang w:val="en-GB"/>
              </w:rPr>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Mean distance from home</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rPr>
                <w:lang w:val="en-GB"/>
              </w:rPr>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val="restart"/>
            <w:tcBorders>
              <w:left w:val="single" w:sz="4" w:space="0" w:color="auto"/>
            </w:tcBorders>
          </w:tcPr>
          <w:p w:rsidR="006366EA" w:rsidRPr="00623170" w:rsidRDefault="006366EA" w:rsidP="006366EA">
            <w:pPr>
              <w:pStyle w:val="Table"/>
              <w:rPr>
                <w:lang w:val="en-GB"/>
              </w:rPr>
            </w:pPr>
            <w:r w:rsidRPr="00623170">
              <w:rPr>
                <w:lang w:val="en-GB"/>
              </w:rPr>
              <w:lastRenderedPageBreak/>
              <w:t xml:space="preserve">Cornwell and Cagney </w:t>
            </w:r>
            <w:r w:rsidRPr="00623170">
              <w:rPr>
                <w:lang w:val="en-GB"/>
              </w:rPr>
              <w:fldChar w:fldCharType="begin" w:fldLock="1"/>
            </w:r>
            <w:r w:rsidRPr="00623170">
              <w:rPr>
                <w:lang w:val="en-GB"/>
              </w:rPr>
              <w:instrText>ADDIN CSL_CITATION {"citationItems":[{"id":"ITEM-1","itemData":{"DOI":"10.1093/geronb/gbx063","ISBN":"1758-5368","ISSN":"17585368","PMID":"28586475","abstract":"Objectives: Prior research emphasizes the importance of the residential neighborhood context during later life but little attention has been afforded to other areas that older adults encounter as they move beyond their residential environments for daily activities and social interactions. This study examines the predominance of the residential context within older adults’ everyday lives. Method: We provided 60 older adults in four New York City neighborhoods with iPhones, which captured Global Positioning Systems (GPS) locations at 5-min intervals over 1 week (n = 55,561) and 17 ecological momentary assessments (EMAs) over 4 days (n = 757) to assess real-time activities. Results: Older adults in our sample spent nearly 40% of their time outside of their residential tracts and they visited 28 other tracts, on average. Exercising, shopping, socializing, and social activities were especially likely to take place outside of residential tracts. Differences in residential and nonresidential poverty exposure vary across gender, race/ethnicity, education, car ownership, and residential areas. Discussion: Measuring activity space, rather than relying on residential tracts, allows examination of the social environments that are relevant for older adults’ everyday lives. Variation in characteristics of activity spaces may be an underexplored source of differences in health and well-being during later life.","author":[{"dropping-particle":"","family":"Cornwell","given":"Erin York","non-dropping-particle":"","parse-names":false,"suffix":""},{"dropping-particle":"","family":"Cagney","given":"Kathleen A.","non-dropping-particle":"","parse-names":false,"suffix":""}],"container-title":"Journals of Gerontology: Social Sciences","id":"ITEM-1","issue":"5","issued":{"date-parts":[["2017"]]},"page":"864-875","title":"Aging in activity space: results from smartphone-based GPS-tracking of urban seniors","type":"article-journal","volume":"72"},"uris":["http://www.mendeley.com/documents/?uuid=b1fc9c34-7d32-4a07-b22c-14620809c7fb"]}],"mendeley":{"formattedCitation":"(10)","plainTextFormattedCitation":"(10)","previouslyFormattedCitation":"(10)"},"properties":{"noteIndex":0},"schema":"https://github.com/citation-style-language/schema/raw/master/csl-citation.json"}</w:instrText>
            </w:r>
            <w:r w:rsidRPr="00623170">
              <w:rPr>
                <w:lang w:val="en-GB"/>
              </w:rPr>
              <w:fldChar w:fldCharType="separate"/>
            </w:r>
            <w:r w:rsidRPr="00623170">
              <w:rPr>
                <w:noProof/>
                <w:lang w:val="en-GB"/>
              </w:rPr>
              <w:t>(10)</w:t>
            </w:r>
            <w:r w:rsidRPr="00623170">
              <w:rPr>
                <w:lang w:val="en-GB"/>
              </w:rPr>
              <w:fldChar w:fldCharType="end"/>
            </w:r>
          </w:p>
        </w:tc>
        <w:tc>
          <w:tcPr>
            <w:tcW w:w="709" w:type="dxa"/>
            <w:vMerge w:val="restart"/>
          </w:tcPr>
          <w:p w:rsidR="006366EA" w:rsidRPr="00336514" w:rsidRDefault="006366EA" w:rsidP="006366EA">
            <w:pPr>
              <w:pStyle w:val="Table"/>
              <w:rPr>
                <w:lang w:val="fr-FR"/>
              </w:rPr>
            </w:pPr>
            <w:r w:rsidRPr="00336514">
              <w:rPr>
                <w:lang w:val="fr-FR"/>
              </w:rPr>
              <w:t>5</w:t>
            </w:r>
          </w:p>
        </w:tc>
        <w:tc>
          <w:tcPr>
            <w:tcW w:w="6662" w:type="dxa"/>
            <w:tcBorders>
              <w:right w:val="single" w:sz="4" w:space="0" w:color="auto"/>
            </w:tcBorders>
          </w:tcPr>
          <w:p w:rsidR="006366EA" w:rsidRPr="00336514" w:rsidRDefault="006366EA" w:rsidP="006366EA">
            <w:pPr>
              <w:pStyle w:val="Table"/>
            </w:pPr>
            <w:r w:rsidRPr="00336514">
              <w:t>Mean distance from home</w:t>
            </w:r>
          </w:p>
        </w:tc>
        <w:tc>
          <w:tcPr>
            <w:tcW w:w="363" w:type="dxa"/>
            <w:tcBorders>
              <w:left w:val="single" w:sz="4" w:space="0" w:color="auto"/>
            </w:tcBorders>
          </w:tcPr>
          <w:p w:rsidR="006366EA" w:rsidRPr="00336514" w:rsidRDefault="006366EA" w:rsidP="006366EA">
            <w:pPr>
              <w:pStyle w:val="Table"/>
              <w:rPr>
                <w:lang w:val="en-GB"/>
              </w:rPr>
            </w:pPr>
          </w:p>
        </w:tc>
        <w:tc>
          <w:tcPr>
            <w:tcW w:w="362" w:type="dxa"/>
          </w:tcPr>
          <w:p w:rsidR="006366EA" w:rsidRPr="00336514" w:rsidRDefault="006366EA" w:rsidP="006366EA">
            <w:pPr>
              <w:pStyle w:val="Table"/>
              <w:rPr>
                <w:lang w:val="en-GB"/>
              </w:rPr>
            </w:pPr>
            <w:r w:rsidRPr="00336514">
              <w:rPr>
                <w:lang w:val="en-GB"/>
              </w:rPr>
              <w:sym w:font="Wingdings" w:char="F0FC"/>
            </w:r>
          </w:p>
        </w:tc>
        <w:tc>
          <w:tcPr>
            <w:tcW w:w="362" w:type="dxa"/>
            <w:tcBorders>
              <w:right w:val="single" w:sz="4" w:space="0" w:color="auto"/>
            </w:tcBorders>
          </w:tcPr>
          <w:p w:rsidR="006366EA" w:rsidRPr="00336514" w:rsidRDefault="006366EA" w:rsidP="006366EA">
            <w:pPr>
              <w:pStyle w:val="Table"/>
              <w:rPr>
                <w:lang w:val="fr-FR"/>
              </w:rPr>
            </w:pPr>
          </w:p>
        </w:tc>
        <w:tc>
          <w:tcPr>
            <w:tcW w:w="362" w:type="dxa"/>
            <w:tcBorders>
              <w:left w:val="single" w:sz="4" w:space="0" w:color="auto"/>
            </w:tcBorders>
          </w:tcPr>
          <w:p w:rsidR="006366EA" w:rsidRPr="00336514" w:rsidRDefault="006366EA" w:rsidP="006366EA">
            <w:pPr>
              <w:pStyle w:val="Table"/>
              <w:rPr>
                <w:lang w:val="fr-FR"/>
              </w:rPr>
            </w:pPr>
          </w:p>
        </w:tc>
        <w:tc>
          <w:tcPr>
            <w:tcW w:w="362" w:type="dxa"/>
          </w:tcPr>
          <w:p w:rsidR="006366EA" w:rsidRPr="00336514" w:rsidRDefault="006366EA" w:rsidP="006366EA">
            <w:pPr>
              <w:pStyle w:val="Table"/>
              <w:rPr>
                <w:lang w:val="fr-FR"/>
              </w:rPr>
            </w:pPr>
          </w:p>
        </w:tc>
        <w:tc>
          <w:tcPr>
            <w:tcW w:w="347" w:type="dxa"/>
            <w:tcBorders>
              <w:right w:val="single" w:sz="4" w:space="0" w:color="auto"/>
            </w:tcBorders>
          </w:tcPr>
          <w:p w:rsidR="006366EA" w:rsidRPr="00336514" w:rsidRDefault="006366EA" w:rsidP="006366EA">
            <w:pPr>
              <w:pStyle w:val="Table"/>
              <w:rPr>
                <w:lang w:val="fr-FR"/>
              </w:rPr>
            </w:pPr>
          </w:p>
        </w:tc>
        <w:tc>
          <w:tcPr>
            <w:tcW w:w="377" w:type="dxa"/>
            <w:tcBorders>
              <w:left w:val="single" w:sz="4" w:space="0" w:color="auto"/>
            </w:tcBorders>
          </w:tcPr>
          <w:p w:rsidR="006366EA" w:rsidRPr="00336514" w:rsidRDefault="006366EA" w:rsidP="006366EA">
            <w:pPr>
              <w:pStyle w:val="Table"/>
              <w:rPr>
                <w:lang w:val="fr-FR"/>
              </w:rPr>
            </w:pPr>
          </w:p>
        </w:tc>
        <w:tc>
          <w:tcPr>
            <w:tcW w:w="362" w:type="dxa"/>
          </w:tcPr>
          <w:p w:rsidR="006366EA" w:rsidRPr="00336514" w:rsidRDefault="006366EA" w:rsidP="006366EA">
            <w:pPr>
              <w:pStyle w:val="Table"/>
              <w:rPr>
                <w:lang w:val="en-GB"/>
              </w:rPr>
            </w:pPr>
          </w:p>
        </w:tc>
        <w:tc>
          <w:tcPr>
            <w:tcW w:w="362" w:type="dxa"/>
            <w:tcBorders>
              <w:right w:val="single" w:sz="4" w:space="0" w:color="auto"/>
            </w:tcBorders>
          </w:tcPr>
          <w:p w:rsidR="006366EA" w:rsidRPr="00336514" w:rsidRDefault="006366EA" w:rsidP="006366EA">
            <w:pPr>
              <w:pStyle w:val="Table"/>
              <w:rPr>
                <w:lang w:val="en-GB"/>
              </w:rPr>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rPr>
                <w:lang w:val="en-GB"/>
              </w:rPr>
            </w:pPr>
            <w:r w:rsidRPr="00336514">
              <w:rPr>
                <w:lang w:val="en-GB"/>
              </w:rPr>
              <w:sym w:font="Wingdings" w:char="F0FC"/>
            </w:r>
          </w:p>
        </w:tc>
        <w:tc>
          <w:tcPr>
            <w:tcW w:w="362" w:type="dxa"/>
          </w:tcPr>
          <w:p w:rsidR="006366EA" w:rsidRPr="00336514" w:rsidRDefault="006366EA" w:rsidP="006366EA">
            <w:pPr>
              <w:pStyle w:val="Table"/>
              <w:rPr>
                <w:lang w:val="fr-FR"/>
              </w:rPr>
            </w:pPr>
          </w:p>
        </w:tc>
        <w:tc>
          <w:tcPr>
            <w:tcW w:w="383" w:type="dxa"/>
            <w:tcBorders>
              <w:right w:val="single" w:sz="4" w:space="0" w:color="auto"/>
            </w:tcBorders>
          </w:tcPr>
          <w:p w:rsidR="006366EA" w:rsidRPr="00336514" w:rsidRDefault="006366EA" w:rsidP="006366EA">
            <w:pPr>
              <w:pStyle w:val="Table"/>
              <w:rPr>
                <w:lang w:val="fr-FR"/>
              </w:rPr>
            </w:pPr>
          </w:p>
        </w:tc>
      </w:tr>
      <w:tr w:rsidR="006366EA" w:rsidRPr="00336514" w:rsidTr="00496AC8">
        <w:tc>
          <w:tcPr>
            <w:tcW w:w="1985" w:type="dxa"/>
            <w:vMerge/>
            <w:tcBorders>
              <w:left w:val="single" w:sz="4" w:space="0" w:color="auto"/>
            </w:tcBorders>
          </w:tcPr>
          <w:p w:rsidR="006366EA" w:rsidRPr="00623170" w:rsidRDefault="006366EA" w:rsidP="006366EA">
            <w:pPr>
              <w:pStyle w:val="Table"/>
              <w:rPr>
                <w:lang w:val="en-GB"/>
              </w:rPr>
            </w:pPr>
          </w:p>
        </w:tc>
        <w:tc>
          <w:tcPr>
            <w:tcW w:w="709" w:type="dxa"/>
            <w:vMerge/>
          </w:tcPr>
          <w:p w:rsidR="006366EA" w:rsidRPr="00336514" w:rsidRDefault="006366EA" w:rsidP="006366EA">
            <w:pPr>
              <w:pStyle w:val="Table"/>
              <w:rPr>
                <w:lang w:val="fr-FR"/>
              </w:rPr>
            </w:pPr>
          </w:p>
        </w:tc>
        <w:tc>
          <w:tcPr>
            <w:tcW w:w="6662" w:type="dxa"/>
            <w:tcBorders>
              <w:right w:val="single" w:sz="4" w:space="0" w:color="auto"/>
            </w:tcBorders>
          </w:tcPr>
          <w:p w:rsidR="006366EA" w:rsidRPr="00336514" w:rsidRDefault="006366EA" w:rsidP="006366EA">
            <w:pPr>
              <w:pStyle w:val="Table"/>
            </w:pPr>
            <w:r w:rsidRPr="00336514">
              <w:t>Area of SD ellipse</w:t>
            </w:r>
          </w:p>
        </w:tc>
        <w:tc>
          <w:tcPr>
            <w:tcW w:w="363" w:type="dxa"/>
            <w:tcBorders>
              <w:left w:val="single" w:sz="4" w:space="0" w:color="auto"/>
            </w:tcBorders>
          </w:tcPr>
          <w:p w:rsidR="006366EA" w:rsidRPr="00336514" w:rsidRDefault="006366EA" w:rsidP="006366EA">
            <w:pPr>
              <w:pStyle w:val="Table"/>
              <w:rPr>
                <w:lang w:val="en-GB"/>
              </w:rPr>
            </w:pPr>
          </w:p>
        </w:tc>
        <w:tc>
          <w:tcPr>
            <w:tcW w:w="362" w:type="dxa"/>
          </w:tcPr>
          <w:p w:rsidR="006366EA" w:rsidRPr="00336514" w:rsidRDefault="006366EA" w:rsidP="006366EA">
            <w:pPr>
              <w:pStyle w:val="Table"/>
              <w:rPr>
                <w:lang w:val="en-GB"/>
              </w:rPr>
            </w:pPr>
            <w:r w:rsidRPr="00336514">
              <w:rPr>
                <w:lang w:val="en-GB"/>
              </w:rPr>
              <w:sym w:font="Wingdings" w:char="F0FC"/>
            </w:r>
          </w:p>
        </w:tc>
        <w:tc>
          <w:tcPr>
            <w:tcW w:w="362" w:type="dxa"/>
            <w:tcBorders>
              <w:right w:val="single" w:sz="4" w:space="0" w:color="auto"/>
            </w:tcBorders>
          </w:tcPr>
          <w:p w:rsidR="006366EA" w:rsidRPr="00336514" w:rsidRDefault="006366EA" w:rsidP="006366EA">
            <w:pPr>
              <w:pStyle w:val="Table"/>
              <w:rPr>
                <w:lang w:val="fr-FR"/>
              </w:rPr>
            </w:pPr>
          </w:p>
        </w:tc>
        <w:tc>
          <w:tcPr>
            <w:tcW w:w="362" w:type="dxa"/>
            <w:tcBorders>
              <w:left w:val="single" w:sz="4" w:space="0" w:color="auto"/>
            </w:tcBorders>
          </w:tcPr>
          <w:p w:rsidR="006366EA" w:rsidRPr="00336514" w:rsidRDefault="006366EA" w:rsidP="006366EA">
            <w:pPr>
              <w:pStyle w:val="Table"/>
              <w:rPr>
                <w:lang w:val="fr-FR"/>
              </w:rPr>
            </w:pPr>
          </w:p>
        </w:tc>
        <w:tc>
          <w:tcPr>
            <w:tcW w:w="362" w:type="dxa"/>
          </w:tcPr>
          <w:p w:rsidR="006366EA" w:rsidRPr="00336514" w:rsidRDefault="006366EA" w:rsidP="006366EA">
            <w:pPr>
              <w:pStyle w:val="Table"/>
              <w:rPr>
                <w:lang w:val="fr-FR"/>
              </w:rPr>
            </w:pPr>
          </w:p>
        </w:tc>
        <w:tc>
          <w:tcPr>
            <w:tcW w:w="347" w:type="dxa"/>
            <w:tcBorders>
              <w:right w:val="single" w:sz="4" w:space="0" w:color="auto"/>
            </w:tcBorders>
          </w:tcPr>
          <w:p w:rsidR="006366EA" w:rsidRPr="00336514" w:rsidRDefault="006366EA" w:rsidP="006366EA">
            <w:pPr>
              <w:pStyle w:val="Table"/>
              <w:rPr>
                <w:lang w:val="fr-FR"/>
              </w:rPr>
            </w:pPr>
          </w:p>
        </w:tc>
        <w:tc>
          <w:tcPr>
            <w:tcW w:w="377" w:type="dxa"/>
            <w:tcBorders>
              <w:left w:val="single" w:sz="4" w:space="0" w:color="auto"/>
            </w:tcBorders>
          </w:tcPr>
          <w:p w:rsidR="006366EA" w:rsidRPr="00336514" w:rsidRDefault="006366EA" w:rsidP="006366EA">
            <w:pPr>
              <w:pStyle w:val="Table"/>
              <w:rPr>
                <w:lang w:val="fr-FR"/>
              </w:rPr>
            </w:pPr>
          </w:p>
        </w:tc>
        <w:tc>
          <w:tcPr>
            <w:tcW w:w="362" w:type="dxa"/>
          </w:tcPr>
          <w:p w:rsidR="006366EA" w:rsidRPr="00336514" w:rsidRDefault="006366EA" w:rsidP="006366EA">
            <w:pPr>
              <w:pStyle w:val="Table"/>
              <w:rPr>
                <w:lang w:val="en-GB"/>
              </w:rPr>
            </w:pPr>
          </w:p>
        </w:tc>
        <w:tc>
          <w:tcPr>
            <w:tcW w:w="362" w:type="dxa"/>
            <w:tcBorders>
              <w:right w:val="single" w:sz="4" w:space="0" w:color="auto"/>
            </w:tcBorders>
          </w:tcPr>
          <w:p w:rsidR="006366EA" w:rsidRPr="00336514" w:rsidRDefault="006366EA" w:rsidP="006366EA">
            <w:pPr>
              <w:pStyle w:val="Table"/>
              <w:rPr>
                <w:lang w:val="en-GB"/>
              </w:rPr>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rPr>
                <w:lang w:val="en-GB"/>
              </w:rPr>
            </w:pPr>
          </w:p>
        </w:tc>
        <w:tc>
          <w:tcPr>
            <w:tcW w:w="362" w:type="dxa"/>
          </w:tcPr>
          <w:p w:rsidR="006366EA" w:rsidRPr="00336514" w:rsidRDefault="006366EA" w:rsidP="006366EA">
            <w:pPr>
              <w:pStyle w:val="Table"/>
              <w:rPr>
                <w:lang w:val="fr-FR"/>
              </w:rPr>
            </w:pPr>
          </w:p>
        </w:tc>
        <w:tc>
          <w:tcPr>
            <w:tcW w:w="383" w:type="dxa"/>
            <w:tcBorders>
              <w:right w:val="single" w:sz="4" w:space="0" w:color="auto"/>
            </w:tcBorders>
          </w:tcPr>
          <w:p w:rsidR="006366EA" w:rsidRPr="00336514" w:rsidRDefault="006366EA" w:rsidP="006366EA">
            <w:pPr>
              <w:pStyle w:val="Table"/>
              <w:rPr>
                <w:lang w:val="fr-FR"/>
              </w:rPr>
            </w:pPr>
          </w:p>
        </w:tc>
      </w:tr>
      <w:tr w:rsidR="006366EA" w:rsidRPr="00336514" w:rsidTr="00496AC8">
        <w:tc>
          <w:tcPr>
            <w:tcW w:w="1985" w:type="dxa"/>
            <w:vMerge/>
            <w:tcBorders>
              <w:left w:val="single" w:sz="4" w:space="0" w:color="auto"/>
            </w:tcBorders>
          </w:tcPr>
          <w:p w:rsidR="006366EA" w:rsidRPr="00623170" w:rsidRDefault="006366EA" w:rsidP="006366EA">
            <w:pPr>
              <w:pStyle w:val="Table"/>
              <w:rPr>
                <w:lang w:val="en-GB"/>
              </w:rPr>
            </w:pPr>
          </w:p>
        </w:tc>
        <w:tc>
          <w:tcPr>
            <w:tcW w:w="709" w:type="dxa"/>
            <w:vMerge/>
          </w:tcPr>
          <w:p w:rsidR="006366EA" w:rsidRPr="00336514" w:rsidRDefault="006366EA" w:rsidP="006366EA">
            <w:pPr>
              <w:pStyle w:val="Table"/>
              <w:rPr>
                <w:lang w:val="fr-FR"/>
              </w:rPr>
            </w:pPr>
          </w:p>
        </w:tc>
        <w:tc>
          <w:tcPr>
            <w:tcW w:w="6662" w:type="dxa"/>
            <w:tcBorders>
              <w:right w:val="single" w:sz="4" w:space="0" w:color="auto"/>
            </w:tcBorders>
          </w:tcPr>
          <w:p w:rsidR="006366EA" w:rsidRPr="00336514" w:rsidRDefault="006366EA" w:rsidP="006366EA">
            <w:pPr>
              <w:pStyle w:val="Table"/>
            </w:pPr>
            <w:r w:rsidRPr="00336514">
              <w:t>Number GPS points outside residential tracts</w:t>
            </w:r>
          </w:p>
        </w:tc>
        <w:tc>
          <w:tcPr>
            <w:tcW w:w="363" w:type="dxa"/>
            <w:tcBorders>
              <w:left w:val="single" w:sz="4" w:space="0" w:color="auto"/>
            </w:tcBorders>
          </w:tcPr>
          <w:p w:rsidR="006366EA" w:rsidRPr="00336514" w:rsidRDefault="006366EA" w:rsidP="006366EA">
            <w:pPr>
              <w:pStyle w:val="Table"/>
              <w:rPr>
                <w:lang w:val="en-GB"/>
              </w:rPr>
            </w:pPr>
            <w:r w:rsidRPr="00336514">
              <w:rPr>
                <w:lang w:val="en-GB"/>
              </w:rPr>
              <w:sym w:font="Wingdings" w:char="F0FC"/>
            </w:r>
          </w:p>
        </w:tc>
        <w:tc>
          <w:tcPr>
            <w:tcW w:w="362" w:type="dxa"/>
          </w:tcPr>
          <w:p w:rsidR="006366EA" w:rsidRPr="00336514" w:rsidRDefault="006366EA" w:rsidP="006366EA">
            <w:pPr>
              <w:pStyle w:val="Table"/>
              <w:rPr>
                <w:lang w:val="en-GB"/>
              </w:rPr>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rPr>
                <w:lang w:val="en-GB"/>
              </w:rPr>
            </w:pPr>
          </w:p>
        </w:tc>
        <w:tc>
          <w:tcPr>
            <w:tcW w:w="362" w:type="dxa"/>
            <w:tcBorders>
              <w:right w:val="single" w:sz="4" w:space="0" w:color="auto"/>
            </w:tcBorders>
          </w:tcPr>
          <w:p w:rsidR="006366EA" w:rsidRPr="00336514" w:rsidRDefault="006366EA" w:rsidP="006366EA">
            <w:pPr>
              <w:pStyle w:val="Table"/>
              <w:rPr>
                <w:lang w:val="en-GB"/>
              </w:rPr>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rPr>
                <w:lang w:val="en-GB"/>
              </w:rPr>
            </w:pPr>
            <w:r w:rsidRPr="00336514">
              <w:rPr>
                <w:lang w:val="en-GB"/>
              </w:rPr>
              <w:sym w:font="Wingdings" w:char="F0FC"/>
            </w: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r w:rsidRPr="00336514">
              <w:rPr>
                <w:lang w:val="en-GB"/>
              </w:rPr>
              <w:sym w:font="Wingdings" w:char="F0FC"/>
            </w:r>
          </w:p>
        </w:tc>
      </w:tr>
      <w:tr w:rsidR="006366EA" w:rsidRPr="00336514" w:rsidTr="00496AC8">
        <w:tc>
          <w:tcPr>
            <w:tcW w:w="1985" w:type="dxa"/>
            <w:vMerge/>
            <w:tcBorders>
              <w:left w:val="single" w:sz="4" w:space="0" w:color="auto"/>
            </w:tcBorders>
          </w:tcPr>
          <w:p w:rsidR="006366EA" w:rsidRPr="00623170" w:rsidRDefault="006366EA" w:rsidP="006366EA">
            <w:pPr>
              <w:pStyle w:val="Table"/>
              <w:rPr>
                <w:lang w:val="en-GB"/>
              </w:rPr>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Number of tracts visited</w:t>
            </w:r>
          </w:p>
        </w:tc>
        <w:tc>
          <w:tcPr>
            <w:tcW w:w="363" w:type="dxa"/>
            <w:tcBorders>
              <w:left w:val="single" w:sz="4" w:space="0" w:color="auto"/>
            </w:tcBorders>
          </w:tcPr>
          <w:p w:rsidR="006366EA" w:rsidRPr="00336514" w:rsidRDefault="006366EA" w:rsidP="006366EA">
            <w:pPr>
              <w:pStyle w:val="Table"/>
              <w:rPr>
                <w:lang w:val="en-GB"/>
              </w:rPr>
            </w:pPr>
            <w:r w:rsidRPr="00336514">
              <w:rPr>
                <w:lang w:val="en-GB"/>
              </w:rPr>
              <w:sym w:font="Wingdings" w:char="F0FC"/>
            </w:r>
          </w:p>
        </w:tc>
        <w:tc>
          <w:tcPr>
            <w:tcW w:w="362" w:type="dxa"/>
          </w:tcPr>
          <w:p w:rsidR="006366EA" w:rsidRPr="00336514" w:rsidRDefault="006366EA" w:rsidP="006366EA">
            <w:pPr>
              <w:pStyle w:val="Table"/>
              <w:rPr>
                <w:lang w:val="en-GB"/>
              </w:rPr>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rPr>
                <w:lang w:val="en-GB"/>
              </w:rPr>
            </w:pPr>
          </w:p>
        </w:tc>
        <w:tc>
          <w:tcPr>
            <w:tcW w:w="362" w:type="dxa"/>
            <w:tcBorders>
              <w:right w:val="single" w:sz="4" w:space="0" w:color="auto"/>
            </w:tcBorders>
          </w:tcPr>
          <w:p w:rsidR="006366EA" w:rsidRPr="00336514" w:rsidRDefault="006366EA" w:rsidP="006366EA">
            <w:pPr>
              <w:pStyle w:val="Table"/>
              <w:rPr>
                <w:lang w:val="en-GB"/>
              </w:rPr>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rPr>
                <w:lang w:val="en-GB"/>
              </w:rPr>
            </w:pP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r w:rsidRPr="00336514">
              <w:rPr>
                <w:lang w:val="en-GB"/>
              </w:rPr>
              <w:sym w:font="Wingdings" w:char="F0FC"/>
            </w:r>
          </w:p>
        </w:tc>
      </w:tr>
      <w:tr w:rsidR="006366EA" w:rsidRPr="00336514" w:rsidTr="00496AC8">
        <w:tc>
          <w:tcPr>
            <w:tcW w:w="1985" w:type="dxa"/>
            <w:vMerge/>
            <w:tcBorders>
              <w:left w:val="single" w:sz="4" w:space="0" w:color="auto"/>
            </w:tcBorders>
          </w:tcPr>
          <w:p w:rsidR="006366EA" w:rsidRPr="00623170" w:rsidRDefault="006366EA" w:rsidP="006366EA">
            <w:pPr>
              <w:pStyle w:val="Table"/>
              <w:rPr>
                <w:lang w:val="en-GB"/>
              </w:rPr>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Number of tracts for at least 10 min</w:t>
            </w:r>
          </w:p>
        </w:tc>
        <w:tc>
          <w:tcPr>
            <w:tcW w:w="363" w:type="dxa"/>
            <w:tcBorders>
              <w:left w:val="single" w:sz="4" w:space="0" w:color="auto"/>
            </w:tcBorders>
          </w:tcPr>
          <w:p w:rsidR="006366EA" w:rsidRPr="00336514" w:rsidRDefault="006366EA" w:rsidP="006366EA">
            <w:pPr>
              <w:pStyle w:val="Table"/>
              <w:rPr>
                <w:lang w:val="en-GB"/>
              </w:rPr>
            </w:pPr>
            <w:r w:rsidRPr="00336514">
              <w:rPr>
                <w:lang w:val="en-GB"/>
              </w:rPr>
              <w:sym w:font="Wingdings" w:char="F0FC"/>
            </w:r>
          </w:p>
        </w:tc>
        <w:tc>
          <w:tcPr>
            <w:tcW w:w="362" w:type="dxa"/>
          </w:tcPr>
          <w:p w:rsidR="006366EA" w:rsidRPr="00336514" w:rsidRDefault="006366EA" w:rsidP="006366EA">
            <w:pPr>
              <w:pStyle w:val="Table"/>
              <w:rPr>
                <w:lang w:val="en-GB"/>
              </w:rPr>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rPr>
                <w:lang w:val="en-GB"/>
              </w:rPr>
            </w:pPr>
          </w:p>
        </w:tc>
        <w:tc>
          <w:tcPr>
            <w:tcW w:w="362" w:type="dxa"/>
            <w:tcBorders>
              <w:right w:val="single" w:sz="4" w:space="0" w:color="auto"/>
            </w:tcBorders>
          </w:tcPr>
          <w:p w:rsidR="006366EA" w:rsidRPr="00336514" w:rsidRDefault="006366EA" w:rsidP="006366EA">
            <w:pPr>
              <w:pStyle w:val="Table"/>
              <w:rPr>
                <w:lang w:val="en-GB"/>
              </w:rPr>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rPr>
                <w:lang w:val="en-GB"/>
              </w:rPr>
            </w:pP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r w:rsidRPr="00336514">
              <w:rPr>
                <w:lang w:val="en-GB"/>
              </w:rPr>
              <w:sym w:font="Wingdings" w:char="F0FC"/>
            </w:r>
          </w:p>
        </w:tc>
      </w:tr>
      <w:tr w:rsidR="006366EA" w:rsidRPr="00336514" w:rsidTr="00496AC8">
        <w:tc>
          <w:tcPr>
            <w:tcW w:w="1985" w:type="dxa"/>
            <w:vMerge w:val="restart"/>
            <w:tcBorders>
              <w:left w:val="single" w:sz="4" w:space="0" w:color="auto"/>
            </w:tcBorders>
            <w:shd w:val="clear" w:color="auto" w:fill="F2F2F2" w:themeFill="background1" w:themeFillShade="F2"/>
          </w:tcPr>
          <w:p w:rsidR="006366EA" w:rsidRPr="00623170" w:rsidRDefault="006366EA" w:rsidP="006366EA">
            <w:pPr>
              <w:pStyle w:val="Table"/>
            </w:pPr>
            <w:r w:rsidRPr="00623170">
              <w:t xml:space="preserve">Takemoto et al. </w:t>
            </w:r>
            <w:r w:rsidRPr="00623170">
              <w:fldChar w:fldCharType="begin" w:fldLock="1"/>
            </w:r>
            <w:r w:rsidRPr="00623170">
              <w:instrText>ADDIN CSL_CITATION {"citationItems":[{"id":"ITEM-1","itemData":{"DOI":"10.3390/ijerph121113923","ISBN":"1392313937","ISSN":"16604601","PMID":"26528999","abstract":"This study used objective Global Positioning Systems (GPS) to investigate the relationship between pedestrian and vehicle trips to physical, cognitive, and psychological functioning in older adults living in retirement communities. Older adults (N = 279; mean age = 83 ± 6 years) wore a GPS and accelerometer for 6 days. Participants completed standard health measures. The Personal Activity and Location Measurement System (PALMS) was used to calculate the average daily number of trips, distance, and minutes traveled for pedestrian and vehicle trips from the combined GPS and accelerometer data. Linear mixed effects regression models explored relationships between these transportation variables and physical, psychological and cognitive functioning. Number, distance, and minutes of pedestrian trips were positively associated with physical and psychological functioning but not cognitive functioning. Number of vehicle trips was negatively associated with fear of falls; there were no other associations between the vehicle trip variables and functioning. Vehicle travel did not appear to be related to functioning in older adults in retirement communities except that fear of falling was related to number of vehicle trips. Pedestrian trips had moderate associations with multiple physical and psychological functioning measures, supporting a link between walking and many aspects of health in older adults.","author":[{"dropping-particle":"","family":"Takemoto","given":"Michelle","non-dropping-particle":"","parse-names":false,"suffix":""},{"dropping-particle":"","family":"Carlson","given":"Jordan A.","non-dropping-particle":"","parse-names":false,"suffix":""},{"dropping-particle":"","family":"Moran","given":"Kevin","non-dropping-particle":"","parse-names":false,"suffix":""},{"dropping-particle":"","family":"Godbole","given":"Suneeta","non-dropping-particle":"","parse-names":false,"suffix":""},{"dropping-particle":"","family":"Crist","given":"Katie","non-dropping-particle":"","parse-names":false,"suffix":""},{"dropping-particle":"","family":"Kerr","given":"Jacqueline","non-dropping-particle":"","parse-names":false,"suffix":""}],"container-title":"International Journal of Environmental Research and Public Health","id":"ITEM-1","issue":"11","issued":{"date-parts":[["2015"]]},"page":"13923-13937","title":"Relationship between objectively measured transportation behaviors and health characteristics in older adults","type":"article-journal","volume":"12"},"uris":["http://www.mendeley.com/documents/?uuid=5c63d074-db93-4115-8410-382aa52e8cbe"]}],"mendeley":{"formattedCitation":"(11)","plainTextFormattedCitation":"(11)","previouslyFormattedCitation":"(11)"},"properties":{"noteIndex":0},"schema":"https://github.com/citation-style-language/schema/raw/master/csl-citation.json"}</w:instrText>
            </w:r>
            <w:r w:rsidRPr="00623170">
              <w:fldChar w:fldCharType="separate"/>
            </w:r>
            <w:r w:rsidRPr="00623170">
              <w:rPr>
                <w:noProof/>
              </w:rPr>
              <w:t>(11)</w:t>
            </w:r>
            <w:r w:rsidRPr="00623170">
              <w:fldChar w:fldCharType="end"/>
            </w:r>
          </w:p>
        </w:tc>
        <w:tc>
          <w:tcPr>
            <w:tcW w:w="709" w:type="dxa"/>
            <w:vMerge w:val="restart"/>
            <w:shd w:val="clear" w:color="auto" w:fill="F2F2F2" w:themeFill="background1" w:themeFillShade="F2"/>
          </w:tcPr>
          <w:p w:rsidR="006366EA" w:rsidRPr="00336514" w:rsidRDefault="006366EA" w:rsidP="006366EA">
            <w:pPr>
              <w:pStyle w:val="Table"/>
            </w:pPr>
            <w:r w:rsidRPr="00336514">
              <w:t>6</w:t>
            </w: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Number of trips on foot / in vehicle</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 xml:space="preserve">Distance on foot / in vehicle </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rPr>
          <w:trHeight w:val="399"/>
        </w:trPr>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 xml:space="preserve">Time on foot / in vehicle </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val="restart"/>
            <w:tcBorders>
              <w:left w:val="single" w:sz="4" w:space="0" w:color="auto"/>
            </w:tcBorders>
          </w:tcPr>
          <w:p w:rsidR="006366EA" w:rsidRPr="00623170" w:rsidRDefault="006366EA" w:rsidP="006366EA">
            <w:pPr>
              <w:pStyle w:val="Table"/>
              <w:rPr>
                <w:rFonts w:cstheme="majorHAnsi"/>
                <w:u w:val="single"/>
              </w:rPr>
            </w:pPr>
            <w:r w:rsidRPr="00623170">
              <w:rPr>
                <w:rFonts w:cstheme="majorHAnsi"/>
              </w:rPr>
              <w:t xml:space="preserve">Wettstein et al. </w:t>
            </w:r>
            <w:r w:rsidRPr="00623170">
              <w:rPr>
                <w:rFonts w:cstheme="majorHAnsi"/>
                <w:lang w:val="en-GB"/>
              </w:rPr>
              <w:fldChar w:fldCharType="begin" w:fldLock="1"/>
            </w:r>
            <w:r>
              <w:rPr>
                <w:rFonts w:cstheme="majorHAnsi"/>
                <w:lang w:val="en-GB"/>
              </w:rPr>
              <w:instrText>ADDIN CSL_CITATION {"citationItems":[{"id":"ITEM-1","itemData":{"DOI":"10.1007/s10433-013-0292-6","ISBN":"1613-9372","ISSN":"16139380","PMID":"28804322","abstract":"Previous studies on predictors of out-of-home behavior (OOHB) have often neglected the multidimensional nature of this construct. The present study distinguished between two levels of analyzing OOHB: out-of-home mobility seen as single behavioral units (e.g., number of places visited, action range, and walking) versus OOHBs seen as engagement in integrated, larger activity units (e.g., cognitively and physically demanding activities). We examined whether a differential relationship between these levels of OOHBs with established predictors of OOHBs, i.e., socio-demographic variables, cognitive abilities, physical functioning, and depression, exists. A sample of 100 cognitively healthy, community-dwelling adults with a mean age of 70.8 years underwent a multi-method OOHB assessment using GPS- (out-of- home mobility) and questionnaire-based (out-of-home activity engagement) measures. Predictors were assessed based on internationally implemented procedures. Regression analyses showed that walking-based mobility and engagement in physical activities could be predicted by physical functioning, whereas most effects of socio-demographic variables, such as age and gender, and of depression on OOHBs were negligible. At the bivariate level, episodic memory was related to action range, global mobility, and to cognitively demanding activity engagement, but not to walking, whereas executive function was related with physically demanding activity engagement only. However, some of these connections became weaker in the full predictor model. Findings support the notion that it is necessary to assess OOHB as a multiple-indicator construct. Keywords Out-of-home behavior Mobility Activity Cognitive ability","author":[{"dropping-particle":"","family":"Wettstein","given":"Markus","non-dropping-particle":"","parse-names":false,"suffix":""},{"dropping-particle":"","family":"Wahl","given":"Hans Werner","non-dropping-particle":"","parse-names":false,"suffix":""},{"dropping-particle":"","family":"Diehl","given":"Manfred K.","non-dropping-particle":"","parse-names":false,"suffix":""}],"container-title":"European Journal of Ageing","id":"ITEM-1","issue":"2","issued":{"date-parts":[["2014"]]},"page":"141-153","title":"A multidimensional view of out-of-home behaviors in cognitively unimpaired older adults: examining differential effects of socio-demographic, cognitive, and health-related predictors","type":"article-journal","volume":"11"},"uris":["http://www.mendeley.com/documents/?uuid=7941aa45-fd5e-478e-bd92-24480cc138a8"]}],"mendeley":{"formattedCitation":"(12)","manualFormatting":"(12","plainTextFormattedCitation":"(12)","previouslyFormattedCitation":"(12)"},"properties":{"noteIndex":0},"schema":"https://github.com/citation-style-language/schema/raw/master/csl-citation.json"}</w:instrText>
            </w:r>
            <w:r w:rsidRPr="00623170">
              <w:rPr>
                <w:rFonts w:cstheme="majorHAnsi"/>
                <w:lang w:val="en-GB"/>
              </w:rPr>
              <w:fldChar w:fldCharType="separate"/>
            </w:r>
            <w:r w:rsidRPr="00854212">
              <w:rPr>
                <w:rFonts w:cstheme="majorHAnsi"/>
                <w:noProof/>
              </w:rPr>
              <w:t>(12</w:t>
            </w:r>
            <w:r w:rsidRPr="00623170">
              <w:rPr>
                <w:rFonts w:cstheme="majorHAnsi"/>
                <w:lang w:val="en-GB"/>
              </w:rPr>
              <w:fldChar w:fldCharType="end"/>
            </w:r>
            <w:r w:rsidRPr="00623170">
              <w:rPr>
                <w:rFonts w:cstheme="majorHAnsi"/>
                <w:lang w:val="en-GB"/>
              </w:rPr>
              <w:t xml:space="preserve">, </w:t>
            </w:r>
            <w:r w:rsidRPr="00623170">
              <w:rPr>
                <w:rFonts w:cstheme="majorHAnsi"/>
                <w:lang w:val="en-GB"/>
              </w:rPr>
              <w:fldChar w:fldCharType="begin" w:fldLock="1"/>
            </w:r>
            <w:r>
              <w:rPr>
                <w:rFonts w:cstheme="majorHAnsi"/>
                <w:lang w:val="en-GB"/>
              </w:rPr>
              <w:instrText>ADDIN CSL_CITATION {"citationItems":[{"id":"ITEM-1","itemData":{"DOI":"10.1177/0733464812459373","ISSN":"0733-4648","abstract":"This study explores differences in the out-of-home behavior of communitydwelling older adults with different cognitive impairment. Three levels of complexity of out-of-home behavior were distinguished: (a) mostly automatized walking behavior (low complexity), (b) global out-of-home mobility (medium complexity), and (c) defined units of concrete out-of-home activities, particularly cognitively demanding activities (high complexity). A sample of 257 older adults aged 59 to 91 years (M = 72.9 years, SD = 6.4 years) included 35 persons with early-stage Alzheimer’s disease (AD), 76 persons with mild cognitive impairment (MCI), and 146 cognitively healthy persons (CH). Mobility data were gathered by using a GPS tracking device as well as by questionnaire. Predicting cognitive impairment status by out-of-home behavior and a range of confounders by means of multinomial logistic regression revealed that only cognitively demanding activities showed at least a marginally significant difference between MCI and CH and were highly significant between AD and CH.","author":[{"dropping-particle":"","family":"Wettstein","given":"Markus","non-dropping-particle":"","parse-names":false,"suffix":""},{"dropping-particle":"","family":"Wahl","given":"H.-W.","non-dropping-particle":"","parse-names":false,"suffix":""},{"dropping-particle":"","family":"Shoval","given":"Noam","non-dropping-particle":"","parse-names":false,"suffix":""},{"dropping-particle":"","family":"Oswald","given":"Frank","non-dropping-particle":"","parse-names":false,"suffix":""},{"dropping-particle":"","family":"Voss","given":"Elke","non-dropping-particle":"","parse-names":false,"suffix":""},{"dropping-particle":"","family":"Seidl","given":"Ulrich","non-dropping-particle":"","parse-names":false,"suffix":""},{"dropping-particle":"","family":"Frolich","given":"Lutz","non-dropping-particle":"","parse-names":false,"suffix":""},{"dropping-particle":"","family":"Auslander","given":"Gail","non-dropping-particle":"","parse-names":false,"suffix":""},{"dropping-particle":"","family":"Heinik","given":"Jeremia","non-dropping-particle":"","parse-names":false,"suffix":""},{"dropping-particle":"","family":"Landau","given":"Ruth","non-dropping-particle":"","parse-names":false,"suffix":""}],"container-title":"Journal of Applied Gerontology","id":"ITEM-1","issue":"1","issued":{"date-parts":[["2015"]]},"page":"3-25","title":"Out-of-home behavior and cognitive impairment in older adults: findings of the SenTra project","type":"article-journal","volume":"34"},"uris":["http://www.mendeley.com/documents/?uuid=3b24c92d-4039-4de7-a343-5f30fd5397ce"]}],"mendeley":{"formattedCitation":"(13)","manualFormatting":"13","plainTextFormattedCitation":"(13)","previouslyFormattedCitation":"(13)"},"properties":{"noteIndex":0},"schema":"https://github.com/citation-style-language/schema/raw/master/csl-citation.json"}</w:instrText>
            </w:r>
            <w:r w:rsidRPr="00623170">
              <w:rPr>
                <w:rFonts w:cstheme="majorHAnsi"/>
                <w:lang w:val="en-GB"/>
              </w:rPr>
              <w:fldChar w:fldCharType="separate"/>
            </w:r>
            <w:r w:rsidRPr="00623170">
              <w:rPr>
                <w:rFonts w:cstheme="majorHAnsi"/>
                <w:noProof/>
                <w:lang w:val="de-CH"/>
              </w:rPr>
              <w:t>13</w:t>
            </w:r>
            <w:r w:rsidRPr="00623170">
              <w:rPr>
                <w:rFonts w:cstheme="majorHAnsi"/>
                <w:lang w:val="en-GB"/>
              </w:rPr>
              <w:fldChar w:fldCharType="end"/>
            </w:r>
            <w:r w:rsidRPr="00623170">
              <w:rPr>
                <w:rFonts w:cstheme="majorHAnsi"/>
                <w:lang w:val="en-GB"/>
              </w:rPr>
              <w:t>,</w:t>
            </w:r>
            <w:r w:rsidRPr="00623170">
              <w:rPr>
                <w:rFonts w:cstheme="majorHAnsi"/>
                <w:lang w:val="en-GB"/>
              </w:rPr>
              <w:fldChar w:fldCharType="begin" w:fldLock="1"/>
            </w:r>
            <w:r>
              <w:rPr>
                <w:rFonts w:cstheme="majorHAnsi"/>
                <w:lang w:val="de-CH"/>
              </w:rPr>
              <w:instrText>ADDIN CSL_CITATION {"citationItems":[{"id":"ITEM-1","itemData":{"DOI":"10.1177/0733464813512897","ISBN":"1552-4523 (Electronic)\\r0733-4648 (Linking)","ISSN":"15524523","PMID":"24652916","abstract":"Heterogeneity in older adults' mobility and its correlates have rarely been investigated based on objective mobility data and in samples including cognitively impaired individuals. We analyzed mobility profiles within a cognitively heterogeneous sample of N = 257 older adults from Israel and Germany based on GPS tracking technology. Participants were aged between 59 and 91 years (M = 72.9; SD = 6.4) and were either cognitively healthy (CH, n = 146), mildly cognitively impaired (MCI, n = 76), or diagnosed with an early-stage dementia of the Alzheimer's type (DAT, n = 35). Based on cluster analysis, we identified three mobility types (\"Mobility restricted,\" \"Outdoor oriented,\" \"Walkers\"), which could be predicted based on socio-demographic indicators, activity, health, and cognitive impairment status using discriminant analysis. Particularly demented individuals and persons with worse health exhibited restrictions in mobility. Our findings contribute to a better understanding of heterogeneity in mobility in old age.","author":[{"dropping-particle":"","family":"Wettstein","given":"Markus","non-dropping-particle":"","parse-names":false,"suffix":""},{"dropping-particle":"","family":"Wahl","given":"Hans Werner","non-dropping-particle":"","parse-names":false,"suffix":""},{"dropping-particle":"","family":"Shoval","given":"Noam","non-dropping-particle":"","parse-names":false,"suffix":""},{"dropping-particle":"","family":"Auslander","given":"Gail","non-dropping-particle":"","parse-names":false,"suffix":""},{"dropping-particle":"","family":"Oswald","given":"Frank","non-dropping-particle":"","parse-names":false,"suffix":""},{"dropping-particle":"","family":"Heinik","given":"Jeremia","non-dropping-particle":"","parse-names":false,"suffix":""}],"container-title":"Journal of Applied Gerontology","id":"ITEM-1","issue":"8","issued":{"date-parts":[["2015"]]},"page":"1001-1027","title":"Identifying mobility types in cognitively heterogeneous older adults based on GPS-tracking: what discriminates best?","type":"article-journal","volume":"34"},"uris":["http://www.mendeley.com/documents/?uuid=80c3a5b2-efe6-408b-82e6-60cc51b75fb7"]}],"mendeley":{"formattedCitation":"(14)","manualFormatting":" 14","plainTextFormattedCitation":"(14)","previouslyFormattedCitation":"(14)"},"properties":{"noteIndex":0},"schema":"https://github.com/citation-style-language/schema/raw/master/csl-citation.json"}</w:instrText>
            </w:r>
            <w:r w:rsidRPr="00623170">
              <w:rPr>
                <w:rFonts w:cstheme="majorHAnsi"/>
                <w:lang w:val="en-GB"/>
              </w:rPr>
              <w:fldChar w:fldCharType="separate"/>
            </w:r>
            <w:r w:rsidRPr="00623170">
              <w:rPr>
                <w:rFonts w:cstheme="majorHAnsi"/>
                <w:noProof/>
                <w:lang w:val="de-CH"/>
              </w:rPr>
              <w:t xml:space="preserve"> 14</w:t>
            </w:r>
            <w:r w:rsidRPr="00623170">
              <w:rPr>
                <w:rFonts w:cstheme="majorHAnsi"/>
                <w:lang w:val="en-GB"/>
              </w:rPr>
              <w:fldChar w:fldCharType="end"/>
            </w:r>
            <w:r w:rsidRPr="00623170">
              <w:rPr>
                <w:rFonts w:cstheme="majorHAnsi"/>
                <w:lang w:val="de-CH" w:eastAsia="ko-KR"/>
              </w:rPr>
              <w:t xml:space="preserve">*, </w:t>
            </w:r>
            <w:r w:rsidRPr="00623170">
              <w:rPr>
                <w:rFonts w:cstheme="majorHAnsi"/>
                <w:u w:val="single"/>
              </w:rPr>
              <w:fldChar w:fldCharType="begin" w:fldLock="1"/>
            </w:r>
            <w:r>
              <w:rPr>
                <w:rFonts w:cstheme="majorHAnsi"/>
                <w:u w:val="single"/>
                <w:lang w:val="de-CH"/>
              </w:rPr>
              <w:instrText>ADDIN CSL_CITATION {"citationItems":[{"id":"ITEM-1","itemData":{"DOI":"10.1016/j.archger.2014.03.015","ISBN":"0167-4943","ISSN":"18726976","PMID":"24768430","abstract":"Studies on the relationship between behavioral competence, such as the competence of exerting out-of-home behavior (OOHB), and well-being in older adults have rarely addressed cognitive status as a potentially moderating factor. We included 35 persons with early-stage dementia of the Alzheimer's type (DAT), 76 individuals with mild cognitive impairment (MCI) and 146 cognitively healthy (CH) study participants (grand mean age: M= 72.9 years; SD= 6.4 years). OOHB indicators were assessed based on a multi-method assessment strategy, using both GPS (global positioning system) tracking technology and structured self-reports. Environmental mastery and positive as well as negative affect served as well-being indicators and were assessed by established questionnaires. Three theoretically postulated OOHB dimensions of different complexity (out-of-home walking behavior, global out-of-home mobility, and out-of-home activities) were supported by confirmatory factor analysis (CFA). We also found in the DAT group that environmental mastery was substantially and positively related to less complex out-of-home walking behavior, which was not the case in MCI and CH individuals. In contrast, more complex out-of-home activities were associated with higher negative affect in the DAT as well as the MCI group, but not in CH persons. These findings point to the possibility that relationships between OOHB and well-being depend on the congruence between available cognitive resourc</w:instrText>
            </w:r>
            <w:r w:rsidRPr="00854212">
              <w:rPr>
                <w:rFonts w:cstheme="majorHAnsi"/>
                <w:u w:val="single"/>
              </w:rPr>
              <w:instrText>es and the complexity of the OOHB dimension considered. ?? 2014 Elsevier Ireland Ltd.","author":[{"dropping-particle":"","family":"Wettstein","given":"Markus","non-dropping-particle":"","parse-names":false,"suffix":""},{"dropping-particle":"","family":"Wahl","given":"Hans Werner","non-dropping-particle":"","parse-names":false,"suffix":""},{"dropping-particle":"","family":"Shoval","given":"Noam","non-dropping-particle":"","parse-names":false,"suffix":""},{"dropping-particle":"","family":"Auslander","given":"Gail","non-dropping-particle":"","parse-names":false,"suffix":""},{"dropping-particle":"","family":"Oswald","given":"Frank","non-dropping-particle":"","parse-names":false,"suffix":""},{"dropping-particle":"","family":"Heinik","given":"Jeremia","non-dropping-particle":"","parse-names":false,"suffix":""}],"container-title":"Archives of Gerontology and Geriatrics","id":"ITEM-1","issue":"1","issued":{"date-parts":[["2014"]]},"page":"113-121","publisher":"Elsevier Ireland Ltd","title":"Cognitive status moderates the relationship between out-of-home behavior (OOHB), environmental mastery and affect","type":"article-journal","volume":"59"},"uris":["http://www.mendeley.com/documents/?uuid=41b44642-9d26-4311-8fb7-b75c733769f3"]}],"mendeley":{"formattedCitation":"(15)","manualFormatting":"15","plainTextFormattedCitation":"(15)","previouslyFormattedCitation":"(15)"},"properties":{"noteIndex":0},"schema":"https://github.com/citation-style-language/schema/raw/master/csl-citation.json"}</w:instrText>
            </w:r>
            <w:r w:rsidRPr="00623170">
              <w:rPr>
                <w:rFonts w:cstheme="majorHAnsi"/>
                <w:u w:val="single"/>
              </w:rPr>
              <w:fldChar w:fldCharType="separate"/>
            </w:r>
            <w:r w:rsidRPr="00623170">
              <w:rPr>
                <w:rFonts w:cstheme="majorHAnsi"/>
                <w:noProof/>
                <w:u w:val="single"/>
              </w:rPr>
              <w:t>15</w:t>
            </w:r>
            <w:r w:rsidRPr="00623170">
              <w:rPr>
                <w:rFonts w:cstheme="majorHAnsi"/>
                <w:u w:val="single"/>
              </w:rPr>
              <w:fldChar w:fldCharType="end"/>
            </w:r>
            <w:r w:rsidRPr="00623170">
              <w:rPr>
                <w:rFonts w:cstheme="majorHAnsi"/>
                <w:u w:val="single"/>
              </w:rPr>
              <w:t>**</w:t>
            </w:r>
            <w:r w:rsidRPr="00623170">
              <w:rPr>
                <w:rFonts w:cstheme="majorHAnsi"/>
              </w:rPr>
              <w:t>)</w:t>
            </w:r>
          </w:p>
          <w:p w:rsidR="006366EA" w:rsidRPr="00623170" w:rsidRDefault="006366EA" w:rsidP="006366EA">
            <w:pPr>
              <w:pStyle w:val="Table"/>
            </w:pPr>
          </w:p>
        </w:tc>
        <w:tc>
          <w:tcPr>
            <w:tcW w:w="709" w:type="dxa"/>
            <w:vMerge w:val="restart"/>
          </w:tcPr>
          <w:p w:rsidR="006366EA" w:rsidRPr="00336514" w:rsidRDefault="006366EA" w:rsidP="006366EA">
            <w:pPr>
              <w:pStyle w:val="Table"/>
            </w:pPr>
            <w:r w:rsidRPr="00336514">
              <w:t>5, 7*, 8**</w:t>
            </w:r>
          </w:p>
        </w:tc>
        <w:tc>
          <w:tcPr>
            <w:tcW w:w="6662" w:type="dxa"/>
            <w:tcBorders>
              <w:right w:val="single" w:sz="4" w:space="0" w:color="auto"/>
            </w:tcBorders>
          </w:tcPr>
          <w:p w:rsidR="006366EA" w:rsidRPr="00336514" w:rsidRDefault="006366EA" w:rsidP="006366EA">
            <w:pPr>
              <w:pStyle w:val="Table"/>
            </w:pPr>
            <w:r w:rsidRPr="00336514">
              <w:t>TOH</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rPr>
                <w:lang w:val="en-GB"/>
              </w:rPr>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 xml:space="preserve">Number of locations </w:t>
            </w:r>
          </w:p>
        </w:tc>
        <w:tc>
          <w:tcPr>
            <w:tcW w:w="363"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rPr>
                <w:lang w:val="en-GB"/>
              </w:rPr>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rPr>
                <w:strike/>
              </w:rPr>
            </w:pPr>
            <w:r w:rsidRPr="00336514">
              <w:t xml:space="preserve">Distance on foot </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rPr>
                <w:lang w:val="en-GB"/>
              </w:rPr>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 xml:space="preserve">Time on foot </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rPr>
                <w:lang w:val="en-GB"/>
              </w:rPr>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Walking speed</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tcPr>
          <w:p w:rsidR="006366EA" w:rsidRPr="00336514" w:rsidRDefault="006366EA" w:rsidP="006366EA">
            <w:pPr>
              <w:pStyle w:val="Table"/>
            </w:pPr>
            <w:r w:rsidRPr="00336514">
              <w:rPr>
                <w:lang w:val="en-GB"/>
              </w:rPr>
              <w:sym w:font="Wingdings" w:char="F0FC"/>
            </w:r>
          </w:p>
        </w:tc>
      </w:tr>
      <w:tr w:rsidR="006366EA" w:rsidRPr="00336514" w:rsidTr="00496AC8">
        <w:tc>
          <w:tcPr>
            <w:tcW w:w="1985" w:type="dxa"/>
            <w:vMerge/>
            <w:tcBorders>
              <w:left w:val="single" w:sz="4" w:space="0" w:color="auto"/>
            </w:tcBorders>
          </w:tcPr>
          <w:p w:rsidR="006366EA" w:rsidRPr="00623170" w:rsidRDefault="006366EA" w:rsidP="006366EA">
            <w:pPr>
              <w:pStyle w:val="Table"/>
              <w:rPr>
                <w:lang w:val="en-GB"/>
              </w:rPr>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Walking duration per track</w:t>
            </w:r>
            <w:r w:rsidRPr="00336514">
              <w:rPr>
                <w:lang w:val="en-GB" w:eastAsia="ko-KR"/>
              </w:rPr>
              <w:t>*</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rPr>
                <w:lang w:val="en-GB"/>
              </w:rPr>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Number of walking tracks</w:t>
            </w:r>
            <w:r w:rsidRPr="00336514">
              <w:rPr>
                <w:lang w:val="en-GB" w:eastAsia="ko-KR"/>
              </w:rPr>
              <w:t>*</w:t>
            </w:r>
            <w:r w:rsidRPr="00336514">
              <w:rPr>
                <w:vertAlign w:val="superscript"/>
                <w:lang w:val="en-GB" w:eastAsia="ko-KR"/>
              </w:rPr>
              <w:t>/</w:t>
            </w:r>
            <w:r w:rsidRPr="00336514">
              <w:rPr>
                <w:lang w:val="en-GB" w:eastAsia="ko-KR"/>
              </w:rPr>
              <w:t>**</w:t>
            </w:r>
          </w:p>
        </w:tc>
        <w:tc>
          <w:tcPr>
            <w:tcW w:w="363"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rPr>
                <w:lang w:val="en-GB"/>
              </w:rPr>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rPr>
                <w:lang w:val="en-GB"/>
              </w:rPr>
            </w:pPr>
            <w:r w:rsidRPr="00336514">
              <w:rPr>
                <w:lang w:val="en-GB"/>
              </w:rPr>
              <w:sym w:font="Wingdings" w:char="F0FC"/>
            </w: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rPr>
                <w:lang w:val="en-GB"/>
              </w:rPr>
            </w:pPr>
            <w:r w:rsidRPr="00336514">
              <w:rPr>
                <w:lang w:val="en-GB"/>
              </w:rPr>
              <w:sym w:font="Wingdings" w:char="F0FC"/>
            </w: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rPr>
                <w:lang w:val="en-GB"/>
              </w:rPr>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t>Mean/</w:t>
            </w:r>
            <w:r w:rsidRPr="00336514">
              <w:t>max distance from home**</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val="restart"/>
            <w:tcBorders>
              <w:left w:val="single" w:sz="4" w:space="0" w:color="auto"/>
            </w:tcBorders>
            <w:shd w:val="clear" w:color="auto" w:fill="F2F2F2" w:themeFill="background1" w:themeFillShade="F2"/>
          </w:tcPr>
          <w:p w:rsidR="006366EA" w:rsidRPr="00623170" w:rsidRDefault="006366EA" w:rsidP="006366EA">
            <w:pPr>
              <w:pStyle w:val="Table"/>
              <w:rPr>
                <w:lang w:val="en-GB"/>
              </w:rPr>
            </w:pPr>
            <w:r w:rsidRPr="00623170">
              <w:t xml:space="preserve">Boissy et al. </w:t>
            </w:r>
            <w:r w:rsidRPr="00623170">
              <w:rPr>
                <w:lang w:val="en-GB"/>
              </w:rPr>
              <w:fldChar w:fldCharType="begin" w:fldLock="1"/>
            </w:r>
            <w:r w:rsidRPr="00623170">
              <w:rPr>
                <w:lang w:val="en-GB"/>
              </w:rPr>
              <w:instrText>ADDIN CSL_CITATION {"citationItems":[{"id":"ITEM-1","itemData":{"DOI":"10.3389/fpubh.2018.00216","ISSN":"2296-2565","PMID":"30151357","abstract":"Introduction: Understanding determinants of community mobility disability is critical for developing interventions aimed at preventing or delaying disability in older adults. In an effort to understand these determinants, capturing and measuring community mobility has become a key factor. The objectives of this paper are to present and illustrate the signal processing workflow and outcomes that can be extracted from an activity and community mobility measurement approach based on GPS and accelerometer sensor data and 2) to explore the construct validity of the proposed measurement approach using data collected from healthy older adults in free-living conditions. Methods: Personal, functional impairment and environmental variables were obtained by self-report questionnaires in 75 healthy community-living older adults (mean age = 66 ± 7 years old) living on the island of Montreal, QC, Canada. Participants wore, for 14 days during waking hours on the hip, a data logger incorporating a GPS receiver with a 3-axis accelerometer. Time at home ratio (THR), Trips out (TO), Destinations (D), Maximal distance of destinations (MDD), Active time ratio (ATR), Steps (S), Distance in a vehicle (DV), Time in a vehicle (TV), Distance on foot (DF), Time on foot (TF), Ellipse area (EA), and Ellipse maximum distance (EMD) were extracted from the recordings. Results: After applying quality control criteria, the original data set was reduced from 75 to 54 participants (28% attrition). Results from the remaining sample show that under free-living conditions in healthy older adults, location, activity and community mobility outcomes vary across individuals and certain personal variables (age, income, living situation, professional status, vehicle access) have potential mitigating effects on these outcomes. There was a significant (yet small) relationship (rho &lt; 0.40) between self-reported life space and MDD, DV, EA, and EMD. Conclusion: Wearability and usability of the devices used to capture free-living community mobility impact participant compliance and the quality of the data. The construct validity of the proposed approach appears promising but requires further studies directed at populations with mobility impairments.","author":[{"dropping-particle":"","family":"Boissy","given":"Patrick","non-dropping-particle":"","parse-names":false,"suffix":""},{"dropping-particle":"","family":"Blamoutier","given":"Margaux","non-dropping-particle":"","parse-names":false,"suffix":""},{"dropping-particle":"","family":"Brière","given":"Simon","non-dropping-particle":"","parse-names":false,"suffix":""},{"dropping-particle":"","family":"Duval","given":"Christian","non-dropping-particle":"","parse-names":false,"suffix":""}],"container-title":"Frontiers in Public Health","id":"ITEM-1","issued":{"date-parts":[["2018"]]},"page":"1-13","title":"Quantification of free-living community mobility in healthy older adults using wearable sensors","type":"article-journal","volume":"6"},"uris":["http://www.mendeley.com/documents/?uuid=d94ef227-e825-49bf-a0de-17a64a1ac5bf"]}],"mendeley":{"formattedCitation":"(16)","plainTextFormattedCitation":"(16)","previouslyFormattedCitation":"(16)"},"properties":{"noteIndex":0},"schema":"https://github.com/citation-style-language/schema/raw/master/csl-citation.json"}</w:instrText>
            </w:r>
            <w:r w:rsidRPr="00623170">
              <w:rPr>
                <w:lang w:val="en-GB"/>
              </w:rPr>
              <w:fldChar w:fldCharType="separate"/>
            </w:r>
            <w:r w:rsidRPr="00623170">
              <w:rPr>
                <w:noProof/>
                <w:lang w:val="en-GB"/>
              </w:rPr>
              <w:t>(16)</w:t>
            </w:r>
            <w:r w:rsidRPr="00623170">
              <w:rPr>
                <w:lang w:val="en-GB"/>
              </w:rPr>
              <w:fldChar w:fldCharType="end"/>
            </w:r>
          </w:p>
        </w:tc>
        <w:tc>
          <w:tcPr>
            <w:tcW w:w="709" w:type="dxa"/>
            <w:vMerge w:val="restart"/>
            <w:shd w:val="clear" w:color="auto" w:fill="F2F2F2" w:themeFill="background1" w:themeFillShade="F2"/>
          </w:tcPr>
          <w:p w:rsidR="006366EA" w:rsidRPr="00336514" w:rsidRDefault="006366EA" w:rsidP="006366EA">
            <w:pPr>
              <w:pStyle w:val="Table"/>
            </w:pPr>
            <w:r w:rsidRPr="00336514">
              <w:t>10</w:t>
            </w: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Time at home</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rPr>
                <w:lang w:val="en-GB"/>
              </w:rPr>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rPr>
                <w:lang w:val="en-GB"/>
              </w:rPr>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Number of trips</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rPr>
                <w:lang w:val="en-GB"/>
              </w:rPr>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Number of locations</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rPr>
                <w:lang w:val="en-GB"/>
              </w:rPr>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rPr>
                <w:lang w:val="en-GB"/>
              </w:rPr>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Maximum distance from home</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rPr>
                <w:lang w:val="en-GB"/>
              </w:rPr>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rPr>
                <w:lang w:val="en-GB"/>
              </w:rPr>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Distance in vehicle</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rPr>
                <w:lang w:val="en-GB"/>
              </w:rPr>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 xml:space="preserve">Time in vehicle </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rPr>
                <w:lang w:val="en-GB"/>
              </w:rPr>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Time on foot</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rPr>
                <w:lang w:val="en-GB"/>
              </w:rPr>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Distance on foot</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rPr>
                <w:lang w:val="en-GB"/>
              </w:rPr>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Minimum span ellipse major axis length</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rPr>
                <w:lang w:val="en-GB"/>
              </w:rPr>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rPr>
                <w:lang w:val="en-GB"/>
              </w:rPr>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Minimum span ellipse area</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rPr>
                <w:lang w:val="en-GB"/>
              </w:rPr>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rPr>
                <w:lang w:val="en-GB"/>
              </w:rPr>
            </w:pPr>
            <w:r w:rsidRPr="00336514">
              <w:rPr>
                <w:lang w:val="en-GB"/>
              </w:rPr>
              <w:sym w:font="Wingdings" w:char="F0FC"/>
            </w: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rPr>
                <w:lang w:val="en-GB"/>
              </w:rPr>
            </w:pPr>
          </w:p>
        </w:tc>
        <w:tc>
          <w:tcPr>
            <w:tcW w:w="362" w:type="dxa"/>
            <w:shd w:val="clear" w:color="auto" w:fill="F2F2F2" w:themeFill="background1" w:themeFillShade="F2"/>
          </w:tcPr>
          <w:p w:rsidR="006366EA" w:rsidRPr="00336514" w:rsidRDefault="006366EA" w:rsidP="006366EA">
            <w:pPr>
              <w:pStyle w:val="Table"/>
            </w:pP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val="restart"/>
            <w:tcBorders>
              <w:left w:val="single" w:sz="4" w:space="0" w:color="auto"/>
            </w:tcBorders>
          </w:tcPr>
          <w:p w:rsidR="006366EA" w:rsidRPr="00623170" w:rsidRDefault="006366EA" w:rsidP="006366EA">
            <w:pPr>
              <w:pStyle w:val="Table"/>
              <w:rPr>
                <w:lang w:val="en-GB"/>
              </w:rPr>
            </w:pPr>
            <w:r w:rsidRPr="00623170">
              <w:t xml:space="preserve">Saeb et al. </w:t>
            </w:r>
            <w:r w:rsidRPr="00623170">
              <w:fldChar w:fldCharType="begin" w:fldLock="1"/>
            </w:r>
            <w:r w:rsidRPr="00623170">
              <w:instrText>ADDIN CSL_CITATION {"citationItems":[{"id":"ITEM-1","itemData":{"DOI":"10.7717/peerj.2537","author":[{"dropping-particle":"","family":"Saeb","given":"Sohrab","non-dropping-particle":"","parse-names":false,"suffix":""},{"dropping-particle":"","family":"Lattie","given":"Emily G","non-dropping-particle":"","parse-names":false,"suffix":""},{"dropping-particle":"","family":"Schueller","given":"Stephen M","non-dropping-particle":"","parse-names":false,"suffix":""},{"dropping-particle":"","family":"Kording","given":"Konrad P","non-dropping-particle":"","parse-names":false,"suffix":""},{"dropping-particle":"","family":"Mohr","given":"David C","non-dropping-particle":"","parse-names":false,"suffix":""}],"container-title":"PeerJ","id":"ITEM-1","issued":{"date-parts":[["2016"]]},"page":"e2537","title":"The relationship between mobile phone location sensor data and depressive symptom severity","type":"article-journal","volume":"4"},"uris":["http://www.mendeley.com/documents/?uuid=2dbc0798-491b-4046-bdb6-c7d37f5319bc","http://www.mendeley.com/documents/?uuid=bb522bed-e353-44ee-8a03-6590ef405cd6"]},{"id":"ITEM-2","itemData":{"DOI":"10.2196/jmir.4273","ISSN":"1438-8871","abstract":"Printed! not available as pdf, https://www.ncbi.nlm.nih.gov/pmc/articles/PMC4526997/?report=classic Background Depression is a common, burdensome, often recurring mental health disorder that frequently goes undetected and untreated. Mobile phones are ubiquitous and have an increasingly large complement of sensors that can potentially be useful in monitoring behavioral patterns that might be indicative of depressive symptoms. Objective The objective of this study was to explore the detection of daily-life behavioral markers using mobile phone global positioning systems (GPS) and usage sensors, and their use in identifying depressive symptom severity. Methods A total of 40 adult participants were recruited from the general community to carry a mobile phone with a sensor data acquisition app (Purple Robot) for 2 weeks. Of these participants, 28 had sufficient sensor data received to conduct analysis. At the beginning of the 2-week period, participants completed a self-reported depression survey (PHQ-9). Behavioral features were developed and extracted from GPS location and phone usage data. Results A number of features from GPS data were related to depressive symptom severity, including circadian movement (regularity in 24-hour rhythm; r=-.63, P=.005), normalized entropy (mobility between favorite locations; r=-.58, P=.012), and location variance (GPS mobility independent of location; r=-.58, P=.012). Phone usage features, usage duration, and usage frequency were also correlated (r=.54, P=.011, and r=.52, P=.015, respectively). Using the normalized entropy feature and a classifier that distinguished participants with depressive symptoms (PHQ-9 score ≥5) from those without (PHQ-9 score &lt;5), we achieved an accuracy of 86.5%. Furthermore, a regression model that used the same feature to estimate the participants’ PHQ-9 scores obtained an average error of 23.5%. Conclusions Features extracted from mobile phone sensor data, including GPS and phone usage, provided behavioral markers that were strongly related to depressive symptom severity. While these findings must be replicated in a larger study among participants with confirmed clinical symptoms, they suggest that phone sensors offer numerous clinical opportunities, including continuous monitoring of at-risk populations with little patient burden and interventions that can provide just-in-time outreach.","author":[{"dropping-particle":"","family":"Saeb","given":"Sohrab","non-dropping-particle":"","parse-names":false,"suffix":""},{"dropping-particle":"","family":"Zhang","given":"Mi","non-dropping-particle":"","parse-names":false,"suffix":""},{"dropping-particle":"","family":"Karr","given":"Christopher J","non-dropping-particle":"","parse-names":false,"suffix":""},{"dropping-particle":"","family":"Schueller","given":"Stephen M","non-dropping-particle":"","parse-names":false,"suffix":""},{"dropping-particle":"","family":"Corden","given":"Marya E","non-dropping-particle":"","parse-names":false,"suffix":""},{"dropping-particle":"","family":"Kording","given":"Konrad P","non-dropping-particle":"","parse-names":false,"suffix":""},{"dropping-particle":"","family":"Mohr","given":"David C","non-dropping-particle":"","parse-names":false,"suffix":""}],"container-title":"Journal of Medical Internet Research","id":"ITEM-2","issue":"7","issued":{"date-parts":[["2015","7","15"]]},"page":"e175","title":"Mobile phone sensor correlates of depressive symptom severity in daily-life behavior: an exploratory study","type":"article-journal","volume":"17"},"uris":["http://www.mendeley.com/documents/?uuid=d2607300-fe51-415e-b9cc-f4c6564e179d"]}],"mendeley":{"formattedCitation":"(17,18)","plainTextFormattedCitation":"(17,18)","previouslyFormattedCitation":"(17,18)"},"properties":{"noteIndex":0},"schema":"https://github.com/citation-style-language/schema/raw/master/csl-citation.json"}</w:instrText>
            </w:r>
            <w:r w:rsidRPr="00623170">
              <w:fldChar w:fldCharType="separate"/>
            </w:r>
            <w:r w:rsidRPr="00623170">
              <w:rPr>
                <w:noProof/>
              </w:rPr>
              <w:t>(</w:t>
            </w:r>
            <w:r w:rsidRPr="00623170">
              <w:rPr>
                <w:noProof/>
                <w:u w:val="single"/>
              </w:rPr>
              <w:t>17</w:t>
            </w:r>
            <w:r w:rsidRPr="00623170">
              <w:rPr>
                <w:noProof/>
              </w:rPr>
              <w:t>,18)</w:t>
            </w:r>
            <w:r w:rsidRPr="00623170">
              <w:fldChar w:fldCharType="end"/>
            </w:r>
          </w:p>
        </w:tc>
        <w:tc>
          <w:tcPr>
            <w:tcW w:w="709" w:type="dxa"/>
            <w:vMerge w:val="restart"/>
          </w:tcPr>
          <w:p w:rsidR="006366EA" w:rsidRPr="00336514" w:rsidRDefault="006366EA" w:rsidP="006366EA">
            <w:pPr>
              <w:pStyle w:val="Table"/>
            </w:pPr>
            <w:r w:rsidRPr="00336514">
              <w:t>11</w:t>
            </w:r>
          </w:p>
        </w:tc>
        <w:tc>
          <w:tcPr>
            <w:tcW w:w="6662" w:type="dxa"/>
            <w:tcBorders>
              <w:right w:val="single" w:sz="4" w:space="0" w:color="auto"/>
            </w:tcBorders>
          </w:tcPr>
          <w:p w:rsidR="006366EA" w:rsidRPr="00336514" w:rsidRDefault="006366EA" w:rsidP="006366EA">
            <w:pPr>
              <w:pStyle w:val="Table"/>
            </w:pPr>
            <w:r w:rsidRPr="00336514">
              <w:t>Location variance</w:t>
            </w:r>
          </w:p>
        </w:tc>
        <w:tc>
          <w:tcPr>
            <w:tcW w:w="363" w:type="dxa"/>
            <w:tcBorders>
              <w:left w:val="single" w:sz="4" w:space="0" w:color="auto"/>
            </w:tcBorders>
          </w:tcPr>
          <w:p w:rsidR="006366EA" w:rsidRPr="00336514" w:rsidRDefault="006366EA" w:rsidP="006366EA">
            <w:pPr>
              <w:pStyle w:val="Table"/>
              <w:rPr>
                <w:lang w:val="en-GB"/>
              </w:rPr>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rPr>
                <w:lang w:val="en-GB"/>
              </w:rPr>
            </w:pP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Circadian movement</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Speed mean</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r w:rsidRPr="00336514">
              <w:rPr>
                <w:lang w:val="en-GB"/>
              </w:rPr>
              <w:sym w:font="Wingdings" w:char="F0FC"/>
            </w:r>
          </w:p>
        </w:tc>
      </w:tr>
      <w:tr w:rsidR="006366EA" w:rsidRPr="00336514" w:rsidTr="00496AC8">
        <w:tc>
          <w:tcPr>
            <w:tcW w:w="1985" w:type="dxa"/>
            <w:vMerge/>
            <w:tcBorders>
              <w:left w:val="single" w:sz="4" w:space="0" w:color="auto"/>
            </w:tcBorders>
          </w:tcPr>
          <w:p w:rsidR="006366EA" w:rsidRPr="00623170"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Speed variance</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r w:rsidRPr="00336514">
              <w:rPr>
                <w:lang w:val="en-GB"/>
              </w:rPr>
              <w:sym w:font="Wingdings" w:char="F0FC"/>
            </w:r>
          </w:p>
        </w:tc>
      </w:tr>
      <w:tr w:rsidR="006366EA" w:rsidRPr="00336514" w:rsidTr="00496AC8">
        <w:tc>
          <w:tcPr>
            <w:tcW w:w="1985" w:type="dxa"/>
            <w:vMerge/>
            <w:tcBorders>
              <w:left w:val="single" w:sz="4" w:space="0" w:color="auto"/>
            </w:tcBorders>
          </w:tcPr>
          <w:p w:rsidR="006366EA" w:rsidRPr="00623170"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Distance</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Number of locations</w:t>
            </w:r>
          </w:p>
        </w:tc>
        <w:tc>
          <w:tcPr>
            <w:tcW w:w="363"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Entropy</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77"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Normalized entropy</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77"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Raw entropy</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77"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Time at home</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623170"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Percentage time traveling</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val="restart"/>
            <w:tcBorders>
              <w:left w:val="single" w:sz="4" w:space="0" w:color="auto"/>
            </w:tcBorders>
            <w:shd w:val="clear" w:color="auto" w:fill="F2F2F2" w:themeFill="background1" w:themeFillShade="F2"/>
          </w:tcPr>
          <w:p w:rsidR="006366EA" w:rsidRPr="00623170" w:rsidRDefault="006366EA" w:rsidP="006366EA">
            <w:pPr>
              <w:pStyle w:val="Table"/>
              <w:rPr>
                <w:lang w:val="de-CH"/>
              </w:rPr>
            </w:pPr>
            <w:r w:rsidRPr="00623170">
              <w:rPr>
                <w:noProof/>
              </w:rPr>
              <w:t xml:space="preserve">Isaacson et al. </w:t>
            </w:r>
            <w:r w:rsidRPr="00623170">
              <w:fldChar w:fldCharType="begin" w:fldLock="1"/>
            </w:r>
            <w:r>
              <w:instrText>ADDIN CSL_CITATION {"citationItems":[{"id":"ITEM-1","itemData":{"DOI":"10.1007/978-981-10-1654-7","ISBN":"978-981-10-1653-0","abstract":"It has long been accepted that remaining active in later life is positively correlated with wellbeing. But is there an importance to remain spatially active in later life? This study examines data collected from participants using both questionnaires for collecting reported wellbeing indicators and GPS receivers for collecting data that describes spatial activity. An association between spatial activity, life satisfaction, perceived health and perceived physical function were found. No association between spatial activity and positive or negative affect was found. Separate analysis that was conducted for men and women revealed gender-based differences in the way that spatial activity is correlated with wellbeing. The results of this study promote a broader understanding of the importance of spatial activity in later life. Contributing to both to the theoretical aspect of activity in old age as well as having implications for …","author":[{"dropping-particle":"","family":"Isaacson","given":"M","non-dropping-particle":"","parse-names":false,"suffix":""},{"dropping-particle":"","family":"Wahl","given":"HW","non-dropping-particle":"","parse-names":false,"suffix":""},{"dropping-particle":"","family":"Shoval","given":"N","non-dropping-particle":"","parse-names":false,"suffix":""},{"dropping-particle":"","family":"Oswald","given":"F","non-dropping-particle":"","parse-names":false,"suffix":""},{"dropping-particle":"","family":"Auslander","given":"Gail","non-dropping-particle":"","parse-names":false,"suffix":""}],"chapter-number":"11","container-title":"Cross-Cultural and Cross-Disciplinary Perspectives in Social Gerontology","editor":[{"dropping-particle":"","family":"Samanta","given":"Tannistha","non-dropping-particle":"","parse-names":false,"suffix":""}],"id":"ITEM-1","issued":{"date-parts":[["2017"]]},"page":"203-219","publisher":"Springer Singapore","publisher-place":"Singapore","title":"The relationship between spatial activity and wellbeing-related data among healthy older adults: an exploratory geographic and psychological analysis","type":"chapter"},"uris":["http://www.mendeley.com/documents/?uuid=7f3ed27d-63f6-489d-92a2-3c55030f209d"]}],"mendeley":{"formattedCitation":"(19)","plainTextFormattedCitation":"(19)","previouslyFormattedCitation":"(19)"},"properties":{"noteIndex":0},"schema":"https://github.com/citation-style-language/schema/raw/master/csl-citation.json"}</w:instrText>
            </w:r>
            <w:r w:rsidRPr="00623170">
              <w:fldChar w:fldCharType="separate"/>
            </w:r>
            <w:r w:rsidRPr="00623170">
              <w:rPr>
                <w:noProof/>
                <w:lang w:val="de-CH"/>
              </w:rPr>
              <w:t>(19)</w:t>
            </w:r>
            <w:r w:rsidRPr="00623170">
              <w:fldChar w:fldCharType="end"/>
            </w:r>
          </w:p>
        </w:tc>
        <w:tc>
          <w:tcPr>
            <w:tcW w:w="709" w:type="dxa"/>
            <w:vMerge w:val="restart"/>
            <w:shd w:val="clear" w:color="auto" w:fill="F2F2F2" w:themeFill="background1" w:themeFillShade="F2"/>
          </w:tcPr>
          <w:p w:rsidR="006366EA" w:rsidRPr="00336514" w:rsidRDefault="006366EA" w:rsidP="006366EA">
            <w:pPr>
              <w:pStyle w:val="Table"/>
              <w:rPr>
                <w:lang w:val="de-CH"/>
              </w:rPr>
            </w:pPr>
            <w:r w:rsidRPr="00336514">
              <w:rPr>
                <w:lang w:val="de-CH"/>
              </w:rPr>
              <w:t>11</w:t>
            </w: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TOH</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pPr>
          </w:p>
        </w:tc>
        <w:tc>
          <w:tcPr>
            <w:tcW w:w="709" w:type="dxa"/>
            <w:vMerge/>
            <w:shd w:val="clear" w:color="auto" w:fill="F2F2F2" w:themeFill="background1" w:themeFillShade="F2"/>
          </w:tcPr>
          <w:p w:rsidR="006366EA" w:rsidRPr="00336514" w:rsidRDefault="006366EA" w:rsidP="006366EA">
            <w:pPr>
              <w:pStyle w:val="Table"/>
              <w:rPr>
                <w:lang w:val="de-CH"/>
              </w:rPr>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Number of locations</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pPr>
          </w:p>
        </w:tc>
        <w:tc>
          <w:tcPr>
            <w:tcW w:w="709" w:type="dxa"/>
            <w:vMerge/>
            <w:shd w:val="clear" w:color="auto" w:fill="F2F2F2" w:themeFill="background1" w:themeFillShade="F2"/>
          </w:tcPr>
          <w:p w:rsidR="006366EA" w:rsidRPr="00336514" w:rsidRDefault="006366EA" w:rsidP="006366EA">
            <w:pPr>
              <w:pStyle w:val="Table"/>
              <w:rPr>
                <w:lang w:val="de-CH"/>
              </w:rPr>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Duration on foot</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pPr>
          </w:p>
        </w:tc>
        <w:tc>
          <w:tcPr>
            <w:tcW w:w="709" w:type="dxa"/>
            <w:vMerge/>
            <w:shd w:val="clear" w:color="auto" w:fill="F2F2F2" w:themeFill="background1" w:themeFillShade="F2"/>
          </w:tcPr>
          <w:p w:rsidR="006366EA" w:rsidRPr="00336514" w:rsidRDefault="006366EA" w:rsidP="006366EA">
            <w:pPr>
              <w:pStyle w:val="Table"/>
              <w:rPr>
                <w:lang w:val="de-CH"/>
              </w:rPr>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Number of trips on foot</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pPr>
          </w:p>
        </w:tc>
        <w:tc>
          <w:tcPr>
            <w:tcW w:w="709" w:type="dxa"/>
            <w:vMerge/>
            <w:shd w:val="clear" w:color="auto" w:fill="F2F2F2" w:themeFill="background1" w:themeFillShade="F2"/>
          </w:tcPr>
          <w:p w:rsidR="006366EA" w:rsidRPr="00336514" w:rsidRDefault="006366EA" w:rsidP="006366EA">
            <w:pPr>
              <w:pStyle w:val="Table"/>
              <w:rPr>
                <w:lang w:val="de-CH"/>
              </w:rPr>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Time in trips</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Number of trips in vehicle</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Average time per trip in vehicle</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pPr>
          </w:p>
        </w:tc>
        <w:tc>
          <w:tcPr>
            <w:tcW w:w="709" w:type="dxa"/>
            <w:vMerge/>
            <w:shd w:val="clear" w:color="auto" w:fill="F2F2F2" w:themeFill="background1" w:themeFillShade="F2"/>
          </w:tcPr>
          <w:p w:rsidR="006366EA" w:rsidRPr="00336514" w:rsidRDefault="006366EA" w:rsidP="006366EA">
            <w:pPr>
              <w:pStyle w:val="Table"/>
              <w:rPr>
                <w:lang w:val="de-CH"/>
              </w:rPr>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Average time per trip on foot</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pPr>
          </w:p>
        </w:tc>
        <w:tc>
          <w:tcPr>
            <w:tcW w:w="709" w:type="dxa"/>
            <w:vMerge/>
            <w:shd w:val="clear" w:color="auto" w:fill="F2F2F2" w:themeFill="background1" w:themeFillShade="F2"/>
          </w:tcPr>
          <w:p w:rsidR="006366EA" w:rsidRPr="00336514" w:rsidRDefault="006366EA" w:rsidP="006366EA">
            <w:pPr>
              <w:pStyle w:val="Table"/>
              <w:rPr>
                <w:lang w:val="de-CH"/>
              </w:rPr>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Average distance per trip on foot</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Driving speed</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r>
      <w:tr w:rsidR="006366EA" w:rsidRPr="00336514" w:rsidTr="00496AC8">
        <w:tc>
          <w:tcPr>
            <w:tcW w:w="1985" w:type="dxa"/>
            <w:vMerge/>
            <w:tcBorders>
              <w:left w:val="single" w:sz="4" w:space="0" w:color="auto"/>
            </w:tcBorders>
            <w:shd w:val="clear" w:color="auto" w:fill="F2F2F2" w:themeFill="background1" w:themeFillShade="F2"/>
          </w:tcPr>
          <w:p w:rsidR="006366EA" w:rsidRPr="00623170" w:rsidRDefault="006366EA" w:rsidP="006366EA">
            <w:pPr>
              <w:pStyle w:val="Table"/>
            </w:pPr>
          </w:p>
        </w:tc>
        <w:tc>
          <w:tcPr>
            <w:tcW w:w="709" w:type="dxa"/>
            <w:vMerge/>
            <w:shd w:val="clear" w:color="auto" w:fill="F2F2F2" w:themeFill="background1" w:themeFillShade="F2"/>
          </w:tcPr>
          <w:p w:rsidR="006366EA" w:rsidRPr="00336514" w:rsidRDefault="006366EA" w:rsidP="006366EA">
            <w:pPr>
              <w:pStyle w:val="Table"/>
            </w:pPr>
          </w:p>
        </w:tc>
        <w:tc>
          <w:tcPr>
            <w:tcW w:w="6662" w:type="dxa"/>
            <w:tcBorders>
              <w:right w:val="single" w:sz="4" w:space="0" w:color="auto"/>
            </w:tcBorders>
            <w:shd w:val="clear" w:color="auto" w:fill="F2F2F2" w:themeFill="background1" w:themeFillShade="F2"/>
          </w:tcPr>
          <w:p w:rsidR="006366EA" w:rsidRPr="00336514" w:rsidRDefault="006366EA" w:rsidP="006366EA">
            <w:pPr>
              <w:pStyle w:val="Table"/>
            </w:pPr>
            <w:r w:rsidRPr="00336514">
              <w:t>Walking speed</w:t>
            </w:r>
          </w:p>
        </w:tc>
        <w:tc>
          <w:tcPr>
            <w:tcW w:w="363"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p>
        </w:tc>
        <w:tc>
          <w:tcPr>
            <w:tcW w:w="347"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77"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shd w:val="clear" w:color="auto" w:fill="F2F2F2" w:themeFill="background1" w:themeFillShade="F2"/>
          </w:tcPr>
          <w:p w:rsidR="006366EA" w:rsidRPr="00336514" w:rsidRDefault="006366EA" w:rsidP="006366EA">
            <w:pPr>
              <w:pStyle w:val="Table"/>
            </w:pPr>
          </w:p>
        </w:tc>
        <w:tc>
          <w:tcPr>
            <w:tcW w:w="362" w:type="dxa"/>
            <w:tcBorders>
              <w:left w:val="single" w:sz="4" w:space="0" w:color="auto"/>
            </w:tcBorders>
            <w:shd w:val="clear" w:color="auto" w:fill="F2F2F2" w:themeFill="background1" w:themeFillShade="F2"/>
          </w:tcPr>
          <w:p w:rsidR="006366EA" w:rsidRPr="00336514" w:rsidRDefault="006366EA" w:rsidP="006366EA">
            <w:pPr>
              <w:pStyle w:val="Table"/>
            </w:pPr>
          </w:p>
        </w:tc>
        <w:tc>
          <w:tcPr>
            <w:tcW w:w="362" w:type="dxa"/>
            <w:shd w:val="clear" w:color="auto" w:fill="F2F2F2" w:themeFill="background1" w:themeFillShade="F2"/>
          </w:tcPr>
          <w:p w:rsidR="006366EA" w:rsidRPr="00336514" w:rsidRDefault="006366EA" w:rsidP="006366EA">
            <w:pPr>
              <w:pStyle w:val="Table"/>
            </w:pPr>
            <w:r w:rsidRPr="00336514">
              <w:rPr>
                <w:lang w:val="en-GB"/>
              </w:rPr>
              <w:sym w:font="Wingdings" w:char="F0FC"/>
            </w:r>
          </w:p>
        </w:tc>
        <w:tc>
          <w:tcPr>
            <w:tcW w:w="383" w:type="dxa"/>
            <w:tcBorders>
              <w:right w:val="single" w:sz="4" w:space="0" w:color="auto"/>
            </w:tcBorders>
            <w:shd w:val="clear" w:color="auto" w:fill="F2F2F2" w:themeFill="background1" w:themeFillShade="F2"/>
          </w:tcPr>
          <w:p w:rsidR="006366EA" w:rsidRPr="00336514" w:rsidRDefault="006366EA" w:rsidP="006366EA">
            <w:pPr>
              <w:pStyle w:val="Table"/>
            </w:pPr>
            <w:r w:rsidRPr="00336514">
              <w:rPr>
                <w:lang w:val="en-GB"/>
              </w:rPr>
              <w:sym w:font="Wingdings" w:char="F0FC"/>
            </w:r>
          </w:p>
        </w:tc>
      </w:tr>
      <w:tr w:rsidR="006366EA" w:rsidRPr="00336514" w:rsidTr="00496AC8">
        <w:tc>
          <w:tcPr>
            <w:tcW w:w="1985" w:type="dxa"/>
            <w:vMerge w:val="restart"/>
            <w:tcBorders>
              <w:left w:val="single" w:sz="4" w:space="0" w:color="auto"/>
            </w:tcBorders>
          </w:tcPr>
          <w:p w:rsidR="006366EA" w:rsidRPr="00623170" w:rsidRDefault="006366EA" w:rsidP="006366EA">
            <w:pPr>
              <w:pStyle w:val="Table"/>
            </w:pPr>
            <w:r w:rsidRPr="00623170">
              <w:rPr>
                <w:lang w:val="de-CH"/>
              </w:rPr>
              <w:t xml:space="preserve">Sanchez et al. </w:t>
            </w:r>
            <w:r w:rsidRPr="00623170">
              <w:rPr>
                <w:lang w:val="de-CH"/>
              </w:rPr>
              <w:fldChar w:fldCharType="begin" w:fldLock="1"/>
            </w:r>
            <w:r w:rsidRPr="00623170">
              <w:instrText>ADDIN CSL_CITATION {"citationItems":[{"id":"ITEM-1","itemData":{"DOI":"10.3390/ijerph14070783","ISBN":"3493227736","ISSN":"16604601","PMID":"28708095","abstract":"Daily mobility, an important aspect of environmental exposures and health behavior, has mainly been investigated in high-income countries. We aimed to identify the main dimensions of mobility and investigate their individual, contextual, and external predictors among men and women living in a peri-urban area of South India. We used 192 global positioning system (GPS)-recorded mobility tracks from 47 participants (24 women, 23 men) from the Cardiovascular Health effects of Air pollution in Telangana, India (CHAI) project (mean: 4.1 days/person). The mean age was 44 (standard deviation: 14) years. Half of the population was illiterate and 55% was in unskilled manual employment, mostly agriculture-related. Sex was the largest determinant of mobility. During daytime, time spent at home averaged 13.4 (3.7) h for women and 9.4 (4.2) h for men. Women's activity spaces were smaller and more circular than men's. A principal component analysis identified three main mobility dimensions related to the size of the activity space, the mobility in/around the residence, and mobility inside the village, explaining 86% (women) and 61% (men) of the total variability in mobility. Age, socioeconomic status, and urbanicity were associated with all three dimensions. Our results have multiple potential applications for improved assessment of environmental exposures and their effects on health.","author":[{"dropping-particle":"","family":"Sanchez","given":"Margaux","non-dropping-particle":"","parse-names":false,"suffix":""},{"dropping-particle":"","family":"Ambros","given":"Albert","non-dropping-particle":"","parse-names":false,"suffix":""},{"dropping-particle":"","family":"Salmon","given":"Maëlle","non-dropping-particle":"","parse-names":false,"suffix":""},{"dropping-particle":"","family":"Bhogadi","given":"Santhi","non-dropping-particle":"","parse-names":false,"suffix":""},{"dropping-particle":"","family":"Wilson","given":"Robin T.","non-dropping-particle":"","parse-names":false,"suffix":""},{"dropping-particle":"","family":"Kinra","given":"Sanjay","non-dropping-particle":"","parse-names":false,"suffix":""},{"dropping-particle":"","family":"Marshall","given":"Julian D.","non-dropping-particle":"","parse-names":false,"suffix":""},{"dropping-particle":"","family":"Tonne","given":"Cathryn","non-dropping-particle":"","parse-names":false,"suffix":""}],"container-title":"International Journal of Environmental Research and Public Health","id":"ITEM-1","issue":"7","issued":{"date-parts":[["2017"]]},"page":"1-16","title":"Predictors of daily mobility of adults in peri-urban south India","type":"article-journal","volume":"14"},"uris":["http://www.mendeley.com/documents/?uuid=30ac8052-bb2c-4438-9858-da4f23b01719"]}],"mendeley":{"formattedCitation":"(20)","plainTextFormattedCitation":"(20)","previouslyFormattedCitation":"(20)"},"properties":{"noteIndex":0},"schema":"https://github.com/citation-style-language/schema/raw/master/csl-citation.json"}</w:instrText>
            </w:r>
            <w:r w:rsidRPr="00623170">
              <w:rPr>
                <w:lang w:val="de-CH"/>
              </w:rPr>
              <w:fldChar w:fldCharType="separate"/>
            </w:r>
            <w:r w:rsidRPr="00623170">
              <w:rPr>
                <w:noProof/>
              </w:rPr>
              <w:t>(20)</w:t>
            </w:r>
            <w:r w:rsidRPr="00623170">
              <w:rPr>
                <w:lang w:val="de-CH"/>
              </w:rPr>
              <w:fldChar w:fldCharType="end"/>
            </w:r>
          </w:p>
          <w:p w:rsidR="006366EA" w:rsidRPr="00623170" w:rsidRDefault="006366EA" w:rsidP="006366EA">
            <w:pPr>
              <w:pStyle w:val="Table"/>
            </w:pPr>
          </w:p>
        </w:tc>
        <w:tc>
          <w:tcPr>
            <w:tcW w:w="709" w:type="dxa"/>
            <w:vMerge w:val="restart"/>
          </w:tcPr>
          <w:p w:rsidR="006366EA" w:rsidRPr="00336514" w:rsidRDefault="006366EA" w:rsidP="006366EA">
            <w:pPr>
              <w:pStyle w:val="Table"/>
            </w:pPr>
            <w:r w:rsidRPr="00336514">
              <w:t>25</w:t>
            </w:r>
          </w:p>
        </w:tc>
        <w:tc>
          <w:tcPr>
            <w:tcW w:w="6662" w:type="dxa"/>
            <w:tcBorders>
              <w:right w:val="single" w:sz="4" w:space="0" w:color="auto"/>
            </w:tcBorders>
          </w:tcPr>
          <w:p w:rsidR="006366EA" w:rsidRPr="00336514" w:rsidRDefault="006366EA" w:rsidP="006366EA">
            <w:pPr>
              <w:pStyle w:val="Table"/>
            </w:pPr>
            <w:r w:rsidRPr="00336514">
              <w:t xml:space="preserve">Percentage time spent in 50/100/400/800/1600 m residential buffers </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rPr>
                <w:highlight w:val="yellow"/>
              </w:rPr>
            </w:pP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rPr>
                <w:highlight w:val="yellow"/>
              </w:rPr>
            </w:pPr>
            <w:r w:rsidRPr="00336514">
              <w:rPr>
                <w:lang w:val="en-GB"/>
              </w:rPr>
              <w:sym w:font="Wingdings" w:char="F0FC"/>
            </w:r>
          </w:p>
        </w:tc>
      </w:tr>
      <w:tr w:rsidR="006366EA" w:rsidRPr="00336514" w:rsidTr="00496AC8">
        <w:tc>
          <w:tcPr>
            <w:tcW w:w="1985" w:type="dxa"/>
            <w:vMerge/>
            <w:tcBorders>
              <w:left w:val="single" w:sz="4" w:space="0" w:color="auto"/>
            </w:tcBorders>
          </w:tcPr>
          <w:p w:rsidR="006366EA" w:rsidRPr="00336514"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Percentage time spent in village boundaries</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rPr>
                <w:highlight w:val="yellow"/>
              </w:rPr>
            </w:pP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rPr>
                <w:highlight w:val="yellow"/>
              </w:rPr>
            </w:pPr>
            <w:r w:rsidRPr="00336514">
              <w:rPr>
                <w:lang w:val="en-GB"/>
              </w:rPr>
              <w:sym w:font="Wingdings" w:char="F0FC"/>
            </w:r>
          </w:p>
        </w:tc>
      </w:tr>
      <w:tr w:rsidR="006366EA" w:rsidRPr="00336514" w:rsidTr="00496AC8">
        <w:tc>
          <w:tcPr>
            <w:tcW w:w="1985" w:type="dxa"/>
            <w:vMerge/>
            <w:tcBorders>
              <w:left w:val="single" w:sz="4" w:space="0" w:color="auto"/>
            </w:tcBorders>
          </w:tcPr>
          <w:p w:rsidR="006366EA" w:rsidRPr="00336514"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 xml:space="preserve">Percentage time spent at home </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336514"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Percentage time spent at OH locations</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336514"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Percentage time spent in trips</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336514"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Number OH locations</w:t>
            </w:r>
          </w:p>
        </w:tc>
        <w:tc>
          <w:tcPr>
            <w:tcW w:w="363"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336514"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 xml:space="preserve">Percentage of locations inside village boundaries </w:t>
            </w:r>
          </w:p>
        </w:tc>
        <w:tc>
          <w:tcPr>
            <w:tcW w:w="363"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rPr>
                <w:highlight w:val="yellow"/>
              </w:rPr>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r w:rsidRPr="00336514">
              <w:rPr>
                <w:lang w:val="en-GB"/>
              </w:rPr>
              <w:sym w:font="Wingdings" w:char="F0FC"/>
            </w:r>
          </w:p>
        </w:tc>
      </w:tr>
      <w:tr w:rsidR="006366EA" w:rsidRPr="00336514" w:rsidTr="00496AC8">
        <w:tc>
          <w:tcPr>
            <w:tcW w:w="1985" w:type="dxa"/>
            <w:vMerge/>
            <w:tcBorders>
              <w:left w:val="single" w:sz="4" w:space="0" w:color="auto"/>
            </w:tcBorders>
          </w:tcPr>
          <w:p w:rsidR="006366EA" w:rsidRPr="00336514"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 xml:space="preserve">Percentage of locations inside SD ellipse  </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tcPr>
          <w:p w:rsidR="006366EA" w:rsidRPr="00336514" w:rsidRDefault="006366EA" w:rsidP="006366EA">
            <w:pPr>
              <w:pStyle w:val="Table"/>
              <w:rPr>
                <w:highlight w:val="yellow"/>
                <w:lang w:val="en-GB"/>
              </w:rPr>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rPr>
                <w:lang w:val="en-GB"/>
              </w:rPr>
            </w:pPr>
            <w:r w:rsidRPr="00336514">
              <w:rPr>
                <w:lang w:val="en-GB"/>
              </w:rPr>
              <w:sym w:font="Wingdings" w:char="F0FC"/>
            </w: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rPr>
                <w:lang w:val="en-GB"/>
              </w:rPr>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rPr>
                <w:lang w:val="en-GB"/>
              </w:rPr>
            </w:pPr>
            <w:r w:rsidRPr="00336514">
              <w:rPr>
                <w:lang w:val="en-GB"/>
              </w:rPr>
              <w:sym w:font="Wingdings" w:char="F0FC"/>
            </w: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rPr>
                <w:lang w:val="en-GB"/>
              </w:rPr>
            </w:pPr>
          </w:p>
        </w:tc>
      </w:tr>
      <w:tr w:rsidR="006366EA" w:rsidRPr="00336514" w:rsidTr="00496AC8">
        <w:tc>
          <w:tcPr>
            <w:tcW w:w="1985" w:type="dxa"/>
            <w:vMerge/>
            <w:tcBorders>
              <w:left w:val="single" w:sz="4" w:space="0" w:color="auto"/>
            </w:tcBorders>
          </w:tcPr>
          <w:p w:rsidR="006366EA" w:rsidRPr="00336514"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Average distance from home to locations</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tcPr>
          <w:p w:rsidR="006366EA" w:rsidRPr="00336514" w:rsidRDefault="006366EA" w:rsidP="006366EA">
            <w:pPr>
              <w:pStyle w:val="Table"/>
              <w:rPr>
                <w:lang w:val="en-GB"/>
              </w:rPr>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336514"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t>Perimeter/</w:t>
            </w:r>
            <w:r w:rsidRPr="00336514">
              <w:t>surface of convex hull / SD ellipse</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tcPr>
          <w:p w:rsidR="006366EA" w:rsidRPr="00336514" w:rsidRDefault="006366EA" w:rsidP="006366EA">
            <w:pPr>
              <w:pStyle w:val="Table"/>
            </w:pP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336514"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 xml:space="preserve">Compactness </w:t>
            </w:r>
            <w:r>
              <w:t xml:space="preserve">of </w:t>
            </w:r>
            <w:r w:rsidRPr="00336514">
              <w:t>convex hull / SD ellipse</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c>
          <w:tcPr>
            <w:tcW w:w="1985" w:type="dxa"/>
            <w:vMerge/>
            <w:tcBorders>
              <w:left w:val="single" w:sz="4" w:space="0" w:color="auto"/>
            </w:tcBorders>
          </w:tcPr>
          <w:p w:rsidR="006366EA" w:rsidRPr="00336514" w:rsidRDefault="006366EA" w:rsidP="006366EA">
            <w:pPr>
              <w:pStyle w:val="Table"/>
            </w:pPr>
          </w:p>
        </w:tc>
        <w:tc>
          <w:tcPr>
            <w:tcW w:w="709" w:type="dxa"/>
            <w:vMerge/>
          </w:tcPr>
          <w:p w:rsidR="006366EA" w:rsidRPr="00336514" w:rsidRDefault="006366EA" w:rsidP="006366EA">
            <w:pPr>
              <w:pStyle w:val="Table"/>
            </w:pPr>
          </w:p>
        </w:tc>
        <w:tc>
          <w:tcPr>
            <w:tcW w:w="6662" w:type="dxa"/>
            <w:tcBorders>
              <w:right w:val="single" w:sz="4" w:space="0" w:color="auto"/>
            </w:tcBorders>
          </w:tcPr>
          <w:p w:rsidR="006366EA" w:rsidRPr="00336514" w:rsidRDefault="006366EA" w:rsidP="006366EA">
            <w:pPr>
              <w:pStyle w:val="Table"/>
            </w:pPr>
            <w:r w:rsidRPr="00336514">
              <w:t xml:space="preserve">Distance from home to centroid of convex hull / SD ellipse </w:t>
            </w:r>
          </w:p>
        </w:tc>
        <w:tc>
          <w:tcPr>
            <w:tcW w:w="363"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r w:rsidRPr="00336514">
              <w:rPr>
                <w:lang w:val="en-GB"/>
              </w:rPr>
              <w:sym w:font="Wingdings" w:char="F0FC"/>
            </w: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47" w:type="dxa"/>
            <w:tcBorders>
              <w:right w:val="single" w:sz="4" w:space="0" w:color="auto"/>
            </w:tcBorders>
          </w:tcPr>
          <w:p w:rsidR="006366EA" w:rsidRPr="00336514" w:rsidRDefault="006366EA" w:rsidP="006366EA">
            <w:pPr>
              <w:pStyle w:val="Table"/>
            </w:pPr>
          </w:p>
        </w:tc>
        <w:tc>
          <w:tcPr>
            <w:tcW w:w="377" w:type="dxa"/>
            <w:tcBorders>
              <w:left w:val="single" w:sz="4" w:space="0" w:color="auto"/>
            </w:tcBorders>
          </w:tcPr>
          <w:p w:rsidR="006366EA" w:rsidRPr="00336514" w:rsidRDefault="006366EA" w:rsidP="006366EA">
            <w:pPr>
              <w:pStyle w:val="Table"/>
            </w:pPr>
          </w:p>
        </w:tc>
        <w:tc>
          <w:tcPr>
            <w:tcW w:w="362" w:type="dxa"/>
          </w:tcPr>
          <w:p w:rsidR="006366EA" w:rsidRPr="00336514" w:rsidRDefault="006366EA" w:rsidP="006366EA">
            <w:pPr>
              <w:pStyle w:val="Table"/>
            </w:pPr>
          </w:p>
        </w:tc>
        <w:tc>
          <w:tcPr>
            <w:tcW w:w="362" w:type="dxa"/>
            <w:tcBorders>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tcBorders>
          </w:tcPr>
          <w:p w:rsidR="006366EA" w:rsidRPr="00336514" w:rsidRDefault="006366EA" w:rsidP="006366EA">
            <w:pPr>
              <w:pStyle w:val="Table"/>
            </w:pPr>
            <w:r w:rsidRPr="00336514">
              <w:rPr>
                <w:lang w:val="en-GB"/>
              </w:rPr>
              <w:sym w:font="Wingdings" w:char="F0FC"/>
            </w:r>
          </w:p>
        </w:tc>
        <w:tc>
          <w:tcPr>
            <w:tcW w:w="362" w:type="dxa"/>
          </w:tcPr>
          <w:p w:rsidR="006366EA" w:rsidRPr="00336514" w:rsidRDefault="006366EA" w:rsidP="006366EA">
            <w:pPr>
              <w:pStyle w:val="Table"/>
            </w:pPr>
          </w:p>
        </w:tc>
        <w:tc>
          <w:tcPr>
            <w:tcW w:w="383" w:type="dxa"/>
            <w:tcBorders>
              <w:right w:val="single" w:sz="4" w:space="0" w:color="auto"/>
            </w:tcBorders>
          </w:tcPr>
          <w:p w:rsidR="006366EA" w:rsidRPr="00336514" w:rsidRDefault="006366EA" w:rsidP="006366EA">
            <w:pPr>
              <w:pStyle w:val="Table"/>
            </w:pPr>
          </w:p>
        </w:tc>
      </w:tr>
      <w:tr w:rsidR="006366EA" w:rsidRPr="00336514" w:rsidTr="00496AC8">
        <w:trPr>
          <w:trHeight w:val="402"/>
        </w:trPr>
        <w:tc>
          <w:tcPr>
            <w:tcW w:w="1985" w:type="dxa"/>
            <w:vMerge/>
            <w:tcBorders>
              <w:left w:val="single" w:sz="4" w:space="0" w:color="auto"/>
              <w:bottom w:val="single" w:sz="4" w:space="0" w:color="auto"/>
            </w:tcBorders>
          </w:tcPr>
          <w:p w:rsidR="006366EA" w:rsidRPr="00336514" w:rsidRDefault="006366EA" w:rsidP="006366EA">
            <w:pPr>
              <w:pStyle w:val="Table"/>
            </w:pPr>
          </w:p>
        </w:tc>
        <w:tc>
          <w:tcPr>
            <w:tcW w:w="709" w:type="dxa"/>
            <w:vMerge/>
            <w:tcBorders>
              <w:bottom w:val="single" w:sz="4" w:space="0" w:color="auto"/>
            </w:tcBorders>
          </w:tcPr>
          <w:p w:rsidR="006366EA" w:rsidRPr="00336514" w:rsidRDefault="006366EA" w:rsidP="006366EA">
            <w:pPr>
              <w:pStyle w:val="Table"/>
            </w:pPr>
          </w:p>
        </w:tc>
        <w:tc>
          <w:tcPr>
            <w:tcW w:w="6662" w:type="dxa"/>
            <w:tcBorders>
              <w:bottom w:val="single" w:sz="4" w:space="0" w:color="auto"/>
              <w:right w:val="single" w:sz="4" w:space="0" w:color="auto"/>
            </w:tcBorders>
          </w:tcPr>
          <w:p w:rsidR="006366EA" w:rsidRPr="00336514" w:rsidRDefault="006366EA" w:rsidP="006366EA">
            <w:pPr>
              <w:pStyle w:val="Table"/>
            </w:pPr>
            <w:r>
              <w:t>Mean/</w:t>
            </w:r>
            <w:r w:rsidRPr="00336514">
              <w:t>median distance from home</w:t>
            </w:r>
          </w:p>
        </w:tc>
        <w:tc>
          <w:tcPr>
            <w:tcW w:w="363" w:type="dxa"/>
            <w:tcBorders>
              <w:left w:val="single" w:sz="4" w:space="0" w:color="auto"/>
              <w:bottom w:val="single" w:sz="4" w:space="0" w:color="auto"/>
            </w:tcBorders>
          </w:tcPr>
          <w:p w:rsidR="006366EA" w:rsidRPr="00336514" w:rsidRDefault="006366EA" w:rsidP="006366EA">
            <w:pPr>
              <w:pStyle w:val="Table"/>
            </w:pPr>
          </w:p>
        </w:tc>
        <w:tc>
          <w:tcPr>
            <w:tcW w:w="362" w:type="dxa"/>
            <w:tcBorders>
              <w:bottom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bottom w:val="single" w:sz="4" w:space="0" w:color="auto"/>
              <w:right w:val="single" w:sz="4" w:space="0" w:color="auto"/>
            </w:tcBorders>
          </w:tcPr>
          <w:p w:rsidR="006366EA" w:rsidRPr="00336514" w:rsidRDefault="006366EA" w:rsidP="006366EA">
            <w:pPr>
              <w:pStyle w:val="Table"/>
            </w:pPr>
          </w:p>
        </w:tc>
        <w:tc>
          <w:tcPr>
            <w:tcW w:w="362" w:type="dxa"/>
            <w:tcBorders>
              <w:left w:val="single" w:sz="4" w:space="0" w:color="auto"/>
              <w:bottom w:val="single" w:sz="4" w:space="0" w:color="auto"/>
            </w:tcBorders>
          </w:tcPr>
          <w:p w:rsidR="006366EA" w:rsidRPr="00336514" w:rsidRDefault="006366EA" w:rsidP="006366EA">
            <w:pPr>
              <w:pStyle w:val="Table"/>
            </w:pPr>
          </w:p>
        </w:tc>
        <w:tc>
          <w:tcPr>
            <w:tcW w:w="362" w:type="dxa"/>
            <w:tcBorders>
              <w:bottom w:val="single" w:sz="4" w:space="0" w:color="auto"/>
            </w:tcBorders>
          </w:tcPr>
          <w:p w:rsidR="006366EA" w:rsidRPr="00336514" w:rsidRDefault="006366EA" w:rsidP="006366EA">
            <w:pPr>
              <w:pStyle w:val="Table"/>
            </w:pPr>
          </w:p>
        </w:tc>
        <w:tc>
          <w:tcPr>
            <w:tcW w:w="347" w:type="dxa"/>
            <w:tcBorders>
              <w:bottom w:val="single" w:sz="4" w:space="0" w:color="auto"/>
              <w:right w:val="single" w:sz="4" w:space="0" w:color="auto"/>
            </w:tcBorders>
          </w:tcPr>
          <w:p w:rsidR="006366EA" w:rsidRPr="00336514" w:rsidRDefault="006366EA" w:rsidP="006366EA">
            <w:pPr>
              <w:pStyle w:val="Table"/>
            </w:pPr>
          </w:p>
        </w:tc>
        <w:tc>
          <w:tcPr>
            <w:tcW w:w="377" w:type="dxa"/>
            <w:tcBorders>
              <w:left w:val="single" w:sz="4" w:space="0" w:color="auto"/>
              <w:bottom w:val="single" w:sz="4" w:space="0" w:color="auto"/>
            </w:tcBorders>
          </w:tcPr>
          <w:p w:rsidR="006366EA" w:rsidRPr="00336514" w:rsidRDefault="006366EA" w:rsidP="006366EA">
            <w:pPr>
              <w:pStyle w:val="Table"/>
            </w:pPr>
          </w:p>
        </w:tc>
        <w:tc>
          <w:tcPr>
            <w:tcW w:w="362" w:type="dxa"/>
            <w:tcBorders>
              <w:bottom w:val="single" w:sz="4" w:space="0" w:color="auto"/>
            </w:tcBorders>
          </w:tcPr>
          <w:p w:rsidR="006366EA" w:rsidRPr="00336514" w:rsidRDefault="006366EA" w:rsidP="006366EA">
            <w:pPr>
              <w:pStyle w:val="Table"/>
            </w:pPr>
          </w:p>
        </w:tc>
        <w:tc>
          <w:tcPr>
            <w:tcW w:w="362" w:type="dxa"/>
            <w:tcBorders>
              <w:bottom w:val="single" w:sz="4" w:space="0" w:color="auto"/>
              <w:right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left w:val="single" w:sz="4" w:space="0" w:color="auto"/>
              <w:bottom w:val="single" w:sz="4" w:space="0" w:color="auto"/>
            </w:tcBorders>
          </w:tcPr>
          <w:p w:rsidR="006366EA" w:rsidRPr="00336514" w:rsidRDefault="006366EA" w:rsidP="006366EA">
            <w:pPr>
              <w:pStyle w:val="Table"/>
            </w:pPr>
            <w:r w:rsidRPr="00336514">
              <w:rPr>
                <w:lang w:val="en-GB"/>
              </w:rPr>
              <w:sym w:font="Wingdings" w:char="F0FC"/>
            </w:r>
          </w:p>
        </w:tc>
        <w:tc>
          <w:tcPr>
            <w:tcW w:w="362" w:type="dxa"/>
            <w:tcBorders>
              <w:bottom w:val="single" w:sz="4" w:space="0" w:color="auto"/>
            </w:tcBorders>
          </w:tcPr>
          <w:p w:rsidR="006366EA" w:rsidRPr="00336514" w:rsidRDefault="006366EA" w:rsidP="006366EA">
            <w:pPr>
              <w:pStyle w:val="Table"/>
            </w:pPr>
          </w:p>
        </w:tc>
        <w:tc>
          <w:tcPr>
            <w:tcW w:w="383" w:type="dxa"/>
            <w:tcBorders>
              <w:bottom w:val="single" w:sz="4" w:space="0" w:color="auto"/>
              <w:right w:val="single" w:sz="4" w:space="0" w:color="auto"/>
            </w:tcBorders>
          </w:tcPr>
          <w:p w:rsidR="006366EA" w:rsidRPr="00336514" w:rsidRDefault="006366EA" w:rsidP="006366EA">
            <w:pPr>
              <w:pStyle w:val="Table"/>
            </w:pPr>
          </w:p>
        </w:tc>
      </w:tr>
    </w:tbl>
    <w:p w:rsidR="00A019F1" w:rsidRPr="00336514" w:rsidRDefault="00A019F1" w:rsidP="00A019F1">
      <w:pPr>
        <w:pStyle w:val="Note"/>
      </w:pPr>
      <w:r w:rsidRPr="00336514">
        <w:t xml:space="preserve">Note. </w:t>
      </w:r>
      <w:r w:rsidR="007F3EEB">
        <w:t>‘</w:t>
      </w:r>
      <w:r w:rsidR="00FD3EE3">
        <w:t>Mvt. sc.</w:t>
      </w:r>
      <w:r w:rsidR="007F3EEB">
        <w:t>’</w:t>
      </w:r>
      <w:r w:rsidR="00FD3EE3">
        <w:t xml:space="preserve"> is </w:t>
      </w:r>
      <w:r w:rsidR="007F3EEB">
        <w:t>abbreviated</w:t>
      </w:r>
      <w:r w:rsidR="00FD3EE3">
        <w:t xml:space="preserve"> for </w:t>
      </w:r>
      <w:r w:rsidR="007F3EEB">
        <w:t>‘</w:t>
      </w:r>
      <w:r w:rsidR="00FD3EE3">
        <w:t>Movement scope</w:t>
      </w:r>
      <w:r w:rsidR="007F3EEB">
        <w:t>’</w:t>
      </w:r>
      <w:r w:rsidR="00FD3EE3">
        <w:t xml:space="preserve">. </w:t>
      </w:r>
      <w:r w:rsidR="00BA182C">
        <w:t xml:space="preserve">‘#’ refers to the number of GPS-based mobility indicators used in the study. </w:t>
      </w:r>
      <w:r w:rsidRPr="00336514">
        <w:t xml:space="preserve">Multiple studies published by the same </w:t>
      </w:r>
      <w:r w:rsidR="00800C45" w:rsidRPr="00336514">
        <w:t xml:space="preserve">first author </w:t>
      </w:r>
      <w:r w:rsidRPr="00336514">
        <w:t xml:space="preserve">involving </w:t>
      </w:r>
      <w:r w:rsidR="00800C45" w:rsidRPr="00336514">
        <w:t xml:space="preserve">a </w:t>
      </w:r>
      <w:r w:rsidRPr="00336514">
        <w:t>similar</w:t>
      </w:r>
      <w:r w:rsidR="00800C45" w:rsidRPr="00336514">
        <w:t xml:space="preserve"> set of</w:t>
      </w:r>
      <w:r w:rsidRPr="00336514">
        <w:t xml:space="preserve"> mobility indicators are counted as one study. The underlined </w:t>
      </w:r>
      <w:r w:rsidR="00800C45" w:rsidRPr="00336514">
        <w:t>reference</w:t>
      </w:r>
      <w:r w:rsidRPr="00336514">
        <w:t xml:space="preserve"> is the one we used for the other tables building on this one (</w:t>
      </w:r>
      <w:r w:rsidR="00EA150F">
        <w:t>i.e</w:t>
      </w:r>
      <w:r w:rsidR="008002DF">
        <w:t>.,</w:t>
      </w:r>
      <w:r w:rsidR="00EA150F">
        <w:t xml:space="preserve"> </w:t>
      </w:r>
      <w:r w:rsidRPr="00336514">
        <w:t>Table 1 and Table 2</w:t>
      </w:r>
      <w:r w:rsidR="00800C45" w:rsidRPr="00336514">
        <w:t xml:space="preserve"> in the </w:t>
      </w:r>
      <w:r w:rsidR="00EA150F">
        <w:t>main paper</w:t>
      </w:r>
      <w:r w:rsidRPr="00336514">
        <w:t xml:space="preserve">). The studies are ordered </w:t>
      </w:r>
      <w:r w:rsidR="00EA150F">
        <w:t>by increasing</w:t>
      </w:r>
      <w:r w:rsidRPr="00336514">
        <w:t xml:space="preserve"> number of included GPS-based mobility indicators.</w:t>
      </w:r>
    </w:p>
    <w:p w:rsidR="00A019F1" w:rsidRPr="00336514" w:rsidRDefault="00A019F1" w:rsidP="00A019F1">
      <w:pPr>
        <w:rPr>
          <w:rFonts w:asciiTheme="majorHAnsi" w:hAnsiTheme="majorHAnsi"/>
        </w:rPr>
      </w:pPr>
    </w:p>
    <w:p w:rsidR="00A019F1" w:rsidRPr="00336514" w:rsidRDefault="00A019F1" w:rsidP="00A019F1">
      <w:pPr>
        <w:rPr>
          <w:rFonts w:asciiTheme="majorHAnsi" w:hAnsiTheme="majorHAnsi"/>
        </w:rPr>
        <w:sectPr w:rsidR="00A019F1" w:rsidRPr="00336514" w:rsidSect="00C60152">
          <w:footerReference w:type="default" r:id="rId8"/>
          <w:pgSz w:w="15840" w:h="12240" w:orient="landscape"/>
          <w:pgMar w:top="1417" w:right="1417" w:bottom="1417" w:left="1134" w:header="708" w:footer="708" w:gutter="0"/>
          <w:cols w:space="708"/>
          <w:docGrid w:linePitch="360"/>
        </w:sectPr>
      </w:pPr>
    </w:p>
    <w:p w:rsidR="00A019F1" w:rsidRPr="00336514" w:rsidRDefault="00F013E8" w:rsidP="00F013E8">
      <w:pPr>
        <w:pStyle w:val="Heading1"/>
      </w:pPr>
      <w:r>
        <w:lastRenderedPageBreak/>
        <w:t xml:space="preserve">Optimal number of factors </w:t>
      </w:r>
      <w:r w:rsidR="00E6327F">
        <w:t xml:space="preserve">for exploratory factor analyses across all </w:t>
      </w:r>
      <w:r w:rsidR="00E81786">
        <w:t>runs</w:t>
      </w:r>
    </w:p>
    <w:p w:rsidR="00A019F1" w:rsidRPr="00336514" w:rsidRDefault="00A019F1" w:rsidP="00A019F1">
      <w:pPr>
        <w:keepNext/>
        <w:rPr>
          <w:rFonts w:asciiTheme="majorHAnsi" w:hAnsiTheme="majorHAnsi"/>
        </w:rPr>
      </w:pPr>
      <w:r w:rsidRPr="00336514">
        <w:rPr>
          <w:rFonts w:asciiTheme="majorHAnsi" w:hAnsiTheme="majorHAnsi"/>
          <w:noProof/>
        </w:rPr>
        <w:drawing>
          <wp:inline distT="0" distB="0" distL="0" distR="0">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019F1" w:rsidRPr="00336514" w:rsidRDefault="00A019F1" w:rsidP="00A019F1">
      <w:pPr>
        <w:pStyle w:val="Caption"/>
        <w:rPr>
          <w:rFonts w:asciiTheme="majorHAnsi" w:hAnsiTheme="majorHAnsi"/>
        </w:rPr>
      </w:pPr>
      <w:bookmarkStart w:id="4" w:name="_Ref355542"/>
      <w:r w:rsidRPr="00336514">
        <w:rPr>
          <w:rFonts w:asciiTheme="majorHAnsi" w:hAnsiTheme="majorHAnsi"/>
        </w:rPr>
        <w:t xml:space="preserve">Figure </w:t>
      </w:r>
      <w:r w:rsidR="008C4987">
        <w:rPr>
          <w:rFonts w:asciiTheme="majorHAnsi" w:hAnsiTheme="majorHAnsi"/>
        </w:rPr>
        <w:t>S</w:t>
      </w:r>
      <w:r w:rsidR="00AD0F13" w:rsidRPr="00336514">
        <w:rPr>
          <w:rFonts w:asciiTheme="majorHAnsi" w:hAnsiTheme="majorHAnsi"/>
          <w:noProof/>
        </w:rPr>
        <w:fldChar w:fldCharType="begin"/>
      </w:r>
      <w:r w:rsidRPr="00336514">
        <w:rPr>
          <w:rFonts w:asciiTheme="majorHAnsi" w:hAnsiTheme="majorHAnsi"/>
          <w:noProof/>
        </w:rPr>
        <w:instrText xml:space="preserve"> SEQ Figure \* ARABIC </w:instrText>
      </w:r>
      <w:r w:rsidR="00AD0F13" w:rsidRPr="00336514">
        <w:rPr>
          <w:rFonts w:asciiTheme="majorHAnsi" w:hAnsiTheme="majorHAnsi"/>
          <w:noProof/>
        </w:rPr>
        <w:fldChar w:fldCharType="separate"/>
      </w:r>
      <w:r w:rsidR="00706D14">
        <w:rPr>
          <w:rFonts w:asciiTheme="majorHAnsi" w:hAnsiTheme="majorHAnsi"/>
          <w:noProof/>
        </w:rPr>
        <w:t>1</w:t>
      </w:r>
      <w:r w:rsidR="00AD0F13" w:rsidRPr="00336514">
        <w:rPr>
          <w:rFonts w:asciiTheme="majorHAnsi" w:hAnsiTheme="majorHAnsi"/>
          <w:noProof/>
        </w:rPr>
        <w:fldChar w:fldCharType="end"/>
      </w:r>
      <w:bookmarkEnd w:id="4"/>
      <w:r w:rsidRPr="00336514">
        <w:rPr>
          <w:rFonts w:asciiTheme="majorHAnsi" w:hAnsiTheme="majorHAnsi"/>
        </w:rPr>
        <w:t xml:space="preserve">: Optimal number of factors according to the </w:t>
      </w:r>
      <w:r w:rsidR="00E6327F">
        <w:rPr>
          <w:rFonts w:asciiTheme="majorHAnsi" w:hAnsiTheme="majorHAnsi"/>
        </w:rPr>
        <w:t>4 statistical</w:t>
      </w:r>
      <w:r w:rsidRPr="00336514">
        <w:rPr>
          <w:rFonts w:asciiTheme="majorHAnsi" w:hAnsiTheme="majorHAnsi"/>
        </w:rPr>
        <w:t xml:space="preserve"> tests (Kaiser Rule, Parallel Analysis, Optimal Coordinates,</w:t>
      </w:r>
      <w:r w:rsidR="00E6327F">
        <w:rPr>
          <w:rFonts w:asciiTheme="majorHAnsi" w:hAnsiTheme="majorHAnsi"/>
        </w:rPr>
        <w:t xml:space="preserve"> Acceleration Factor) across the 10 </w:t>
      </w:r>
      <w:r w:rsidR="00E81786">
        <w:rPr>
          <w:rFonts w:asciiTheme="majorHAnsi" w:hAnsiTheme="majorHAnsi"/>
        </w:rPr>
        <w:t xml:space="preserve">runs </w:t>
      </w:r>
      <w:r w:rsidR="00E6327F">
        <w:rPr>
          <w:rFonts w:asciiTheme="majorHAnsi" w:hAnsiTheme="majorHAnsi"/>
        </w:rPr>
        <w:t>of all</w:t>
      </w:r>
      <w:r w:rsidRPr="00336514">
        <w:rPr>
          <w:rFonts w:asciiTheme="majorHAnsi" w:hAnsiTheme="majorHAnsi"/>
        </w:rPr>
        <w:t xml:space="preserve"> the 5 input data conditions, add</w:t>
      </w:r>
      <w:r w:rsidR="009A4CF5">
        <w:rPr>
          <w:rFonts w:asciiTheme="majorHAnsi" w:hAnsiTheme="majorHAnsi"/>
        </w:rPr>
        <w:t>ing</w:t>
      </w:r>
      <w:r w:rsidRPr="00336514">
        <w:rPr>
          <w:rFonts w:asciiTheme="majorHAnsi" w:hAnsiTheme="majorHAnsi"/>
        </w:rPr>
        <w:t xml:space="preserve"> up to 2000 suggested factor number solutions.</w:t>
      </w:r>
    </w:p>
    <w:p w:rsidR="00E6327F" w:rsidRDefault="00E6327F">
      <w:pPr>
        <w:spacing w:line="259" w:lineRule="auto"/>
        <w:rPr>
          <w:rFonts w:asciiTheme="majorHAnsi" w:hAnsiTheme="majorHAnsi"/>
        </w:rPr>
      </w:pPr>
      <w:r>
        <w:rPr>
          <w:rFonts w:asciiTheme="majorHAnsi" w:hAnsiTheme="majorHAnsi"/>
        </w:rPr>
        <w:br w:type="page"/>
      </w:r>
    </w:p>
    <w:p w:rsidR="00A019F1" w:rsidRPr="00336514" w:rsidRDefault="00E6327F" w:rsidP="00E6327F">
      <w:pPr>
        <w:pStyle w:val="Heading1"/>
      </w:pPr>
      <w:r>
        <w:lastRenderedPageBreak/>
        <w:t xml:space="preserve">Summary matrices for exploratory factor analyses for different inclusion criteria </w:t>
      </w:r>
    </w:p>
    <w:p w:rsidR="00A019F1" w:rsidRPr="00336514" w:rsidRDefault="003A45A5" w:rsidP="00A019F1">
      <w:pPr>
        <w:keepNext/>
        <w:rPr>
          <w:rFonts w:asciiTheme="majorHAnsi" w:hAnsiTheme="majorHAnsi"/>
        </w:rPr>
      </w:pPr>
      <w:r>
        <w:rPr>
          <w:rFonts w:asciiTheme="majorHAnsi" w:hAnsiTheme="majorHAns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4pt;height:350.4pt">
            <v:imagedata r:id="rId10" o:title="pairMatrix_20190618_v12_var20_thre0" croptop="4554f" cropleft="5325f" cropright="3422f"/>
          </v:shape>
        </w:pict>
      </w:r>
    </w:p>
    <w:p w:rsidR="00A019F1" w:rsidRPr="00336514" w:rsidRDefault="00A019F1" w:rsidP="00A019F1">
      <w:pPr>
        <w:pStyle w:val="Caption"/>
        <w:rPr>
          <w:rFonts w:asciiTheme="majorHAnsi" w:hAnsiTheme="majorHAnsi"/>
        </w:rPr>
      </w:pPr>
      <w:bookmarkStart w:id="5" w:name="_Ref1747026"/>
      <w:r w:rsidRPr="00336514">
        <w:rPr>
          <w:rFonts w:asciiTheme="majorHAnsi" w:hAnsiTheme="majorHAnsi"/>
        </w:rPr>
        <w:t xml:space="preserve">Figure </w:t>
      </w:r>
      <w:r w:rsidR="008C4987">
        <w:rPr>
          <w:rFonts w:asciiTheme="majorHAnsi" w:hAnsiTheme="majorHAnsi"/>
        </w:rPr>
        <w:t>S</w:t>
      </w:r>
      <w:r w:rsidR="00AD0F13" w:rsidRPr="00336514">
        <w:rPr>
          <w:rFonts w:asciiTheme="majorHAnsi" w:hAnsiTheme="majorHAnsi"/>
          <w:noProof/>
        </w:rPr>
        <w:fldChar w:fldCharType="begin"/>
      </w:r>
      <w:r w:rsidRPr="00336514">
        <w:rPr>
          <w:rFonts w:asciiTheme="majorHAnsi" w:hAnsiTheme="majorHAnsi"/>
          <w:noProof/>
        </w:rPr>
        <w:instrText xml:space="preserve"> SEQ Figure \* ARABIC </w:instrText>
      </w:r>
      <w:r w:rsidR="00AD0F13" w:rsidRPr="00336514">
        <w:rPr>
          <w:rFonts w:asciiTheme="majorHAnsi" w:hAnsiTheme="majorHAnsi"/>
          <w:noProof/>
        </w:rPr>
        <w:fldChar w:fldCharType="separate"/>
      </w:r>
      <w:r w:rsidR="00706D14">
        <w:rPr>
          <w:rFonts w:asciiTheme="majorHAnsi" w:hAnsiTheme="majorHAnsi"/>
          <w:noProof/>
        </w:rPr>
        <w:t>2</w:t>
      </w:r>
      <w:r w:rsidR="00AD0F13" w:rsidRPr="00336514">
        <w:rPr>
          <w:rFonts w:asciiTheme="majorHAnsi" w:hAnsiTheme="majorHAnsi"/>
          <w:noProof/>
        </w:rPr>
        <w:fldChar w:fldCharType="end"/>
      </w:r>
      <w:bookmarkEnd w:id="5"/>
      <w:r w:rsidRPr="00336514">
        <w:rPr>
          <w:rFonts w:asciiTheme="majorHAnsi" w:hAnsiTheme="majorHAnsi"/>
        </w:rPr>
        <w:t>:</w:t>
      </w:r>
      <w:r w:rsidR="00E759CC">
        <w:rPr>
          <w:rFonts w:asciiTheme="majorHAnsi" w:hAnsiTheme="majorHAnsi"/>
        </w:rPr>
        <w:t xml:space="preserve"> Exploratory factor analysis</w:t>
      </w:r>
      <w:r w:rsidRPr="00336514">
        <w:rPr>
          <w:rFonts w:asciiTheme="majorHAnsi" w:hAnsiTheme="majorHAnsi"/>
        </w:rPr>
        <w:t xml:space="preserve"> </w:t>
      </w:r>
      <w:r w:rsidR="00E759CC">
        <w:rPr>
          <w:rFonts w:asciiTheme="majorHAnsi" w:hAnsiTheme="majorHAnsi"/>
        </w:rPr>
        <w:t>(</w:t>
      </w:r>
      <w:r w:rsidRPr="00336514">
        <w:rPr>
          <w:rFonts w:asciiTheme="majorHAnsi" w:hAnsiTheme="majorHAnsi"/>
        </w:rPr>
        <w:t>EFA</w:t>
      </w:r>
      <w:r w:rsidR="00E759CC">
        <w:rPr>
          <w:rFonts w:asciiTheme="majorHAnsi" w:hAnsiTheme="majorHAnsi"/>
        </w:rPr>
        <w:t>)</w:t>
      </w:r>
      <w:r w:rsidRPr="00336514">
        <w:rPr>
          <w:rFonts w:asciiTheme="majorHAnsi" w:hAnsiTheme="majorHAnsi"/>
        </w:rPr>
        <w:t xml:space="preserve"> summary matrix for the 10 </w:t>
      </w:r>
      <w:r w:rsidR="00E81786">
        <w:rPr>
          <w:rFonts w:asciiTheme="majorHAnsi" w:hAnsiTheme="majorHAnsi"/>
        </w:rPr>
        <w:t>runs</w:t>
      </w:r>
      <w:r w:rsidR="00E81786" w:rsidRPr="00336514">
        <w:rPr>
          <w:rFonts w:asciiTheme="majorHAnsi" w:hAnsiTheme="majorHAnsi"/>
        </w:rPr>
        <w:t xml:space="preserve"> </w:t>
      </w:r>
      <w:r w:rsidRPr="00336514">
        <w:rPr>
          <w:rFonts w:asciiTheme="majorHAnsi" w:hAnsiTheme="majorHAnsi"/>
        </w:rPr>
        <w:t>of random day selecti</w:t>
      </w:r>
      <w:r w:rsidR="00E759CC">
        <w:rPr>
          <w:rFonts w:asciiTheme="majorHAnsi" w:hAnsiTheme="majorHAnsi"/>
        </w:rPr>
        <w:t>on</w:t>
      </w:r>
      <w:r w:rsidR="009A4CF5">
        <w:rPr>
          <w:rFonts w:asciiTheme="majorHAnsi" w:hAnsiTheme="majorHAnsi"/>
        </w:rPr>
        <w:t>,</w:t>
      </w:r>
      <w:r w:rsidR="00E759CC">
        <w:rPr>
          <w:rFonts w:asciiTheme="majorHAnsi" w:hAnsiTheme="majorHAnsi"/>
        </w:rPr>
        <w:t xml:space="preserve"> with the inclusion criteria 3 days of at least 8 hours per participant</w:t>
      </w:r>
      <w:r w:rsidRPr="00336514">
        <w:rPr>
          <w:rFonts w:asciiTheme="majorHAnsi" w:hAnsiTheme="majorHAnsi"/>
        </w:rPr>
        <w:t>.</w:t>
      </w:r>
    </w:p>
    <w:p w:rsidR="00A019F1" w:rsidRPr="00336514" w:rsidRDefault="00A019F1" w:rsidP="00A019F1">
      <w:pPr>
        <w:rPr>
          <w:rFonts w:asciiTheme="majorHAnsi" w:hAnsiTheme="majorHAnsi"/>
        </w:rPr>
      </w:pPr>
    </w:p>
    <w:p w:rsidR="00A019F1" w:rsidRPr="00336514" w:rsidRDefault="00A019F1" w:rsidP="00A019F1">
      <w:pPr>
        <w:rPr>
          <w:rFonts w:asciiTheme="majorHAnsi" w:hAnsiTheme="majorHAnsi"/>
        </w:rPr>
      </w:pPr>
    </w:p>
    <w:p w:rsidR="00A019F1" w:rsidRPr="00336514" w:rsidRDefault="00A019F1" w:rsidP="00A019F1">
      <w:pPr>
        <w:rPr>
          <w:rFonts w:asciiTheme="majorHAnsi" w:hAnsiTheme="majorHAnsi"/>
        </w:rPr>
      </w:pPr>
    </w:p>
    <w:p w:rsidR="00A019F1" w:rsidRPr="00336514" w:rsidRDefault="006A5D09" w:rsidP="00A019F1">
      <w:pPr>
        <w:keepNext/>
        <w:rPr>
          <w:rFonts w:asciiTheme="majorHAnsi" w:hAnsiTheme="majorHAnsi"/>
        </w:rPr>
      </w:pPr>
      <w:r w:rsidRPr="006A5D09">
        <w:rPr>
          <w:rFonts w:asciiTheme="majorHAnsi" w:hAnsiTheme="majorHAnsi"/>
          <w:noProof/>
        </w:rPr>
        <w:lastRenderedPageBreak/>
        <w:drawing>
          <wp:inline distT="0" distB="0" distL="0" distR="0">
            <wp:extent cx="5491971" cy="4439920"/>
            <wp:effectExtent l="0" t="0" r="0" b="0"/>
            <wp:docPr id="3" name="Picture 3" descr="C:\Users\mfilleke\Dropbox\Mobility Framework\Paper Revisions\visualisations adapted\pairMatrix_20190618_v12_var20_thre0.4_4days_8hours_lessSkew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illeke\Dropbox\Mobility Framework\Paper Revisions\visualisations adapted\pairMatrix_20190618_v12_var20_thre0.4_4days_8hours_lessSkewed.png"/>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5492699" cy="4440509"/>
                    </a:xfrm>
                    <a:prstGeom prst="rect">
                      <a:avLst/>
                    </a:prstGeom>
                    <a:noFill/>
                    <a:ln>
                      <a:noFill/>
                    </a:ln>
                    <a:extLst>
                      <a:ext uri="{53640926-AAD7-44D8-BBD7-CCE9431645EC}">
                        <a14:shadowObscured xmlns:a14="http://schemas.microsoft.com/office/drawing/2010/main"/>
                      </a:ext>
                    </a:extLst>
                  </pic:spPr>
                </pic:pic>
              </a:graphicData>
            </a:graphic>
          </wp:inline>
        </w:drawing>
      </w:r>
    </w:p>
    <w:p w:rsidR="00A019F1" w:rsidRPr="00336514" w:rsidRDefault="008C4987" w:rsidP="00A019F1">
      <w:pPr>
        <w:pStyle w:val="Caption"/>
        <w:rPr>
          <w:rFonts w:asciiTheme="majorHAnsi" w:hAnsiTheme="majorHAnsi"/>
        </w:rPr>
      </w:pPr>
      <w:r w:rsidRPr="00336514">
        <w:rPr>
          <w:rFonts w:asciiTheme="majorHAnsi" w:hAnsiTheme="majorHAnsi"/>
        </w:rPr>
        <w:t xml:space="preserve">Figure </w:t>
      </w:r>
      <w:r>
        <w:rPr>
          <w:rFonts w:asciiTheme="majorHAnsi" w:hAnsiTheme="majorHAnsi"/>
        </w:rPr>
        <w:t>S</w:t>
      </w:r>
      <w:r w:rsidR="00AD0F13" w:rsidRPr="00336514">
        <w:rPr>
          <w:rFonts w:asciiTheme="majorHAnsi" w:hAnsiTheme="majorHAnsi"/>
          <w:noProof/>
        </w:rPr>
        <w:fldChar w:fldCharType="begin"/>
      </w:r>
      <w:r w:rsidR="00A019F1" w:rsidRPr="00336514">
        <w:rPr>
          <w:rFonts w:asciiTheme="majorHAnsi" w:hAnsiTheme="majorHAnsi"/>
          <w:noProof/>
        </w:rPr>
        <w:instrText xml:space="preserve"> SEQ Figure \* ARABIC </w:instrText>
      </w:r>
      <w:r w:rsidR="00AD0F13" w:rsidRPr="00336514">
        <w:rPr>
          <w:rFonts w:asciiTheme="majorHAnsi" w:hAnsiTheme="majorHAnsi"/>
          <w:noProof/>
        </w:rPr>
        <w:fldChar w:fldCharType="separate"/>
      </w:r>
      <w:r w:rsidR="00706D14">
        <w:rPr>
          <w:rFonts w:asciiTheme="majorHAnsi" w:hAnsiTheme="majorHAnsi"/>
          <w:noProof/>
        </w:rPr>
        <w:t>3</w:t>
      </w:r>
      <w:r w:rsidR="00AD0F13" w:rsidRPr="00336514">
        <w:rPr>
          <w:rFonts w:asciiTheme="majorHAnsi" w:hAnsiTheme="majorHAnsi"/>
          <w:noProof/>
        </w:rPr>
        <w:fldChar w:fldCharType="end"/>
      </w:r>
      <w:r w:rsidR="00A019F1" w:rsidRPr="00336514">
        <w:rPr>
          <w:rFonts w:asciiTheme="majorHAnsi" w:hAnsiTheme="majorHAnsi"/>
        </w:rPr>
        <w:t xml:space="preserve">: EFA summary matrix for the 10 </w:t>
      </w:r>
      <w:r w:rsidR="00E81786">
        <w:rPr>
          <w:rFonts w:asciiTheme="majorHAnsi" w:hAnsiTheme="majorHAnsi"/>
        </w:rPr>
        <w:t>runs</w:t>
      </w:r>
      <w:r w:rsidR="00E81786" w:rsidRPr="00336514">
        <w:rPr>
          <w:rFonts w:asciiTheme="majorHAnsi" w:hAnsiTheme="majorHAnsi"/>
        </w:rPr>
        <w:t xml:space="preserve"> </w:t>
      </w:r>
      <w:r w:rsidR="00A019F1" w:rsidRPr="00336514">
        <w:rPr>
          <w:rFonts w:asciiTheme="majorHAnsi" w:hAnsiTheme="majorHAnsi"/>
        </w:rPr>
        <w:t>of random day selection</w:t>
      </w:r>
      <w:r w:rsidR="009A4CF5">
        <w:rPr>
          <w:rFonts w:asciiTheme="majorHAnsi" w:hAnsiTheme="majorHAnsi"/>
        </w:rPr>
        <w:t>,</w:t>
      </w:r>
      <w:r w:rsidR="00A019F1" w:rsidRPr="00336514">
        <w:rPr>
          <w:rFonts w:asciiTheme="majorHAnsi" w:hAnsiTheme="majorHAnsi"/>
        </w:rPr>
        <w:t xml:space="preserve"> with </w:t>
      </w:r>
      <w:r w:rsidR="00E759CC">
        <w:rPr>
          <w:rFonts w:asciiTheme="majorHAnsi" w:hAnsiTheme="majorHAnsi"/>
        </w:rPr>
        <w:t xml:space="preserve">the inclusion criteria 4 days of at least </w:t>
      </w:r>
      <w:r w:rsidR="00A019F1" w:rsidRPr="00336514">
        <w:rPr>
          <w:rFonts w:asciiTheme="majorHAnsi" w:hAnsiTheme="majorHAnsi"/>
        </w:rPr>
        <w:t xml:space="preserve">8 </w:t>
      </w:r>
      <w:r w:rsidR="00E759CC">
        <w:rPr>
          <w:rFonts w:asciiTheme="majorHAnsi" w:hAnsiTheme="majorHAnsi"/>
        </w:rPr>
        <w:t>hours per participant.</w:t>
      </w:r>
    </w:p>
    <w:p w:rsidR="00A019F1" w:rsidRPr="00336514" w:rsidRDefault="006A5D09" w:rsidP="00A019F1">
      <w:pPr>
        <w:keepNext/>
        <w:rPr>
          <w:rFonts w:asciiTheme="majorHAnsi" w:hAnsiTheme="majorHAnsi"/>
        </w:rPr>
      </w:pPr>
      <w:r w:rsidRPr="006A5D09">
        <w:rPr>
          <w:rFonts w:asciiTheme="majorHAnsi" w:hAnsiTheme="majorHAnsi"/>
          <w:noProof/>
        </w:rPr>
        <w:lastRenderedPageBreak/>
        <w:drawing>
          <wp:inline distT="0" distB="0" distL="0" distR="0">
            <wp:extent cx="5484495" cy="4427220"/>
            <wp:effectExtent l="0" t="0" r="1905" b="0"/>
            <wp:docPr id="4" name="Picture 4" descr="C:\Users\mfilleke\Dropbox\Mobility Framework\Paper Revisions\visualisations adapted\pairMatrix_20190618_v12_var20_thre0.4_4days_9hours_lessSkew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filleke\Dropbox\Mobility Framework\Paper Revisions\visualisations adapted\pairMatrix_20190618_v12_var20_thre0.4_4days_9hours_lessSkewed.png"/>
                    <pic:cNvPicPr>
                      <a:picLocks noChangeAspect="1" noChangeArrowheads="1"/>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5485078" cy="4427691"/>
                    </a:xfrm>
                    <a:prstGeom prst="rect">
                      <a:avLst/>
                    </a:prstGeom>
                    <a:noFill/>
                    <a:ln>
                      <a:noFill/>
                    </a:ln>
                    <a:extLst>
                      <a:ext uri="{53640926-AAD7-44D8-BBD7-CCE9431645EC}">
                        <a14:shadowObscured xmlns:a14="http://schemas.microsoft.com/office/drawing/2010/main"/>
                      </a:ext>
                    </a:extLst>
                  </pic:spPr>
                </pic:pic>
              </a:graphicData>
            </a:graphic>
          </wp:inline>
        </w:drawing>
      </w:r>
    </w:p>
    <w:p w:rsidR="00A019F1" w:rsidRPr="00336514" w:rsidRDefault="008C4987" w:rsidP="00A019F1">
      <w:pPr>
        <w:pStyle w:val="Caption"/>
        <w:rPr>
          <w:rFonts w:asciiTheme="majorHAnsi" w:hAnsiTheme="majorHAnsi"/>
        </w:rPr>
      </w:pPr>
      <w:r w:rsidRPr="00336514">
        <w:rPr>
          <w:rFonts w:asciiTheme="majorHAnsi" w:hAnsiTheme="majorHAnsi"/>
        </w:rPr>
        <w:t xml:space="preserve">Figure </w:t>
      </w:r>
      <w:r>
        <w:rPr>
          <w:rFonts w:asciiTheme="majorHAnsi" w:hAnsiTheme="majorHAnsi"/>
        </w:rPr>
        <w:t>S</w:t>
      </w:r>
      <w:r w:rsidR="00AD0F13" w:rsidRPr="00336514">
        <w:rPr>
          <w:rFonts w:asciiTheme="majorHAnsi" w:hAnsiTheme="majorHAnsi"/>
          <w:noProof/>
        </w:rPr>
        <w:fldChar w:fldCharType="begin"/>
      </w:r>
      <w:r w:rsidR="00A019F1" w:rsidRPr="00336514">
        <w:rPr>
          <w:rFonts w:asciiTheme="majorHAnsi" w:hAnsiTheme="majorHAnsi"/>
          <w:noProof/>
        </w:rPr>
        <w:instrText xml:space="preserve"> SEQ Figure \* ARABIC </w:instrText>
      </w:r>
      <w:r w:rsidR="00AD0F13" w:rsidRPr="00336514">
        <w:rPr>
          <w:rFonts w:asciiTheme="majorHAnsi" w:hAnsiTheme="majorHAnsi"/>
          <w:noProof/>
        </w:rPr>
        <w:fldChar w:fldCharType="separate"/>
      </w:r>
      <w:r w:rsidR="00706D14">
        <w:rPr>
          <w:rFonts w:asciiTheme="majorHAnsi" w:hAnsiTheme="majorHAnsi"/>
          <w:noProof/>
        </w:rPr>
        <w:t>4</w:t>
      </w:r>
      <w:r w:rsidR="00AD0F13" w:rsidRPr="00336514">
        <w:rPr>
          <w:rFonts w:asciiTheme="majorHAnsi" w:hAnsiTheme="majorHAnsi"/>
          <w:noProof/>
        </w:rPr>
        <w:fldChar w:fldCharType="end"/>
      </w:r>
      <w:r w:rsidR="00A019F1" w:rsidRPr="00336514">
        <w:rPr>
          <w:rFonts w:asciiTheme="majorHAnsi" w:hAnsiTheme="majorHAnsi"/>
        </w:rPr>
        <w:t xml:space="preserve">: EFA summary matrix for the 10 </w:t>
      </w:r>
      <w:r w:rsidR="00E81786">
        <w:rPr>
          <w:rFonts w:asciiTheme="majorHAnsi" w:hAnsiTheme="majorHAnsi"/>
        </w:rPr>
        <w:t>runs</w:t>
      </w:r>
      <w:r w:rsidR="00E81786" w:rsidRPr="00336514">
        <w:rPr>
          <w:rFonts w:asciiTheme="majorHAnsi" w:hAnsiTheme="majorHAnsi"/>
        </w:rPr>
        <w:t xml:space="preserve"> </w:t>
      </w:r>
      <w:r w:rsidR="00A019F1" w:rsidRPr="00336514">
        <w:rPr>
          <w:rFonts w:asciiTheme="majorHAnsi" w:hAnsiTheme="majorHAnsi"/>
        </w:rPr>
        <w:t>of random day selecti</w:t>
      </w:r>
      <w:r w:rsidR="00E759CC">
        <w:rPr>
          <w:rFonts w:asciiTheme="majorHAnsi" w:hAnsiTheme="majorHAnsi"/>
        </w:rPr>
        <w:t>on</w:t>
      </w:r>
      <w:r w:rsidR="009A4CF5">
        <w:rPr>
          <w:rFonts w:asciiTheme="majorHAnsi" w:hAnsiTheme="majorHAnsi"/>
        </w:rPr>
        <w:t>,</w:t>
      </w:r>
      <w:r w:rsidR="00E759CC">
        <w:rPr>
          <w:rFonts w:asciiTheme="majorHAnsi" w:hAnsiTheme="majorHAnsi"/>
        </w:rPr>
        <w:t xml:space="preserve"> with the inclusion criteria </w:t>
      </w:r>
      <w:r w:rsidR="00A019F1" w:rsidRPr="00336514">
        <w:rPr>
          <w:rFonts w:asciiTheme="majorHAnsi" w:hAnsiTheme="majorHAnsi"/>
        </w:rPr>
        <w:t>4</w:t>
      </w:r>
      <w:r w:rsidR="00E759CC">
        <w:rPr>
          <w:rFonts w:asciiTheme="majorHAnsi" w:hAnsiTheme="majorHAnsi"/>
        </w:rPr>
        <w:t xml:space="preserve"> days of at least </w:t>
      </w:r>
      <w:r w:rsidR="00A019F1" w:rsidRPr="00336514">
        <w:rPr>
          <w:rFonts w:asciiTheme="majorHAnsi" w:hAnsiTheme="majorHAnsi"/>
        </w:rPr>
        <w:t>9</w:t>
      </w:r>
      <w:r w:rsidR="00E759CC">
        <w:rPr>
          <w:rFonts w:asciiTheme="majorHAnsi" w:hAnsiTheme="majorHAnsi"/>
        </w:rPr>
        <w:t xml:space="preserve"> hours per participant.</w:t>
      </w:r>
    </w:p>
    <w:p w:rsidR="00A019F1" w:rsidRPr="00336514" w:rsidRDefault="006A5D09" w:rsidP="00A019F1">
      <w:pPr>
        <w:keepNext/>
        <w:rPr>
          <w:rFonts w:asciiTheme="majorHAnsi" w:hAnsiTheme="majorHAnsi"/>
        </w:rPr>
      </w:pPr>
      <w:r w:rsidRPr="006A5D09">
        <w:rPr>
          <w:rFonts w:asciiTheme="majorHAnsi" w:hAnsiTheme="majorHAnsi"/>
          <w:noProof/>
        </w:rPr>
        <w:lastRenderedPageBreak/>
        <w:drawing>
          <wp:inline distT="0" distB="0" distL="0" distR="0">
            <wp:extent cx="5303520" cy="4434327"/>
            <wp:effectExtent l="0" t="0" r="0" b="4445"/>
            <wp:docPr id="10" name="Picture 10" descr="C:\Users\mfilleke\Dropbox\Mobility Framework\Paper Revisions\visualisations adapted\pairMatrix_20190618_v12_var20_thre0.4_4days_10hours_lessSkew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filleke\Dropbox\Mobility Framework\Paper Revisions\visualisations adapted\pairMatrix_20190618_v12_var20_thre0.4_4days_10hours_lessSkewed.png"/>
                    <pic:cNvPicPr>
                      <a:picLocks noChangeAspect="1" noChangeArrowheads="1"/>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5304699" cy="4435312"/>
                    </a:xfrm>
                    <a:prstGeom prst="rect">
                      <a:avLst/>
                    </a:prstGeom>
                    <a:noFill/>
                    <a:ln>
                      <a:noFill/>
                    </a:ln>
                    <a:extLst>
                      <a:ext uri="{53640926-AAD7-44D8-BBD7-CCE9431645EC}">
                        <a14:shadowObscured xmlns:a14="http://schemas.microsoft.com/office/drawing/2010/main"/>
                      </a:ext>
                    </a:extLst>
                  </pic:spPr>
                </pic:pic>
              </a:graphicData>
            </a:graphic>
          </wp:inline>
        </w:drawing>
      </w:r>
    </w:p>
    <w:p w:rsidR="00A019F1" w:rsidRPr="00336514" w:rsidRDefault="008C4987" w:rsidP="00A019F1">
      <w:pPr>
        <w:pStyle w:val="Caption"/>
        <w:rPr>
          <w:rFonts w:asciiTheme="majorHAnsi" w:hAnsiTheme="majorHAnsi"/>
        </w:rPr>
      </w:pPr>
      <w:r w:rsidRPr="00336514">
        <w:rPr>
          <w:rFonts w:asciiTheme="majorHAnsi" w:hAnsiTheme="majorHAnsi"/>
        </w:rPr>
        <w:t xml:space="preserve">Figure </w:t>
      </w:r>
      <w:r>
        <w:rPr>
          <w:rFonts w:asciiTheme="majorHAnsi" w:hAnsiTheme="majorHAnsi"/>
        </w:rPr>
        <w:t>S</w:t>
      </w:r>
      <w:r w:rsidR="00AD0F13" w:rsidRPr="00336514">
        <w:rPr>
          <w:rFonts w:asciiTheme="majorHAnsi" w:hAnsiTheme="majorHAnsi"/>
          <w:noProof/>
        </w:rPr>
        <w:fldChar w:fldCharType="begin"/>
      </w:r>
      <w:r w:rsidR="00A019F1" w:rsidRPr="00336514">
        <w:rPr>
          <w:rFonts w:asciiTheme="majorHAnsi" w:hAnsiTheme="majorHAnsi"/>
          <w:noProof/>
        </w:rPr>
        <w:instrText xml:space="preserve"> SEQ Figure \* ARABIC </w:instrText>
      </w:r>
      <w:r w:rsidR="00AD0F13" w:rsidRPr="00336514">
        <w:rPr>
          <w:rFonts w:asciiTheme="majorHAnsi" w:hAnsiTheme="majorHAnsi"/>
          <w:noProof/>
        </w:rPr>
        <w:fldChar w:fldCharType="separate"/>
      </w:r>
      <w:r w:rsidR="00706D14">
        <w:rPr>
          <w:rFonts w:asciiTheme="majorHAnsi" w:hAnsiTheme="majorHAnsi"/>
          <w:noProof/>
        </w:rPr>
        <w:t>5</w:t>
      </w:r>
      <w:r w:rsidR="00AD0F13" w:rsidRPr="00336514">
        <w:rPr>
          <w:rFonts w:asciiTheme="majorHAnsi" w:hAnsiTheme="majorHAnsi"/>
          <w:noProof/>
        </w:rPr>
        <w:fldChar w:fldCharType="end"/>
      </w:r>
      <w:r w:rsidR="00A019F1" w:rsidRPr="00336514">
        <w:rPr>
          <w:rFonts w:asciiTheme="majorHAnsi" w:hAnsiTheme="majorHAnsi"/>
        </w:rPr>
        <w:t xml:space="preserve">: EFA summary matrix for the 10 </w:t>
      </w:r>
      <w:r w:rsidR="00E81786">
        <w:rPr>
          <w:rFonts w:asciiTheme="majorHAnsi" w:hAnsiTheme="majorHAnsi"/>
        </w:rPr>
        <w:t>runs</w:t>
      </w:r>
      <w:r w:rsidR="00E81786" w:rsidRPr="00336514">
        <w:rPr>
          <w:rFonts w:asciiTheme="majorHAnsi" w:hAnsiTheme="majorHAnsi"/>
        </w:rPr>
        <w:t xml:space="preserve"> </w:t>
      </w:r>
      <w:r w:rsidR="00A019F1" w:rsidRPr="00336514">
        <w:rPr>
          <w:rFonts w:asciiTheme="majorHAnsi" w:hAnsiTheme="majorHAnsi"/>
        </w:rPr>
        <w:t>of random day selecti</w:t>
      </w:r>
      <w:r w:rsidR="00E759CC">
        <w:rPr>
          <w:rFonts w:asciiTheme="majorHAnsi" w:hAnsiTheme="majorHAnsi"/>
        </w:rPr>
        <w:t>on</w:t>
      </w:r>
      <w:r w:rsidR="009A4CF5">
        <w:rPr>
          <w:rFonts w:asciiTheme="majorHAnsi" w:hAnsiTheme="majorHAnsi"/>
        </w:rPr>
        <w:t>,</w:t>
      </w:r>
      <w:r w:rsidR="00E759CC">
        <w:rPr>
          <w:rFonts w:asciiTheme="majorHAnsi" w:hAnsiTheme="majorHAnsi"/>
        </w:rPr>
        <w:t xml:space="preserve"> with the inclusion criteria of 4 days with at least </w:t>
      </w:r>
      <w:r w:rsidR="00A019F1" w:rsidRPr="00336514">
        <w:rPr>
          <w:rFonts w:asciiTheme="majorHAnsi" w:hAnsiTheme="majorHAnsi"/>
        </w:rPr>
        <w:t>10 ho</w:t>
      </w:r>
      <w:r w:rsidR="00E759CC">
        <w:rPr>
          <w:rFonts w:asciiTheme="majorHAnsi" w:hAnsiTheme="majorHAnsi"/>
        </w:rPr>
        <w:t>urs per participant.</w:t>
      </w:r>
    </w:p>
    <w:p w:rsidR="00A019F1" w:rsidRPr="00336514" w:rsidRDefault="00A019F1" w:rsidP="00A019F1">
      <w:pPr>
        <w:rPr>
          <w:rFonts w:asciiTheme="majorHAnsi" w:hAnsiTheme="majorHAnsi"/>
        </w:rPr>
      </w:pPr>
    </w:p>
    <w:p w:rsidR="00A019F1" w:rsidRPr="00336514" w:rsidRDefault="00A019F1" w:rsidP="00A019F1">
      <w:pPr>
        <w:rPr>
          <w:rFonts w:asciiTheme="majorHAnsi" w:hAnsiTheme="majorHAnsi"/>
        </w:rPr>
      </w:pPr>
    </w:p>
    <w:p w:rsidR="00A019F1" w:rsidRPr="00336514" w:rsidRDefault="006A5D09" w:rsidP="00A019F1">
      <w:pPr>
        <w:keepNext/>
        <w:rPr>
          <w:rFonts w:asciiTheme="majorHAnsi" w:hAnsiTheme="majorHAnsi"/>
        </w:rPr>
      </w:pPr>
      <w:r w:rsidRPr="006A5D09">
        <w:rPr>
          <w:rFonts w:asciiTheme="majorHAnsi" w:hAnsiTheme="majorHAnsi"/>
          <w:noProof/>
        </w:rPr>
        <w:lastRenderedPageBreak/>
        <w:drawing>
          <wp:inline distT="0" distB="0" distL="0" distR="0">
            <wp:extent cx="5484495" cy="4442460"/>
            <wp:effectExtent l="0" t="0" r="1905" b="0"/>
            <wp:docPr id="11" name="Picture 11" descr="C:\Users\mfilleke\Dropbox\Mobility Framework\Paper Revisions\visualisations adapted\pairMatrix_20190618_v12_var20_thre0.4_5days_10hours_lessSkew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filleke\Dropbox\Mobility Framework\Paper Revisions\visualisations adapted\pairMatrix_20190618_v12_var20_thre0.4_5days_10hours_lessSkewed.png"/>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5485078" cy="4442932"/>
                    </a:xfrm>
                    <a:prstGeom prst="rect">
                      <a:avLst/>
                    </a:prstGeom>
                    <a:noFill/>
                    <a:ln>
                      <a:noFill/>
                    </a:ln>
                    <a:extLst>
                      <a:ext uri="{53640926-AAD7-44D8-BBD7-CCE9431645EC}">
                        <a14:shadowObscured xmlns:a14="http://schemas.microsoft.com/office/drawing/2010/main"/>
                      </a:ext>
                    </a:extLst>
                  </pic:spPr>
                </pic:pic>
              </a:graphicData>
            </a:graphic>
          </wp:inline>
        </w:drawing>
      </w:r>
    </w:p>
    <w:p w:rsidR="00A019F1" w:rsidRPr="00336514" w:rsidRDefault="008C4987" w:rsidP="00A019F1">
      <w:pPr>
        <w:pStyle w:val="Caption"/>
        <w:rPr>
          <w:rFonts w:asciiTheme="majorHAnsi" w:hAnsiTheme="majorHAnsi"/>
          <w:b/>
        </w:rPr>
      </w:pPr>
      <w:bookmarkStart w:id="6" w:name="_Ref1747030"/>
      <w:r w:rsidRPr="00336514">
        <w:rPr>
          <w:rFonts w:asciiTheme="majorHAnsi" w:hAnsiTheme="majorHAnsi"/>
        </w:rPr>
        <w:t xml:space="preserve">Figure </w:t>
      </w:r>
      <w:r>
        <w:rPr>
          <w:rFonts w:asciiTheme="majorHAnsi" w:hAnsiTheme="majorHAnsi"/>
        </w:rPr>
        <w:t>S</w:t>
      </w:r>
      <w:r w:rsidR="00AD0F13" w:rsidRPr="00336514">
        <w:rPr>
          <w:rFonts w:asciiTheme="majorHAnsi" w:hAnsiTheme="majorHAnsi"/>
          <w:noProof/>
        </w:rPr>
        <w:fldChar w:fldCharType="begin"/>
      </w:r>
      <w:r w:rsidR="00A019F1" w:rsidRPr="00336514">
        <w:rPr>
          <w:rFonts w:asciiTheme="majorHAnsi" w:hAnsiTheme="majorHAnsi"/>
          <w:noProof/>
        </w:rPr>
        <w:instrText xml:space="preserve"> SEQ Figure \* ARABIC </w:instrText>
      </w:r>
      <w:r w:rsidR="00AD0F13" w:rsidRPr="00336514">
        <w:rPr>
          <w:rFonts w:asciiTheme="majorHAnsi" w:hAnsiTheme="majorHAnsi"/>
          <w:noProof/>
        </w:rPr>
        <w:fldChar w:fldCharType="separate"/>
      </w:r>
      <w:r w:rsidR="00706D14">
        <w:rPr>
          <w:rFonts w:asciiTheme="majorHAnsi" w:hAnsiTheme="majorHAnsi"/>
          <w:noProof/>
        </w:rPr>
        <w:t>6</w:t>
      </w:r>
      <w:r w:rsidR="00AD0F13" w:rsidRPr="00336514">
        <w:rPr>
          <w:rFonts w:asciiTheme="majorHAnsi" w:hAnsiTheme="majorHAnsi"/>
          <w:noProof/>
        </w:rPr>
        <w:fldChar w:fldCharType="end"/>
      </w:r>
      <w:bookmarkEnd w:id="6"/>
      <w:r w:rsidR="00A019F1" w:rsidRPr="00336514">
        <w:rPr>
          <w:rFonts w:asciiTheme="majorHAnsi" w:hAnsiTheme="majorHAnsi"/>
        </w:rPr>
        <w:t xml:space="preserve">: EFA summary matrix for the 10 </w:t>
      </w:r>
      <w:r w:rsidR="00E81786">
        <w:rPr>
          <w:rFonts w:asciiTheme="majorHAnsi" w:hAnsiTheme="majorHAnsi"/>
        </w:rPr>
        <w:t>runs</w:t>
      </w:r>
      <w:r w:rsidR="00E81786" w:rsidRPr="00336514">
        <w:rPr>
          <w:rFonts w:asciiTheme="majorHAnsi" w:hAnsiTheme="majorHAnsi"/>
        </w:rPr>
        <w:t xml:space="preserve"> </w:t>
      </w:r>
      <w:r w:rsidR="00A019F1" w:rsidRPr="00336514">
        <w:rPr>
          <w:rFonts w:asciiTheme="majorHAnsi" w:hAnsiTheme="majorHAnsi"/>
        </w:rPr>
        <w:t>of random day selection</w:t>
      </w:r>
      <w:r w:rsidR="009A4CF5">
        <w:rPr>
          <w:rFonts w:asciiTheme="majorHAnsi" w:hAnsiTheme="majorHAnsi"/>
        </w:rPr>
        <w:t>,</w:t>
      </w:r>
      <w:r w:rsidR="00A019F1" w:rsidRPr="00336514">
        <w:rPr>
          <w:rFonts w:asciiTheme="majorHAnsi" w:hAnsiTheme="majorHAnsi"/>
        </w:rPr>
        <w:t xml:space="preserve"> with the inclusion criteria 5</w:t>
      </w:r>
      <w:r w:rsidR="00E759CC">
        <w:rPr>
          <w:rFonts w:asciiTheme="majorHAnsi" w:hAnsiTheme="majorHAnsi"/>
        </w:rPr>
        <w:t xml:space="preserve"> days with at least</w:t>
      </w:r>
      <w:r w:rsidR="00A019F1" w:rsidRPr="00336514">
        <w:rPr>
          <w:rFonts w:asciiTheme="majorHAnsi" w:hAnsiTheme="majorHAnsi"/>
        </w:rPr>
        <w:t xml:space="preserve"> 10 </w:t>
      </w:r>
      <w:r w:rsidR="00E759CC">
        <w:rPr>
          <w:rFonts w:asciiTheme="majorHAnsi" w:hAnsiTheme="majorHAnsi"/>
        </w:rPr>
        <w:t>hours per participant.</w:t>
      </w:r>
    </w:p>
    <w:p w:rsidR="00A019F1" w:rsidRPr="00336514" w:rsidRDefault="00A019F1" w:rsidP="00A019F1">
      <w:pPr>
        <w:rPr>
          <w:rFonts w:asciiTheme="majorHAnsi" w:hAnsiTheme="majorHAnsi"/>
          <w:b/>
        </w:rPr>
      </w:pPr>
    </w:p>
    <w:p w:rsidR="00A019F1" w:rsidRPr="00336514" w:rsidRDefault="00A019F1" w:rsidP="00A019F1">
      <w:pPr>
        <w:rPr>
          <w:rFonts w:asciiTheme="majorHAnsi" w:hAnsiTheme="majorHAnsi"/>
          <w:b/>
        </w:rPr>
      </w:pPr>
    </w:p>
    <w:p w:rsidR="00A019F1" w:rsidRPr="00336514" w:rsidRDefault="00A019F1" w:rsidP="00A019F1">
      <w:pPr>
        <w:tabs>
          <w:tab w:val="left" w:pos="2712"/>
        </w:tabs>
        <w:rPr>
          <w:rFonts w:asciiTheme="majorHAnsi" w:hAnsiTheme="majorHAnsi"/>
        </w:rPr>
      </w:pPr>
      <w:r w:rsidRPr="00336514">
        <w:rPr>
          <w:rFonts w:asciiTheme="majorHAnsi" w:hAnsiTheme="majorHAnsi"/>
        </w:rPr>
        <w:tab/>
      </w:r>
    </w:p>
    <w:p w:rsidR="00336514" w:rsidRDefault="00336514">
      <w:pPr>
        <w:spacing w:line="259" w:lineRule="auto"/>
        <w:rPr>
          <w:rFonts w:asciiTheme="majorHAnsi" w:hAnsiTheme="majorHAnsi"/>
        </w:rPr>
      </w:pPr>
      <w:r>
        <w:rPr>
          <w:rFonts w:asciiTheme="majorHAnsi" w:hAnsiTheme="majorHAnsi"/>
        </w:rPr>
        <w:br w:type="page"/>
      </w:r>
    </w:p>
    <w:p w:rsidR="009E1259" w:rsidRPr="00336514" w:rsidRDefault="004F2894" w:rsidP="00336514">
      <w:pPr>
        <w:pStyle w:val="Headingunnummered"/>
      </w:pPr>
      <w:r w:rsidRPr="00336514">
        <w:lastRenderedPageBreak/>
        <w:t xml:space="preserve">References </w:t>
      </w:r>
      <w:r w:rsidR="009A4CF5">
        <w:t>for Additional File 1</w:t>
      </w:r>
    </w:p>
    <w:p w:rsidR="00854212" w:rsidRPr="00854212" w:rsidRDefault="00AD0F13" w:rsidP="00854212">
      <w:pPr>
        <w:widowControl w:val="0"/>
        <w:autoSpaceDE w:val="0"/>
        <w:autoSpaceDN w:val="0"/>
        <w:adjustRightInd w:val="0"/>
        <w:ind w:left="640" w:hanging="640"/>
        <w:rPr>
          <w:rFonts w:cs="Times New Roman"/>
          <w:noProof/>
          <w:szCs w:val="24"/>
        </w:rPr>
      </w:pPr>
      <w:r w:rsidRPr="00336514">
        <w:rPr>
          <w:rFonts w:asciiTheme="majorHAnsi" w:hAnsiTheme="majorHAnsi"/>
        </w:rPr>
        <w:fldChar w:fldCharType="begin" w:fldLock="1"/>
      </w:r>
      <w:r w:rsidR="00337702" w:rsidRPr="00336514">
        <w:rPr>
          <w:rFonts w:asciiTheme="majorHAnsi" w:hAnsiTheme="majorHAnsi"/>
        </w:rPr>
        <w:instrText xml:space="preserve">ADDIN Mendeley Bibliography CSL_BIBLIOGRAPHY </w:instrText>
      </w:r>
      <w:r w:rsidRPr="00336514">
        <w:rPr>
          <w:rFonts w:asciiTheme="majorHAnsi" w:hAnsiTheme="majorHAnsi"/>
        </w:rPr>
        <w:fldChar w:fldCharType="separate"/>
      </w:r>
      <w:r w:rsidR="00854212" w:rsidRPr="00854212">
        <w:rPr>
          <w:rFonts w:cs="Times New Roman"/>
          <w:noProof/>
          <w:szCs w:val="24"/>
        </w:rPr>
        <w:t xml:space="preserve">1. </w:t>
      </w:r>
      <w:r w:rsidR="00854212" w:rsidRPr="00854212">
        <w:rPr>
          <w:rFonts w:cs="Times New Roman"/>
          <w:noProof/>
          <w:szCs w:val="24"/>
        </w:rPr>
        <w:tab/>
        <w:t xml:space="preserve">Harada K, Lee S, Lee S, Bae S, Harada K, Suzuki T, et al. Objectively-measured outdoor time and physical and psychological function among older adults. Geriatrics and Gerontology International. 2017;17(10):1455–62. </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2. </w:t>
      </w:r>
      <w:r w:rsidRPr="00854212">
        <w:rPr>
          <w:rFonts w:cs="Times New Roman"/>
          <w:noProof/>
          <w:szCs w:val="24"/>
        </w:rPr>
        <w:tab/>
        <w:t>Harada K, Lee S, Lee S, Bae S, Harada K, Shimada H. Changes in objectively measured outdoor time and physical, psychological, and cognitive function among older adults with cognitive impairments. Archives of Gerontology and Geriatrics [Internet]. 2018 Sep 1 [cited 2019 Jan 24];78:190–5. Available from: https://www.sciencedirect.com/science/article/pii/S0167494318301171</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3. </w:t>
      </w:r>
      <w:r w:rsidRPr="00854212">
        <w:rPr>
          <w:rFonts w:cs="Times New Roman"/>
          <w:noProof/>
          <w:szCs w:val="24"/>
        </w:rPr>
        <w:tab/>
        <w:t>Kaspar R, Oswald F, Wahl H-W, Voss E, Wettstein M. Daily mood and out-of-home mobility in older adults: does cognitive impairment matter? Journal of Applied Gerontology [Internet]. 2015 Feb;34(1):26–47. Available from: http://jag.sagepub.com/cgi/doi/10.1177/0733464812466290</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4. </w:t>
      </w:r>
      <w:r w:rsidRPr="00854212">
        <w:rPr>
          <w:rFonts w:cs="Times New Roman"/>
          <w:noProof/>
          <w:szCs w:val="24"/>
        </w:rPr>
        <w:tab/>
        <w:t xml:space="preserve">Wahl H-W, Wettstein M, Shoval N, Oswald F, Kaspar R, Issacson M, et al. Interplay of cognitive and motivational resources for out-of-home behavior in a sample of cognitively heterogeneous older adults: findings of the SenTra project. Journals of Gerontology Series B: Psychological Sciences and Social Sciences. 2013;68(5):691–702. </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5. </w:t>
      </w:r>
      <w:r w:rsidRPr="00854212">
        <w:rPr>
          <w:rFonts w:cs="Times New Roman"/>
          <w:noProof/>
          <w:szCs w:val="24"/>
        </w:rPr>
        <w:tab/>
        <w:t>Blamoutier M, Boissy P, Brière S, Faucher G, Lauzé M, Duval C. Is a decrease of grip strength associated with community mobility restriction in dynapenic older women? JCSM Clinical Reports [Internet]. 2018;3(1):1–9. Available from: https://jcsm-clinical-reports.info/index.php/jcsm-cr/article/view/42</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6. </w:t>
      </w:r>
      <w:r w:rsidRPr="00854212">
        <w:rPr>
          <w:rFonts w:cs="Times New Roman"/>
          <w:noProof/>
          <w:szCs w:val="24"/>
        </w:rPr>
        <w:tab/>
        <w:t>Giannouli E, Bock O, Mellone S, Zijlstra W. Mobility in old age: capacity is not performance. BioMed Research International [Internet]. 2016;(February):1–8. Available from: http://www.hindawi.com/journals/bmri/2016/3261567/</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lastRenderedPageBreak/>
        <w:t xml:space="preserve">7. </w:t>
      </w:r>
      <w:r w:rsidRPr="00854212">
        <w:rPr>
          <w:rFonts w:cs="Times New Roman"/>
          <w:noProof/>
          <w:szCs w:val="24"/>
        </w:rPr>
        <w:tab/>
        <w:t xml:space="preserve">Giannouli E, Bock O, Zijlstra W. Cognitive functioning is more closely related to real-life mobility than to laboratory-based mobility parameters. European Journal of Ageing. 2018;1–9. </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8. </w:t>
      </w:r>
      <w:r w:rsidRPr="00854212">
        <w:rPr>
          <w:rFonts w:cs="Times New Roman"/>
          <w:noProof/>
          <w:szCs w:val="24"/>
        </w:rPr>
        <w:tab/>
        <w:t>Cuignet T, Perchoux C, Caruso G, Klein O, Klein S, Chaix B, et al. Mobility among older adults: deconstructing the effects of motility and movement on wellbeing. Urban Studies [Internet]. 2019; Available from: https://journals.sagepub.com/doi/pdf/10.1177/0042098019852033</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9. </w:t>
      </w:r>
      <w:r w:rsidRPr="00854212">
        <w:rPr>
          <w:rFonts w:cs="Times New Roman"/>
          <w:noProof/>
          <w:szCs w:val="24"/>
        </w:rPr>
        <w:tab/>
        <w:t xml:space="preserve">Tung JY, Rose RV, Gammada E, Lam I, Roy EA, Black SE, et al. Measuring life space in older adults with mild-to-moderate Alzheimer’s disease using mobile phone GPS. Gerontology. 2014;60:154–62. </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10. </w:t>
      </w:r>
      <w:r w:rsidRPr="00854212">
        <w:rPr>
          <w:rFonts w:cs="Times New Roman"/>
          <w:noProof/>
          <w:szCs w:val="24"/>
        </w:rPr>
        <w:tab/>
        <w:t xml:space="preserve">Cornwell EY, Cagney KA. Aging in activity space: results from smartphone-based GPS-tracking of urban seniors. Journals of Gerontology: Social Sciences. 2017;72(5):864–75. </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11. </w:t>
      </w:r>
      <w:r w:rsidRPr="00854212">
        <w:rPr>
          <w:rFonts w:cs="Times New Roman"/>
          <w:noProof/>
          <w:szCs w:val="24"/>
        </w:rPr>
        <w:tab/>
        <w:t xml:space="preserve">Takemoto M, Carlson JA, Moran K, Godbole S, Crist K, Kerr J. Relationship between objectively measured transportation behaviors and health characteristics in older adults. International Journal of Environmental Research and Public Health. 2015;12(11):13923–37. </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12. </w:t>
      </w:r>
      <w:r w:rsidRPr="00854212">
        <w:rPr>
          <w:rFonts w:cs="Times New Roman"/>
          <w:noProof/>
          <w:szCs w:val="24"/>
        </w:rPr>
        <w:tab/>
        <w:t xml:space="preserve">Wettstein M, Wahl HW, Diehl MK. A multidimensional view of out-of-home behaviors in cognitively unimpaired older adults: examining differential effects of socio-demographic, cognitive, and health-related predictors. European Journal of Ageing. 2014;11(2):141–53. </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13. </w:t>
      </w:r>
      <w:r w:rsidRPr="00854212">
        <w:rPr>
          <w:rFonts w:cs="Times New Roman"/>
          <w:noProof/>
          <w:szCs w:val="24"/>
        </w:rPr>
        <w:tab/>
        <w:t>Wettstein M, Wahl H-W, Shoval N, Oswald F, Voss E, Seidl U, et al. Out-of-home behavior and cognitive impairment in older adults: findings of the SenTra project. Journal of Applied Gerontology [Internet]. 2015;34(1):3–25. Available from: http://jag.sagepub.com/cgi/doi/10.1177/0733464812459373</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14. </w:t>
      </w:r>
      <w:r w:rsidRPr="00854212">
        <w:rPr>
          <w:rFonts w:cs="Times New Roman"/>
          <w:noProof/>
          <w:szCs w:val="24"/>
        </w:rPr>
        <w:tab/>
        <w:t xml:space="preserve">Wettstein M, Wahl HW, Shoval N, Auslander G, Oswald F, Heinik J. Identifying mobility types in cognitively heterogeneous older adults based on GPS-tracking: what discriminates best? Journal of </w:t>
      </w:r>
      <w:r w:rsidRPr="00854212">
        <w:rPr>
          <w:rFonts w:cs="Times New Roman"/>
          <w:noProof/>
          <w:szCs w:val="24"/>
        </w:rPr>
        <w:lastRenderedPageBreak/>
        <w:t xml:space="preserve">Applied Gerontology. 2015;34(8):1001–27. </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15. </w:t>
      </w:r>
      <w:r w:rsidRPr="00854212">
        <w:rPr>
          <w:rFonts w:cs="Times New Roman"/>
          <w:noProof/>
          <w:szCs w:val="24"/>
        </w:rPr>
        <w:tab/>
        <w:t>Wettstein M, Wahl HW, Shoval N, Auslander G, Oswald F, Heinik J. Cognitive status moderates the relationship between out-of-home behavior (OOHB), environmental mastery and affect. Archives of Gerontology and Geriatrics [Internet]. 2014;59(1):113–21. Available from: http://dx.doi.org/10.1016/j.archger.2014.03.015</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16. </w:t>
      </w:r>
      <w:r w:rsidRPr="00854212">
        <w:rPr>
          <w:rFonts w:cs="Times New Roman"/>
          <w:noProof/>
          <w:szCs w:val="24"/>
        </w:rPr>
        <w:tab/>
        <w:t>Boissy P, Blamoutier M, Brière S, Duval C. Quantification of free-living community mobility in healthy older adults using wearable sensors. Frontiers in Public Health [Internet]. 2018;6:1–13. Available from: https://www.frontiersin.org/article/10.3389/fpubh.2018.00216/full</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17. </w:t>
      </w:r>
      <w:r w:rsidRPr="00854212">
        <w:rPr>
          <w:rFonts w:cs="Times New Roman"/>
          <w:noProof/>
          <w:szCs w:val="24"/>
        </w:rPr>
        <w:tab/>
        <w:t xml:space="preserve">Saeb S, Lattie EG, Schueller SM, Kording KP, Mohr DC. The relationship between mobile phone location sensor data and depressive symptom severity. PeerJ. 2016;4:e2537. </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18. </w:t>
      </w:r>
      <w:r w:rsidRPr="00854212">
        <w:rPr>
          <w:rFonts w:cs="Times New Roman"/>
          <w:noProof/>
          <w:szCs w:val="24"/>
        </w:rPr>
        <w:tab/>
        <w:t>Saeb S, Zhang M, Karr CJ, Schueller SM, Corden ME, Kording KP, et al. Mobile phone sensor correlates of depressive symptom severity in daily-life behavior: an exploratory study. Journal of Medical Internet Research [Internet]. 2015 Jul 15;17(7):e175. Available from: http://www.jmir.org/2015/7/e175/</w:t>
      </w:r>
    </w:p>
    <w:p w:rsidR="00854212" w:rsidRPr="00854212" w:rsidRDefault="00854212" w:rsidP="00854212">
      <w:pPr>
        <w:widowControl w:val="0"/>
        <w:autoSpaceDE w:val="0"/>
        <w:autoSpaceDN w:val="0"/>
        <w:adjustRightInd w:val="0"/>
        <w:ind w:left="640" w:hanging="640"/>
        <w:rPr>
          <w:rFonts w:cs="Times New Roman"/>
          <w:noProof/>
          <w:szCs w:val="24"/>
        </w:rPr>
      </w:pPr>
      <w:r w:rsidRPr="00854212">
        <w:rPr>
          <w:rFonts w:cs="Times New Roman"/>
          <w:noProof/>
          <w:szCs w:val="24"/>
        </w:rPr>
        <w:t xml:space="preserve">19. </w:t>
      </w:r>
      <w:r w:rsidRPr="00854212">
        <w:rPr>
          <w:rFonts w:cs="Times New Roman"/>
          <w:noProof/>
          <w:szCs w:val="24"/>
        </w:rPr>
        <w:tab/>
        <w:t>Isaacson M, Wahl H, Shoval N, Oswald F, Auslander G. The relationship between spatial activity and wellbeing-related data among healthy older adults: an exploratory geographic and psychological analysis. In: Samanta T, editor. Cross-Cultural and Cross-Disciplinary Perspectives in Social Gerontology [Internet]. Singapore: Springer Singapore; 2017. p. 203–19. Available from: http://link.springer.com/10.1007/978-981-10-1654-7</w:t>
      </w:r>
    </w:p>
    <w:p w:rsidR="00854212" w:rsidRPr="00854212" w:rsidRDefault="00854212" w:rsidP="00854212">
      <w:pPr>
        <w:widowControl w:val="0"/>
        <w:autoSpaceDE w:val="0"/>
        <w:autoSpaceDN w:val="0"/>
        <w:adjustRightInd w:val="0"/>
        <w:ind w:left="640" w:hanging="640"/>
        <w:rPr>
          <w:noProof/>
        </w:rPr>
      </w:pPr>
      <w:r w:rsidRPr="00854212">
        <w:rPr>
          <w:rFonts w:cs="Times New Roman"/>
          <w:noProof/>
          <w:szCs w:val="24"/>
        </w:rPr>
        <w:t xml:space="preserve">20. </w:t>
      </w:r>
      <w:r w:rsidRPr="00854212">
        <w:rPr>
          <w:rFonts w:cs="Times New Roman"/>
          <w:noProof/>
          <w:szCs w:val="24"/>
        </w:rPr>
        <w:tab/>
        <w:t xml:space="preserve">Sanchez M, Ambros A, Salmon M, Bhogadi S, Wilson RT, Kinra S, et al. Predictors of daily mobility of adults in peri-urban south India. International Journal of Environmental Research and Public Health. 2017;14(7):1–16. </w:t>
      </w:r>
    </w:p>
    <w:p w:rsidR="004F2894" w:rsidRPr="00336514" w:rsidRDefault="00AD0F13">
      <w:pPr>
        <w:rPr>
          <w:rFonts w:asciiTheme="majorHAnsi" w:hAnsiTheme="majorHAnsi"/>
        </w:rPr>
      </w:pPr>
      <w:r w:rsidRPr="00336514">
        <w:rPr>
          <w:rFonts w:asciiTheme="majorHAnsi" w:hAnsiTheme="majorHAnsi"/>
        </w:rPr>
        <w:lastRenderedPageBreak/>
        <w:fldChar w:fldCharType="end"/>
      </w:r>
    </w:p>
    <w:sectPr w:rsidR="004F2894" w:rsidRPr="00336514" w:rsidSect="00AD0F13">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AB1" w:rsidRDefault="00E35AB1">
      <w:pPr>
        <w:spacing w:after="0" w:line="240" w:lineRule="auto"/>
      </w:pPr>
      <w:r>
        <w:separator/>
      </w:r>
    </w:p>
  </w:endnote>
  <w:endnote w:type="continuationSeparator" w:id="0">
    <w:p w:rsidR="00E35AB1" w:rsidRDefault="00E35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4494314"/>
      <w:docPartObj>
        <w:docPartGallery w:val="Page Numbers (Bottom of Page)"/>
        <w:docPartUnique/>
      </w:docPartObj>
    </w:sdtPr>
    <w:sdtEndPr>
      <w:rPr>
        <w:noProof/>
      </w:rPr>
    </w:sdtEndPr>
    <w:sdtContent>
      <w:p w:rsidR="00854212" w:rsidRDefault="00854212">
        <w:pPr>
          <w:pStyle w:val="Footer"/>
          <w:jc w:val="center"/>
        </w:pPr>
        <w:r>
          <w:fldChar w:fldCharType="begin"/>
        </w:r>
        <w:r>
          <w:instrText xml:space="preserve"> PAGE   \* MERGEFORMAT </w:instrText>
        </w:r>
        <w:r>
          <w:fldChar w:fldCharType="separate"/>
        </w:r>
        <w:r w:rsidR="001344B1">
          <w:rPr>
            <w:noProof/>
          </w:rPr>
          <w:t>13</w:t>
        </w:r>
        <w:r>
          <w:rPr>
            <w:noProof/>
          </w:rPr>
          <w:fldChar w:fldCharType="end"/>
        </w:r>
      </w:p>
    </w:sdtContent>
  </w:sdt>
  <w:p w:rsidR="00854212" w:rsidRDefault="008542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AB1" w:rsidRDefault="00E35AB1">
      <w:pPr>
        <w:spacing w:after="0" w:line="240" w:lineRule="auto"/>
      </w:pPr>
      <w:r>
        <w:separator/>
      </w:r>
    </w:p>
  </w:footnote>
  <w:footnote w:type="continuationSeparator" w:id="0">
    <w:p w:rsidR="00E35AB1" w:rsidRDefault="00E35A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B3572"/>
    <w:multiLevelType w:val="hybridMultilevel"/>
    <w:tmpl w:val="4330FF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35700B"/>
    <w:multiLevelType w:val="hybridMultilevel"/>
    <w:tmpl w:val="D246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93EC0"/>
    <w:multiLevelType w:val="hybridMultilevel"/>
    <w:tmpl w:val="1F0C8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710DF"/>
    <w:multiLevelType w:val="hybridMultilevel"/>
    <w:tmpl w:val="EACAF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4759C"/>
    <w:multiLevelType w:val="hybridMultilevel"/>
    <w:tmpl w:val="5D82D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A58E4"/>
    <w:multiLevelType w:val="hybridMultilevel"/>
    <w:tmpl w:val="0F9AE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D812E8"/>
    <w:multiLevelType w:val="multilevel"/>
    <w:tmpl w:val="DCD80604"/>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893A69"/>
    <w:multiLevelType w:val="hybridMultilevel"/>
    <w:tmpl w:val="06FE931E"/>
    <w:lvl w:ilvl="0" w:tplc="B27A6296">
      <w:start w:val="1"/>
      <w:numFmt w:val="bullet"/>
      <w:lvlText w:val=""/>
      <w:lvlJc w:val="left"/>
      <w:pPr>
        <w:ind w:left="720" w:hanging="360"/>
      </w:pPr>
      <w:rPr>
        <w:rFonts w:ascii="Symbol" w:hAnsi="Symbol" w:hint="default"/>
      </w:rPr>
    </w:lvl>
    <w:lvl w:ilvl="1" w:tplc="A02C3354">
      <w:start w:val="1"/>
      <w:numFmt w:val="bullet"/>
      <w:lvlText w:val="o"/>
      <w:lvlJc w:val="left"/>
      <w:pPr>
        <w:ind w:left="1440" w:hanging="360"/>
      </w:pPr>
      <w:rPr>
        <w:rFonts w:ascii="Courier New" w:hAnsi="Courier New" w:hint="default"/>
      </w:rPr>
    </w:lvl>
    <w:lvl w:ilvl="2" w:tplc="70943786">
      <w:start w:val="1"/>
      <w:numFmt w:val="bullet"/>
      <w:lvlText w:val=""/>
      <w:lvlJc w:val="left"/>
      <w:pPr>
        <w:ind w:left="1637" w:hanging="360"/>
      </w:pPr>
      <w:rPr>
        <w:rFonts w:ascii="Wingdings" w:hAnsi="Wingdings" w:hint="default"/>
      </w:rPr>
    </w:lvl>
    <w:lvl w:ilvl="3" w:tplc="9F9EEB7C">
      <w:start w:val="1"/>
      <w:numFmt w:val="bullet"/>
      <w:lvlText w:val=""/>
      <w:lvlJc w:val="left"/>
      <w:pPr>
        <w:ind w:left="2880" w:hanging="360"/>
      </w:pPr>
      <w:rPr>
        <w:rFonts w:ascii="Symbol" w:hAnsi="Symbol" w:hint="default"/>
      </w:rPr>
    </w:lvl>
    <w:lvl w:ilvl="4" w:tplc="876A94D8">
      <w:start w:val="1"/>
      <w:numFmt w:val="bullet"/>
      <w:lvlText w:val="o"/>
      <w:lvlJc w:val="left"/>
      <w:pPr>
        <w:ind w:left="3600" w:hanging="360"/>
      </w:pPr>
      <w:rPr>
        <w:rFonts w:ascii="Courier New" w:hAnsi="Courier New" w:hint="default"/>
      </w:rPr>
    </w:lvl>
    <w:lvl w:ilvl="5" w:tplc="B928ABE8">
      <w:start w:val="1"/>
      <w:numFmt w:val="bullet"/>
      <w:lvlText w:val=""/>
      <w:lvlJc w:val="left"/>
      <w:pPr>
        <w:ind w:left="4320" w:hanging="360"/>
      </w:pPr>
      <w:rPr>
        <w:rFonts w:ascii="Wingdings" w:hAnsi="Wingdings" w:hint="default"/>
      </w:rPr>
    </w:lvl>
    <w:lvl w:ilvl="6" w:tplc="7A9293F8">
      <w:start w:val="1"/>
      <w:numFmt w:val="bullet"/>
      <w:lvlText w:val=""/>
      <w:lvlJc w:val="left"/>
      <w:pPr>
        <w:ind w:left="5040" w:hanging="360"/>
      </w:pPr>
      <w:rPr>
        <w:rFonts w:ascii="Symbol" w:hAnsi="Symbol" w:hint="default"/>
      </w:rPr>
    </w:lvl>
    <w:lvl w:ilvl="7" w:tplc="F87E8412">
      <w:start w:val="1"/>
      <w:numFmt w:val="bullet"/>
      <w:lvlText w:val="o"/>
      <w:lvlJc w:val="left"/>
      <w:pPr>
        <w:ind w:left="5760" w:hanging="360"/>
      </w:pPr>
      <w:rPr>
        <w:rFonts w:ascii="Courier New" w:hAnsi="Courier New" w:hint="default"/>
      </w:rPr>
    </w:lvl>
    <w:lvl w:ilvl="8" w:tplc="1B0AA406">
      <w:start w:val="1"/>
      <w:numFmt w:val="bullet"/>
      <w:lvlText w:val=""/>
      <w:lvlJc w:val="left"/>
      <w:pPr>
        <w:ind w:left="6480" w:hanging="360"/>
      </w:pPr>
      <w:rPr>
        <w:rFonts w:ascii="Wingdings" w:hAnsi="Wingdings" w:hint="default"/>
      </w:rPr>
    </w:lvl>
  </w:abstractNum>
  <w:abstractNum w:abstractNumId="8" w15:restartNumberingAfterBreak="0">
    <w:nsid w:val="1F8452DC"/>
    <w:multiLevelType w:val="hybridMultilevel"/>
    <w:tmpl w:val="0A907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E0153D"/>
    <w:multiLevelType w:val="hybridMultilevel"/>
    <w:tmpl w:val="16620370"/>
    <w:lvl w:ilvl="0" w:tplc="D188DF10">
      <w:start w:val="66"/>
      <w:numFmt w:val="bullet"/>
      <w:lvlText w:val="-"/>
      <w:lvlJc w:val="left"/>
      <w:pPr>
        <w:ind w:left="720" w:hanging="360"/>
      </w:pPr>
      <w:rPr>
        <w:rFonts w:ascii="Calibri Light" w:eastAsiaTheme="minorHAnsi"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EE8371B"/>
    <w:multiLevelType w:val="hybridMultilevel"/>
    <w:tmpl w:val="89482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A21A6"/>
    <w:multiLevelType w:val="hybridMultilevel"/>
    <w:tmpl w:val="0D3CF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89493D"/>
    <w:multiLevelType w:val="hybridMultilevel"/>
    <w:tmpl w:val="C0889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D6673"/>
    <w:multiLevelType w:val="hybridMultilevel"/>
    <w:tmpl w:val="1434531E"/>
    <w:lvl w:ilvl="0" w:tplc="D862C86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9C7C71"/>
    <w:multiLevelType w:val="hybridMultilevel"/>
    <w:tmpl w:val="990E273E"/>
    <w:lvl w:ilvl="0" w:tplc="D862C86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213844"/>
    <w:multiLevelType w:val="hybridMultilevel"/>
    <w:tmpl w:val="98300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241310"/>
    <w:multiLevelType w:val="hybridMultilevel"/>
    <w:tmpl w:val="1E8C3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94765C"/>
    <w:multiLevelType w:val="hybridMultilevel"/>
    <w:tmpl w:val="8E6E7F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2942DE8"/>
    <w:multiLevelType w:val="hybridMultilevel"/>
    <w:tmpl w:val="9F608E92"/>
    <w:lvl w:ilvl="0" w:tplc="E6921090">
      <w:start w:val="1"/>
      <w:numFmt w:val="bullet"/>
      <w:lvlText w:val=""/>
      <w:lvlJc w:val="left"/>
      <w:pPr>
        <w:ind w:left="720" w:hanging="360"/>
      </w:pPr>
      <w:rPr>
        <w:rFonts w:ascii="Symbol" w:hAnsi="Symbol" w:hint="default"/>
      </w:rPr>
    </w:lvl>
    <w:lvl w:ilvl="1" w:tplc="A648B0DA">
      <w:start w:val="1"/>
      <w:numFmt w:val="bullet"/>
      <w:lvlText w:val="o"/>
      <w:lvlJc w:val="left"/>
      <w:pPr>
        <w:ind w:left="1440" w:hanging="360"/>
      </w:pPr>
      <w:rPr>
        <w:rFonts w:ascii="Courier New" w:hAnsi="Courier New" w:hint="default"/>
      </w:rPr>
    </w:lvl>
    <w:lvl w:ilvl="2" w:tplc="264CA262">
      <w:start w:val="1"/>
      <w:numFmt w:val="bullet"/>
      <w:lvlText w:val=""/>
      <w:lvlJc w:val="left"/>
      <w:pPr>
        <w:ind w:left="2160" w:hanging="360"/>
      </w:pPr>
      <w:rPr>
        <w:rFonts w:ascii="Wingdings" w:hAnsi="Wingdings" w:hint="default"/>
      </w:rPr>
    </w:lvl>
    <w:lvl w:ilvl="3" w:tplc="F678DEC8">
      <w:start w:val="1"/>
      <w:numFmt w:val="bullet"/>
      <w:lvlText w:val=""/>
      <w:lvlJc w:val="left"/>
      <w:pPr>
        <w:ind w:left="2880" w:hanging="360"/>
      </w:pPr>
      <w:rPr>
        <w:rFonts w:ascii="Symbol" w:hAnsi="Symbol" w:hint="default"/>
      </w:rPr>
    </w:lvl>
    <w:lvl w:ilvl="4" w:tplc="5000A356">
      <w:start w:val="1"/>
      <w:numFmt w:val="bullet"/>
      <w:lvlText w:val="o"/>
      <w:lvlJc w:val="left"/>
      <w:pPr>
        <w:ind w:left="3600" w:hanging="360"/>
      </w:pPr>
      <w:rPr>
        <w:rFonts w:ascii="Courier New" w:hAnsi="Courier New" w:hint="default"/>
      </w:rPr>
    </w:lvl>
    <w:lvl w:ilvl="5" w:tplc="BEC8892C">
      <w:start w:val="1"/>
      <w:numFmt w:val="bullet"/>
      <w:lvlText w:val=""/>
      <w:lvlJc w:val="left"/>
      <w:pPr>
        <w:ind w:left="4320" w:hanging="360"/>
      </w:pPr>
      <w:rPr>
        <w:rFonts w:ascii="Wingdings" w:hAnsi="Wingdings" w:hint="default"/>
      </w:rPr>
    </w:lvl>
    <w:lvl w:ilvl="6" w:tplc="C66A4630">
      <w:start w:val="1"/>
      <w:numFmt w:val="bullet"/>
      <w:lvlText w:val=""/>
      <w:lvlJc w:val="left"/>
      <w:pPr>
        <w:ind w:left="5040" w:hanging="360"/>
      </w:pPr>
      <w:rPr>
        <w:rFonts w:ascii="Symbol" w:hAnsi="Symbol" w:hint="default"/>
      </w:rPr>
    </w:lvl>
    <w:lvl w:ilvl="7" w:tplc="107CCC02">
      <w:start w:val="1"/>
      <w:numFmt w:val="bullet"/>
      <w:lvlText w:val="o"/>
      <w:lvlJc w:val="left"/>
      <w:pPr>
        <w:ind w:left="5760" w:hanging="360"/>
      </w:pPr>
      <w:rPr>
        <w:rFonts w:ascii="Courier New" w:hAnsi="Courier New" w:hint="default"/>
      </w:rPr>
    </w:lvl>
    <w:lvl w:ilvl="8" w:tplc="EBD87A40">
      <w:start w:val="1"/>
      <w:numFmt w:val="bullet"/>
      <w:lvlText w:val=""/>
      <w:lvlJc w:val="left"/>
      <w:pPr>
        <w:ind w:left="6480" w:hanging="360"/>
      </w:pPr>
      <w:rPr>
        <w:rFonts w:ascii="Wingdings" w:hAnsi="Wingdings" w:hint="default"/>
      </w:rPr>
    </w:lvl>
  </w:abstractNum>
  <w:abstractNum w:abstractNumId="19" w15:restartNumberingAfterBreak="0">
    <w:nsid w:val="53923CCD"/>
    <w:multiLevelType w:val="hybridMultilevel"/>
    <w:tmpl w:val="835013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B4A735D"/>
    <w:multiLevelType w:val="hybridMultilevel"/>
    <w:tmpl w:val="F2B00ECA"/>
    <w:lvl w:ilvl="0" w:tplc="D862C86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C94968"/>
    <w:multiLevelType w:val="hybridMultilevel"/>
    <w:tmpl w:val="CD40A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7262C5"/>
    <w:multiLevelType w:val="hybridMultilevel"/>
    <w:tmpl w:val="C10A3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2C1803"/>
    <w:multiLevelType w:val="hybridMultilevel"/>
    <w:tmpl w:val="A96C4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C5281"/>
    <w:multiLevelType w:val="hybridMultilevel"/>
    <w:tmpl w:val="A69AE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736E59"/>
    <w:multiLevelType w:val="hybridMultilevel"/>
    <w:tmpl w:val="57642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601E10"/>
    <w:multiLevelType w:val="hybridMultilevel"/>
    <w:tmpl w:val="25967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D45A4A"/>
    <w:multiLevelType w:val="hybridMultilevel"/>
    <w:tmpl w:val="4B00BA92"/>
    <w:lvl w:ilvl="0" w:tplc="F4562808">
      <w:numFmt w:val="bullet"/>
      <w:lvlText w:val="-"/>
      <w:lvlJc w:val="left"/>
      <w:pPr>
        <w:ind w:left="720" w:hanging="360"/>
      </w:pPr>
      <w:rPr>
        <w:rFonts w:ascii="Calibri Light" w:eastAsiaTheme="minorHAnsi" w:hAnsi="Calibri Light"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4E2303"/>
    <w:multiLevelType w:val="hybridMultilevel"/>
    <w:tmpl w:val="012C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5B28EF"/>
    <w:multiLevelType w:val="hybridMultilevel"/>
    <w:tmpl w:val="17486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F12A77"/>
    <w:multiLevelType w:val="hybridMultilevel"/>
    <w:tmpl w:val="A71A4386"/>
    <w:lvl w:ilvl="0" w:tplc="D862C86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325F38"/>
    <w:multiLevelType w:val="hybridMultilevel"/>
    <w:tmpl w:val="08B09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8274AC"/>
    <w:multiLevelType w:val="hybridMultilevel"/>
    <w:tmpl w:val="66BEF9E2"/>
    <w:lvl w:ilvl="0" w:tplc="D862C86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6"/>
  </w:num>
  <w:num w:numId="4">
    <w:abstractNumId w:val="27"/>
  </w:num>
  <w:num w:numId="5">
    <w:abstractNumId w:val="9"/>
  </w:num>
  <w:num w:numId="6">
    <w:abstractNumId w:val="28"/>
  </w:num>
  <w:num w:numId="7">
    <w:abstractNumId w:val="5"/>
  </w:num>
  <w:num w:numId="8">
    <w:abstractNumId w:val="11"/>
  </w:num>
  <w:num w:numId="9">
    <w:abstractNumId w:val="2"/>
  </w:num>
  <w:num w:numId="10">
    <w:abstractNumId w:val="25"/>
  </w:num>
  <w:num w:numId="11">
    <w:abstractNumId w:val="8"/>
  </w:num>
  <w:num w:numId="12">
    <w:abstractNumId w:val="26"/>
  </w:num>
  <w:num w:numId="13">
    <w:abstractNumId w:val="10"/>
  </w:num>
  <w:num w:numId="14">
    <w:abstractNumId w:val="29"/>
  </w:num>
  <w:num w:numId="15">
    <w:abstractNumId w:val="21"/>
  </w:num>
  <w:num w:numId="16">
    <w:abstractNumId w:val="16"/>
  </w:num>
  <w:num w:numId="17">
    <w:abstractNumId w:val="22"/>
  </w:num>
  <w:num w:numId="18">
    <w:abstractNumId w:val="14"/>
  </w:num>
  <w:num w:numId="19">
    <w:abstractNumId w:val="13"/>
  </w:num>
  <w:num w:numId="20">
    <w:abstractNumId w:val="20"/>
  </w:num>
  <w:num w:numId="21">
    <w:abstractNumId w:val="32"/>
  </w:num>
  <w:num w:numId="22">
    <w:abstractNumId w:val="30"/>
  </w:num>
  <w:num w:numId="23">
    <w:abstractNumId w:val="31"/>
  </w:num>
  <w:num w:numId="24">
    <w:abstractNumId w:val="4"/>
  </w:num>
  <w:num w:numId="25">
    <w:abstractNumId w:val="15"/>
  </w:num>
  <w:num w:numId="26">
    <w:abstractNumId w:val="1"/>
  </w:num>
  <w:num w:numId="27">
    <w:abstractNumId w:val="12"/>
  </w:num>
  <w:num w:numId="28">
    <w:abstractNumId w:val="23"/>
  </w:num>
  <w:num w:numId="29">
    <w:abstractNumId w:val="3"/>
  </w:num>
  <w:num w:numId="30">
    <w:abstractNumId w:val="24"/>
  </w:num>
  <w:num w:numId="31">
    <w:abstractNumId w:val="17"/>
  </w:num>
  <w:num w:numId="32">
    <w:abstractNumId w:val="19"/>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019F1"/>
    <w:rsid w:val="000566A9"/>
    <w:rsid w:val="000A703A"/>
    <w:rsid w:val="000B29C0"/>
    <w:rsid w:val="00113286"/>
    <w:rsid w:val="001206B9"/>
    <w:rsid w:val="001344B1"/>
    <w:rsid w:val="001E71BC"/>
    <w:rsid w:val="00201820"/>
    <w:rsid w:val="00230139"/>
    <w:rsid w:val="00277280"/>
    <w:rsid w:val="002E33C4"/>
    <w:rsid w:val="00327742"/>
    <w:rsid w:val="00336514"/>
    <w:rsid w:val="00337702"/>
    <w:rsid w:val="003A45A5"/>
    <w:rsid w:val="004355B6"/>
    <w:rsid w:val="00441F32"/>
    <w:rsid w:val="0046088A"/>
    <w:rsid w:val="00496AC8"/>
    <w:rsid w:val="004B6166"/>
    <w:rsid w:val="004D6D55"/>
    <w:rsid w:val="004D77B5"/>
    <w:rsid w:val="004F2894"/>
    <w:rsid w:val="00525937"/>
    <w:rsid w:val="00561AD6"/>
    <w:rsid w:val="00572497"/>
    <w:rsid w:val="0058232B"/>
    <w:rsid w:val="00623170"/>
    <w:rsid w:val="006366EA"/>
    <w:rsid w:val="006649E1"/>
    <w:rsid w:val="006A5D09"/>
    <w:rsid w:val="00706C81"/>
    <w:rsid w:val="00706D14"/>
    <w:rsid w:val="007144FE"/>
    <w:rsid w:val="00727EAD"/>
    <w:rsid w:val="007F3EEB"/>
    <w:rsid w:val="008002DF"/>
    <w:rsid w:val="00800C45"/>
    <w:rsid w:val="008404C3"/>
    <w:rsid w:val="00854212"/>
    <w:rsid w:val="00862096"/>
    <w:rsid w:val="008A0260"/>
    <w:rsid w:val="008C4987"/>
    <w:rsid w:val="009857BB"/>
    <w:rsid w:val="009A4CF5"/>
    <w:rsid w:val="009E1259"/>
    <w:rsid w:val="00A019F1"/>
    <w:rsid w:val="00A06ECC"/>
    <w:rsid w:val="00AA048A"/>
    <w:rsid w:val="00AB0546"/>
    <w:rsid w:val="00AD0F13"/>
    <w:rsid w:val="00BA182C"/>
    <w:rsid w:val="00C31314"/>
    <w:rsid w:val="00C46DBC"/>
    <w:rsid w:val="00C60152"/>
    <w:rsid w:val="00E111B1"/>
    <w:rsid w:val="00E11238"/>
    <w:rsid w:val="00E35AB1"/>
    <w:rsid w:val="00E6327F"/>
    <w:rsid w:val="00E65741"/>
    <w:rsid w:val="00E759CC"/>
    <w:rsid w:val="00E81786"/>
    <w:rsid w:val="00EA150F"/>
    <w:rsid w:val="00F013E8"/>
    <w:rsid w:val="00FD3E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22E506E-E68D-416B-926A-FF1A4EBB9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19F1"/>
    <w:pPr>
      <w:spacing w:line="480" w:lineRule="auto"/>
    </w:pPr>
    <w:rPr>
      <w:rFonts w:ascii="Calibri Light" w:eastAsia="SimSun" w:hAnsi="Calibri Light"/>
    </w:rPr>
  </w:style>
  <w:style w:type="paragraph" w:styleId="Heading1">
    <w:name w:val="heading 1"/>
    <w:basedOn w:val="Normal"/>
    <w:next w:val="Normal"/>
    <w:link w:val="Heading1Char"/>
    <w:uiPriority w:val="9"/>
    <w:qFormat/>
    <w:rsid w:val="00BA182C"/>
    <w:pPr>
      <w:keepNext/>
      <w:keepLines/>
      <w:spacing w:before="240" w:after="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A019F1"/>
    <w:pPr>
      <w:keepNext/>
      <w:keepLines/>
      <w:numPr>
        <w:ilvl w:val="1"/>
        <w:numId w:val="3"/>
      </w:numPr>
      <w:spacing w:before="40" w:after="0"/>
      <w:ind w:left="431" w:hanging="431"/>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unhideWhenUsed/>
    <w:qFormat/>
    <w:rsid w:val="00A019F1"/>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qFormat/>
    <w:rsid w:val="00A019F1"/>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A019F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9F1"/>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A019F1"/>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rsid w:val="00A019F1"/>
    <w:rPr>
      <w:rFonts w:asciiTheme="majorHAnsi" w:eastAsiaTheme="majorEastAsia" w:hAnsiTheme="majorHAnsi" w:cstheme="majorBidi"/>
      <w:b/>
      <w:szCs w:val="24"/>
    </w:rPr>
  </w:style>
  <w:style w:type="character" w:customStyle="1" w:styleId="Heading4Char">
    <w:name w:val="Heading 4 Char"/>
    <w:basedOn w:val="DefaultParagraphFont"/>
    <w:link w:val="Heading4"/>
    <w:uiPriority w:val="9"/>
    <w:rsid w:val="00A019F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A019F1"/>
    <w:rPr>
      <w:rFonts w:asciiTheme="majorHAnsi" w:eastAsiaTheme="majorEastAsia" w:hAnsiTheme="majorHAnsi" w:cstheme="majorBidi"/>
      <w:color w:val="2E74B5" w:themeColor="accent1" w:themeShade="BF"/>
    </w:rPr>
  </w:style>
  <w:style w:type="paragraph" w:styleId="ListParagraph">
    <w:name w:val="List Paragraph"/>
    <w:basedOn w:val="Normal"/>
    <w:uiPriority w:val="34"/>
    <w:qFormat/>
    <w:rsid w:val="00A019F1"/>
    <w:pPr>
      <w:ind w:left="720"/>
      <w:contextualSpacing/>
    </w:pPr>
  </w:style>
  <w:style w:type="paragraph" w:styleId="Title">
    <w:name w:val="Title"/>
    <w:basedOn w:val="Normal"/>
    <w:next w:val="Normal"/>
    <w:link w:val="TitleChar"/>
    <w:uiPriority w:val="10"/>
    <w:qFormat/>
    <w:rsid w:val="00AB0546"/>
    <w:pPr>
      <w:spacing w:after="2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546"/>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A019F1"/>
    <w:rPr>
      <w:sz w:val="16"/>
      <w:szCs w:val="16"/>
    </w:rPr>
  </w:style>
  <w:style w:type="paragraph" w:styleId="CommentText">
    <w:name w:val="annotation text"/>
    <w:basedOn w:val="Normal"/>
    <w:link w:val="CommentTextChar"/>
    <w:uiPriority w:val="99"/>
    <w:unhideWhenUsed/>
    <w:rsid w:val="00A019F1"/>
    <w:pPr>
      <w:spacing w:line="240" w:lineRule="auto"/>
    </w:pPr>
    <w:rPr>
      <w:sz w:val="20"/>
      <w:szCs w:val="20"/>
    </w:rPr>
  </w:style>
  <w:style w:type="character" w:customStyle="1" w:styleId="CommentTextChar">
    <w:name w:val="Comment Text Char"/>
    <w:basedOn w:val="DefaultParagraphFont"/>
    <w:link w:val="CommentText"/>
    <w:uiPriority w:val="99"/>
    <w:rsid w:val="00A019F1"/>
    <w:rPr>
      <w:rFonts w:ascii="Calibri Light" w:eastAsia="SimSun" w:hAnsi="Calibri Light"/>
      <w:sz w:val="20"/>
      <w:szCs w:val="20"/>
    </w:rPr>
  </w:style>
  <w:style w:type="paragraph" w:styleId="CommentSubject">
    <w:name w:val="annotation subject"/>
    <w:basedOn w:val="CommentText"/>
    <w:next w:val="CommentText"/>
    <w:link w:val="CommentSubjectChar"/>
    <w:uiPriority w:val="99"/>
    <w:semiHidden/>
    <w:unhideWhenUsed/>
    <w:rsid w:val="00A019F1"/>
    <w:rPr>
      <w:b/>
      <w:bCs/>
    </w:rPr>
  </w:style>
  <w:style w:type="character" w:customStyle="1" w:styleId="CommentSubjectChar">
    <w:name w:val="Comment Subject Char"/>
    <w:basedOn w:val="CommentTextChar"/>
    <w:link w:val="CommentSubject"/>
    <w:uiPriority w:val="99"/>
    <w:semiHidden/>
    <w:rsid w:val="00A019F1"/>
    <w:rPr>
      <w:rFonts w:ascii="Calibri Light" w:eastAsia="SimSun" w:hAnsi="Calibri Light"/>
      <w:b/>
      <w:bCs/>
      <w:sz w:val="20"/>
      <w:szCs w:val="20"/>
    </w:rPr>
  </w:style>
  <w:style w:type="paragraph" w:styleId="BalloonText">
    <w:name w:val="Balloon Text"/>
    <w:basedOn w:val="Normal"/>
    <w:link w:val="BalloonTextChar"/>
    <w:uiPriority w:val="99"/>
    <w:semiHidden/>
    <w:unhideWhenUsed/>
    <w:rsid w:val="00A019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19F1"/>
    <w:rPr>
      <w:rFonts w:ascii="Segoe UI" w:eastAsia="SimSun" w:hAnsi="Segoe UI" w:cs="Segoe UI"/>
      <w:sz w:val="18"/>
      <w:szCs w:val="18"/>
    </w:rPr>
  </w:style>
  <w:style w:type="paragraph" w:styleId="TOCHeading">
    <w:name w:val="TOC Heading"/>
    <w:basedOn w:val="Heading1"/>
    <w:next w:val="Normal"/>
    <w:uiPriority w:val="39"/>
    <w:unhideWhenUsed/>
    <w:qFormat/>
    <w:rsid w:val="00A019F1"/>
    <w:pPr>
      <w:outlineLvl w:val="9"/>
    </w:pPr>
    <w:rPr>
      <w:sz w:val="32"/>
    </w:rPr>
  </w:style>
  <w:style w:type="paragraph" w:styleId="TOC1">
    <w:name w:val="toc 1"/>
    <w:basedOn w:val="Normal"/>
    <w:next w:val="Normal"/>
    <w:autoRedefine/>
    <w:uiPriority w:val="39"/>
    <w:unhideWhenUsed/>
    <w:rsid w:val="00A019F1"/>
    <w:pPr>
      <w:spacing w:after="100"/>
    </w:pPr>
  </w:style>
  <w:style w:type="paragraph" w:styleId="TOC2">
    <w:name w:val="toc 2"/>
    <w:basedOn w:val="Normal"/>
    <w:next w:val="Normal"/>
    <w:autoRedefine/>
    <w:uiPriority w:val="39"/>
    <w:unhideWhenUsed/>
    <w:rsid w:val="00A019F1"/>
    <w:pPr>
      <w:spacing w:after="100"/>
      <w:ind w:left="220"/>
    </w:pPr>
  </w:style>
  <w:style w:type="character" w:styleId="Hyperlink">
    <w:name w:val="Hyperlink"/>
    <w:basedOn w:val="DefaultParagraphFont"/>
    <w:uiPriority w:val="99"/>
    <w:unhideWhenUsed/>
    <w:rsid w:val="00A019F1"/>
    <w:rPr>
      <w:color w:val="0563C1" w:themeColor="hyperlink"/>
      <w:u w:val="single"/>
    </w:rPr>
  </w:style>
  <w:style w:type="table" w:styleId="TableGrid">
    <w:name w:val="Table Grid"/>
    <w:basedOn w:val="TableNormal"/>
    <w:uiPriority w:val="39"/>
    <w:rsid w:val="00A019F1"/>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019F1"/>
    <w:pPr>
      <w:spacing w:after="200" w:line="240" w:lineRule="auto"/>
    </w:pPr>
    <w:rPr>
      <w:i/>
      <w:iCs/>
      <w:sz w:val="18"/>
      <w:szCs w:val="18"/>
    </w:rPr>
  </w:style>
  <w:style w:type="paragraph" w:customStyle="1" w:styleId="Headingunnummered">
    <w:name w:val="Heading unnummered"/>
    <w:basedOn w:val="Heading1"/>
    <w:qFormat/>
    <w:rsid w:val="00A019F1"/>
    <w:pPr>
      <w:ind w:left="360" w:hanging="360"/>
    </w:pPr>
  </w:style>
  <w:style w:type="paragraph" w:customStyle="1" w:styleId="Note">
    <w:name w:val="Note"/>
    <w:basedOn w:val="Normal"/>
    <w:qFormat/>
    <w:rsid w:val="00C60152"/>
    <w:pPr>
      <w:spacing w:before="200" w:after="200" w:line="240" w:lineRule="auto"/>
    </w:pPr>
    <w:rPr>
      <w:rFonts w:asciiTheme="majorHAnsi" w:eastAsia="Times New Roman" w:hAnsiTheme="majorHAnsi" w:cs="Arial"/>
      <w:i/>
      <w:color w:val="222222"/>
      <w:sz w:val="20"/>
      <w:szCs w:val="20"/>
      <w:lang w:val="en-GB"/>
    </w:rPr>
  </w:style>
  <w:style w:type="table" w:customStyle="1" w:styleId="GridTable1Light-Accent11">
    <w:name w:val="Grid Table 1 Light - Accent 11"/>
    <w:basedOn w:val="TableNormal"/>
    <w:uiPriority w:val="46"/>
    <w:rsid w:val="00A019F1"/>
    <w:pPr>
      <w:spacing w:after="0" w:line="240" w:lineRule="auto"/>
    </w:pPr>
    <w:rPr>
      <w:rFonts w:eastAsia="SimSun"/>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A019F1"/>
    <w:pPr>
      <w:tabs>
        <w:tab w:val="center" w:pos="4703"/>
        <w:tab w:val="right" w:pos="9406"/>
      </w:tabs>
      <w:spacing w:after="0" w:line="240" w:lineRule="auto"/>
    </w:pPr>
  </w:style>
  <w:style w:type="character" w:customStyle="1" w:styleId="HeaderChar">
    <w:name w:val="Header Char"/>
    <w:basedOn w:val="DefaultParagraphFont"/>
    <w:link w:val="Header"/>
    <w:uiPriority w:val="99"/>
    <w:rsid w:val="00A019F1"/>
    <w:rPr>
      <w:rFonts w:ascii="Calibri Light" w:eastAsia="SimSun" w:hAnsi="Calibri Light"/>
    </w:rPr>
  </w:style>
  <w:style w:type="paragraph" w:styleId="Footer">
    <w:name w:val="footer"/>
    <w:basedOn w:val="Normal"/>
    <w:link w:val="FooterChar"/>
    <w:uiPriority w:val="99"/>
    <w:unhideWhenUsed/>
    <w:rsid w:val="00A019F1"/>
    <w:pPr>
      <w:tabs>
        <w:tab w:val="center" w:pos="4703"/>
        <w:tab w:val="right" w:pos="9406"/>
      </w:tabs>
      <w:spacing w:after="0" w:line="240" w:lineRule="auto"/>
    </w:pPr>
  </w:style>
  <w:style w:type="character" w:customStyle="1" w:styleId="FooterChar">
    <w:name w:val="Footer Char"/>
    <w:basedOn w:val="DefaultParagraphFont"/>
    <w:link w:val="Footer"/>
    <w:uiPriority w:val="99"/>
    <w:rsid w:val="00A019F1"/>
    <w:rPr>
      <w:rFonts w:ascii="Calibri Light" w:eastAsia="SimSun" w:hAnsi="Calibri Light"/>
    </w:rPr>
  </w:style>
  <w:style w:type="character" w:customStyle="1" w:styleId="m-5510878461891137981spelle">
    <w:name w:val="m_-5510878461891137981spelle"/>
    <w:basedOn w:val="DefaultParagraphFont"/>
    <w:rsid w:val="00A019F1"/>
  </w:style>
  <w:style w:type="table" w:customStyle="1" w:styleId="GridTable1Light-Accent111">
    <w:name w:val="Grid Table 1 Light - Accent 111"/>
    <w:basedOn w:val="TableNormal"/>
    <w:uiPriority w:val="46"/>
    <w:rsid w:val="00A019F1"/>
    <w:pPr>
      <w:spacing w:after="0" w:line="240" w:lineRule="auto"/>
    </w:pPr>
    <w:rPr>
      <w:rFonts w:eastAsia="SimSun"/>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m-3216410521941554791msolistparagraph">
    <w:name w:val="m_-3216410521941554791msolistparagraph"/>
    <w:basedOn w:val="Normal"/>
    <w:rsid w:val="00A019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A019F1"/>
  </w:style>
  <w:style w:type="paragraph" w:customStyle="1" w:styleId="3rdlevel">
    <w:name w:val="3rd_level"/>
    <w:basedOn w:val="Normal"/>
    <w:qFormat/>
    <w:rsid w:val="00A019F1"/>
    <w:pPr>
      <w:spacing w:after="0" w:line="240" w:lineRule="auto"/>
    </w:pPr>
    <w:rPr>
      <w:rFonts w:asciiTheme="minorHAnsi" w:hAnsiTheme="minorHAnsi"/>
      <w:b/>
    </w:rPr>
  </w:style>
  <w:style w:type="paragraph" w:customStyle="1" w:styleId="Description">
    <w:name w:val="Description"/>
    <w:basedOn w:val="Normal"/>
    <w:qFormat/>
    <w:rsid w:val="00A019F1"/>
    <w:pPr>
      <w:spacing w:after="0" w:line="240" w:lineRule="auto"/>
      <w:ind w:left="284"/>
    </w:pPr>
    <w:rPr>
      <w:rFonts w:asciiTheme="minorHAnsi" w:hAnsiTheme="minorHAnsi"/>
    </w:rPr>
  </w:style>
  <w:style w:type="paragraph" w:styleId="NormalWeb">
    <w:name w:val="Normal (Web)"/>
    <w:basedOn w:val="Normal"/>
    <w:uiPriority w:val="99"/>
    <w:semiHidden/>
    <w:unhideWhenUsed/>
    <w:rsid w:val="00A019F1"/>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PlainTable11">
    <w:name w:val="Plain Table 11"/>
    <w:basedOn w:val="TableNormal"/>
    <w:uiPriority w:val="41"/>
    <w:rsid w:val="00A019F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A019F1"/>
    <w:pPr>
      <w:spacing w:after="0" w:line="240" w:lineRule="auto"/>
    </w:pPr>
    <w:rPr>
      <w:rFonts w:ascii="Calibri Light" w:eastAsia="SimSun" w:hAnsi="Calibri Light"/>
    </w:rPr>
  </w:style>
  <w:style w:type="paragraph" w:customStyle="1" w:styleId="p1">
    <w:name w:val="p1"/>
    <w:basedOn w:val="Normal"/>
    <w:rsid w:val="00A019F1"/>
    <w:pPr>
      <w:spacing w:after="0" w:line="240" w:lineRule="auto"/>
      <w:ind w:left="345"/>
    </w:pPr>
    <w:rPr>
      <w:rFonts w:ascii="Helvetica Neue" w:hAnsi="Helvetica Neue" w:cs="Times New Roman"/>
      <w:sz w:val="18"/>
      <w:szCs w:val="18"/>
      <w:lang w:eastAsia="ko-KR"/>
    </w:rPr>
  </w:style>
  <w:style w:type="character" w:customStyle="1" w:styleId="apple-converted-space">
    <w:name w:val="apple-converted-space"/>
    <w:basedOn w:val="DefaultParagraphFont"/>
    <w:rsid w:val="00A019F1"/>
  </w:style>
  <w:style w:type="paragraph" w:customStyle="1" w:styleId="Address">
    <w:name w:val="Address"/>
    <w:basedOn w:val="Normal"/>
    <w:qFormat/>
    <w:rsid w:val="00A019F1"/>
    <w:pPr>
      <w:suppressAutoHyphens/>
      <w:spacing w:after="0" w:line="240" w:lineRule="auto"/>
      <w:jc w:val="center"/>
    </w:pPr>
    <w:rPr>
      <w:rFonts w:eastAsia="Arial Unicode MS" w:cs="Times New Roman"/>
      <w:color w:val="000000"/>
      <w:sz w:val="24"/>
      <w:szCs w:val="24"/>
      <w:u w:color="000000"/>
      <w:lang w:val="en-GB"/>
    </w:rPr>
  </w:style>
  <w:style w:type="paragraph" w:customStyle="1" w:styleId="Table">
    <w:name w:val="Table"/>
    <w:basedOn w:val="Normal"/>
    <w:qFormat/>
    <w:rsid w:val="00A019F1"/>
    <w:pPr>
      <w:spacing w:after="0" w:line="240" w:lineRule="auto"/>
    </w:pPr>
    <w:rPr>
      <w:rFonts w:asciiTheme="majorHAnsi" w:eastAsia="Times New Roman" w:hAnsiTheme="majorHAnsi" w:cs="Times New Roman"/>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mj-lt"/>
              </a:rPr>
              <a:t>Optimal</a:t>
            </a:r>
            <a:r>
              <a:rPr lang="en-US" baseline="0">
                <a:latin typeface="+mj-lt"/>
              </a:rPr>
              <a:t> number of factors</a:t>
            </a:r>
            <a:endParaRPr lang="en-US">
              <a:latin typeface="+mj-lt"/>
            </a:endParaRPr>
          </a:p>
        </c:rich>
      </c:tx>
      <c:overlay val="0"/>
      <c:spPr>
        <a:noFill/>
        <a:ln>
          <a:noFill/>
        </a:ln>
        <a:effectLst/>
      </c:spPr>
    </c:title>
    <c:autoTitleDeleted val="0"/>
    <c:plotArea>
      <c:layout/>
      <c:barChart>
        <c:barDir val="col"/>
        <c:grouping val="clustered"/>
        <c:varyColors val="0"/>
        <c:ser>
          <c:idx val="0"/>
          <c:order val="0"/>
          <c:spPr>
            <a:solidFill>
              <a:schemeClr val="dk1">
                <a:tint val="88500"/>
              </a:schemeClr>
            </a:solidFill>
            <a:ln>
              <a:noFill/>
            </a:ln>
            <a:effectLst/>
          </c:spPr>
          <c:invertIfNegative val="0"/>
          <c:val>
            <c:numRef>
              <c:f>frequency_less_skewed!$D$12:$D$18</c:f>
              <c:numCache>
                <c:formatCode>General</c:formatCode>
                <c:ptCount val="7"/>
                <c:pt idx="0">
                  <c:v>530</c:v>
                </c:pt>
                <c:pt idx="1">
                  <c:v>70</c:v>
                </c:pt>
                <c:pt idx="2">
                  <c:v>60</c:v>
                </c:pt>
                <c:pt idx="3">
                  <c:v>70</c:v>
                </c:pt>
                <c:pt idx="4">
                  <c:v>312</c:v>
                </c:pt>
                <c:pt idx="5">
                  <c:v>958</c:v>
                </c:pt>
                <c:pt idx="6">
                  <c:v>0</c:v>
                </c:pt>
              </c:numCache>
            </c:numRef>
          </c:val>
          <c:extLst xmlns:c16r2="http://schemas.microsoft.com/office/drawing/2015/06/chart">
            <c:ext xmlns:c16="http://schemas.microsoft.com/office/drawing/2014/chart" uri="{C3380CC4-5D6E-409C-BE32-E72D297353CC}">
              <c16:uniqueId val="{00000000-92A3-4FD5-AAF5-5CE483B0101C}"/>
            </c:ext>
          </c:extLst>
        </c:ser>
        <c:dLbls>
          <c:showLegendKey val="0"/>
          <c:showVal val="0"/>
          <c:showCatName val="0"/>
          <c:showSerName val="0"/>
          <c:showPercent val="0"/>
          <c:showBubbleSize val="0"/>
        </c:dLbls>
        <c:gapWidth val="219"/>
        <c:overlap val="-27"/>
        <c:axId val="465973208"/>
        <c:axId val="465973992"/>
      </c:barChart>
      <c:catAx>
        <c:axId val="46597320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973992"/>
        <c:crosses val="autoZero"/>
        <c:auto val="1"/>
        <c:lblAlgn val="ctr"/>
        <c:lblOffset val="100"/>
        <c:noMultiLvlLbl val="0"/>
      </c:catAx>
      <c:valAx>
        <c:axId val="46597399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5973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06FC0-50C1-422E-9878-3D98F4A60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10162</Words>
  <Characters>57930</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University of Zurich, Department of Geography</Company>
  <LinksUpToDate>false</LinksUpToDate>
  <CharactersWithSpaces>67957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Fillekes</dc:creator>
  <cp:keywords/>
  <dc:description/>
  <cp:lastModifiedBy>Michelle Fillekes</cp:lastModifiedBy>
  <cp:revision>4</cp:revision>
  <cp:lastPrinted>2019-07-08T08:30:00Z</cp:lastPrinted>
  <dcterms:created xsi:type="dcterms:W3CDTF">2019-07-22T11:37:00Z</dcterms:created>
  <dcterms:modified xsi:type="dcterms:W3CDTF">2019-07-22T12:06:00Z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http://www.zotero.org/styles/social-science-and-medicine</vt:lpwstr>
  </property>
  <property fmtid="{D5CDD505-2E9C-101B-9397-08002B2CF9AE}" pid="19" name="Mendeley Recent Style Name 8_1">
    <vt:lpwstr>Social Science &amp; Medicine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7fcff657-f68a-3d7d-80b9-751e5464e2b4</vt:lpwstr>
  </property>
  <property fmtid="{D5CDD505-2E9C-101B-9397-08002B2CF9AE}" pid="24" name="Mendeley Citation Style_1">
    <vt:lpwstr>http://www.zotero.org/styles/vancouver</vt:lpwstr>
  </property>
</Properties>
</file>