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5DD01" w14:textId="6A9CCB1A" w:rsidR="005B448E" w:rsidRDefault="00891F0F" w:rsidP="00AF0DA7">
      <w:pPr>
        <w:shd w:val="clear" w:color="auto" w:fill="FFFFFF"/>
        <w:jc w:val="center"/>
        <w:textAlignment w:val="baseline"/>
        <w:rPr>
          <w:rFonts w:ascii="Times New Roman" w:hAnsi="Times New Roman"/>
          <w:b/>
          <w:sz w:val="20"/>
          <w:szCs w:val="20"/>
          <w:shd w:val="clear" w:color="auto" w:fill="FFFFFF"/>
        </w:rPr>
      </w:pPr>
      <w:r w:rsidRPr="00891F0F">
        <w:rPr>
          <w:rFonts w:ascii="Times New Roman" w:hAnsi="Times New Roman"/>
          <w:b/>
          <w:sz w:val="20"/>
          <w:szCs w:val="20"/>
          <w:shd w:val="clear" w:color="auto" w:fill="FFFFFF"/>
        </w:rPr>
        <w:t>Estimating the local spatio-temporal distribution of malaria from routine health information systems in areas of low health care access and reporting</w:t>
      </w:r>
    </w:p>
    <w:p w14:paraId="3764701D" w14:textId="32E0D7FF" w:rsidR="00AF0DA7" w:rsidRPr="00805B2C" w:rsidRDefault="00AF0DA7" w:rsidP="00AF0DA7">
      <w:pPr>
        <w:shd w:val="clear" w:color="auto" w:fill="FFFFFF"/>
        <w:jc w:val="center"/>
        <w:textAlignment w:val="baseline"/>
        <w:rPr>
          <w:rFonts w:ascii="Times New Roman" w:hAnsi="Times New Roman"/>
          <w:b/>
          <w:sz w:val="20"/>
          <w:szCs w:val="20"/>
          <w:shd w:val="clear" w:color="auto" w:fill="FFFFFF"/>
        </w:rPr>
      </w:pPr>
      <w:r w:rsidRPr="00805B2C">
        <w:rPr>
          <w:rFonts w:ascii="Times New Roman" w:hAnsi="Times New Roman"/>
          <w:b/>
          <w:bCs/>
          <w:sz w:val="20"/>
          <w:szCs w:val="20"/>
          <w:shd w:val="clear" w:color="auto" w:fill="FFFFFF"/>
        </w:rPr>
        <w:t>-</w:t>
      </w:r>
      <w:r w:rsidRPr="00805B2C">
        <w:rPr>
          <w:rFonts w:ascii="Times New Roman" w:hAnsi="Times New Roman"/>
          <w:b/>
          <w:bCs/>
          <w:sz w:val="20"/>
          <w:szCs w:val="20"/>
        </w:rPr>
        <w:t xml:space="preserve"> Supplementary information -</w:t>
      </w:r>
    </w:p>
    <w:p w14:paraId="232DD8B6" w14:textId="77777777" w:rsidR="00AF0DA7" w:rsidRPr="00805B2C" w:rsidRDefault="00AF0DA7" w:rsidP="00AF0DA7">
      <w:pPr>
        <w:shd w:val="clear" w:color="auto" w:fill="FFFFFF"/>
        <w:ind w:left="720"/>
        <w:jc w:val="both"/>
        <w:textAlignment w:val="baseline"/>
        <w:rPr>
          <w:rFonts w:ascii="Times New Roman" w:hAnsi="Times New Roman"/>
          <w:b/>
          <w:bCs/>
          <w:sz w:val="20"/>
          <w:szCs w:val="20"/>
        </w:rPr>
      </w:pPr>
    </w:p>
    <w:p w14:paraId="1A92876F" w14:textId="77777777" w:rsidR="001C5559" w:rsidRPr="001C5559" w:rsidRDefault="001C5559" w:rsidP="001C5559">
      <w:pPr>
        <w:shd w:val="clear" w:color="auto" w:fill="FFFFFF"/>
        <w:jc w:val="both"/>
        <w:textAlignment w:val="baseline"/>
        <w:rPr>
          <w:rFonts w:ascii="Times New Roman" w:hAnsi="Times New Roman"/>
          <w:color w:val="222222"/>
          <w:sz w:val="20"/>
          <w:szCs w:val="24"/>
          <w:shd w:val="clear" w:color="auto" w:fill="FFFFFF"/>
        </w:rPr>
      </w:pPr>
      <w:r w:rsidRPr="001C5559">
        <w:rPr>
          <w:rFonts w:ascii="Times New Roman" w:hAnsi="Times New Roman"/>
          <w:color w:val="222222"/>
          <w:sz w:val="20"/>
          <w:szCs w:val="24"/>
          <w:shd w:val="clear" w:color="auto" w:fill="FFFFFF"/>
        </w:rPr>
        <w:t>Elizabeth Hyde</w:t>
      </w:r>
      <w:r w:rsidRPr="001C5559">
        <w:rPr>
          <w:rFonts w:ascii="Times New Roman" w:hAnsi="Times New Roman"/>
          <w:color w:val="222222"/>
          <w:sz w:val="20"/>
          <w:szCs w:val="24"/>
          <w:shd w:val="clear" w:color="auto" w:fill="FFFFFF"/>
          <w:vertAlign w:val="superscript"/>
        </w:rPr>
        <w:t>1</w:t>
      </w:r>
      <w:r w:rsidRPr="001C5559">
        <w:rPr>
          <w:rFonts w:ascii="Times New Roman" w:hAnsi="Times New Roman"/>
          <w:color w:val="222222"/>
          <w:sz w:val="20"/>
          <w:szCs w:val="24"/>
          <w:shd w:val="clear" w:color="auto" w:fill="FFFFFF"/>
        </w:rPr>
        <w:t>, Matthew H. Bonds</w:t>
      </w:r>
      <w:r w:rsidRPr="001C5559">
        <w:rPr>
          <w:rFonts w:ascii="Times New Roman" w:hAnsi="Times New Roman"/>
          <w:color w:val="222222"/>
          <w:sz w:val="20"/>
          <w:szCs w:val="24"/>
          <w:shd w:val="clear" w:color="auto" w:fill="FFFFFF"/>
          <w:vertAlign w:val="superscript"/>
        </w:rPr>
        <w:t>2,3</w:t>
      </w:r>
      <w:r w:rsidRPr="001C5559">
        <w:rPr>
          <w:rFonts w:ascii="Times New Roman" w:hAnsi="Times New Roman"/>
          <w:color w:val="222222"/>
          <w:sz w:val="20"/>
          <w:szCs w:val="24"/>
          <w:shd w:val="clear" w:color="auto" w:fill="FFFFFF"/>
        </w:rPr>
        <w:t>, Felana A. Ihantamalala</w:t>
      </w:r>
      <w:r w:rsidRPr="001C5559">
        <w:rPr>
          <w:rFonts w:ascii="Times New Roman" w:hAnsi="Times New Roman"/>
          <w:color w:val="222222"/>
          <w:sz w:val="20"/>
          <w:szCs w:val="24"/>
          <w:shd w:val="clear" w:color="auto" w:fill="FFFFFF"/>
          <w:vertAlign w:val="superscript"/>
        </w:rPr>
        <w:t>2,3</w:t>
      </w:r>
      <w:r w:rsidRPr="001C5559">
        <w:rPr>
          <w:rFonts w:ascii="Times New Roman" w:hAnsi="Times New Roman"/>
          <w:color w:val="222222"/>
          <w:sz w:val="20"/>
          <w:szCs w:val="24"/>
          <w:shd w:val="clear" w:color="auto" w:fill="FFFFFF"/>
        </w:rPr>
        <w:t>, Ann C. Miller</w:t>
      </w:r>
      <w:r w:rsidRPr="001C5559">
        <w:rPr>
          <w:rFonts w:ascii="Times New Roman" w:hAnsi="Times New Roman"/>
          <w:color w:val="222222"/>
          <w:sz w:val="20"/>
          <w:szCs w:val="24"/>
          <w:shd w:val="clear" w:color="auto" w:fill="FFFFFF"/>
          <w:vertAlign w:val="superscript"/>
        </w:rPr>
        <w:t>2</w:t>
      </w:r>
      <w:r w:rsidRPr="001C5559">
        <w:rPr>
          <w:rFonts w:ascii="Times New Roman" w:hAnsi="Times New Roman"/>
          <w:color w:val="222222"/>
          <w:sz w:val="20"/>
          <w:szCs w:val="24"/>
          <w:shd w:val="clear" w:color="auto" w:fill="FFFFFF"/>
        </w:rPr>
        <w:t xml:space="preserve">, Laura F. </w:t>
      </w:r>
      <w:proofErr w:type="spellStart"/>
      <w:r w:rsidRPr="001C5559">
        <w:rPr>
          <w:rFonts w:ascii="Times New Roman" w:hAnsi="Times New Roman"/>
          <w:color w:val="222222"/>
          <w:sz w:val="20"/>
          <w:szCs w:val="24"/>
          <w:shd w:val="clear" w:color="auto" w:fill="FFFFFF"/>
        </w:rPr>
        <w:t>Cordier</w:t>
      </w:r>
      <w:r w:rsidRPr="001C5559">
        <w:rPr>
          <w:rFonts w:ascii="Times New Roman" w:hAnsi="Times New Roman"/>
          <w:color w:val="222222"/>
          <w:sz w:val="20"/>
          <w:szCs w:val="24"/>
          <w:shd w:val="clear" w:color="auto" w:fill="FFFFFF"/>
          <w:vertAlign w:val="superscript"/>
        </w:rPr>
        <w:t>3</w:t>
      </w:r>
      <w:proofErr w:type="spellEnd"/>
      <w:r w:rsidRPr="001C5559">
        <w:rPr>
          <w:rFonts w:ascii="Times New Roman" w:hAnsi="Times New Roman"/>
          <w:color w:val="222222"/>
          <w:sz w:val="20"/>
          <w:szCs w:val="24"/>
          <w:shd w:val="clear" w:color="auto" w:fill="FFFFFF"/>
        </w:rPr>
        <w:t xml:space="preserve">, </w:t>
      </w:r>
      <w:proofErr w:type="spellStart"/>
      <w:r w:rsidRPr="001C5559">
        <w:rPr>
          <w:rFonts w:ascii="Times New Roman" w:hAnsi="Times New Roman"/>
          <w:color w:val="222222"/>
          <w:sz w:val="20"/>
          <w:szCs w:val="24"/>
          <w:shd w:val="clear" w:color="auto" w:fill="FFFFFF"/>
        </w:rPr>
        <w:t>Benedicte</w:t>
      </w:r>
      <w:proofErr w:type="spellEnd"/>
      <w:r w:rsidRPr="001C5559">
        <w:rPr>
          <w:sz w:val="18"/>
        </w:rPr>
        <w:t xml:space="preserve"> </w:t>
      </w:r>
      <w:proofErr w:type="spellStart"/>
      <w:r w:rsidRPr="001C5559">
        <w:rPr>
          <w:rFonts w:ascii="Times New Roman" w:hAnsi="Times New Roman"/>
          <w:color w:val="222222"/>
          <w:sz w:val="20"/>
          <w:szCs w:val="24"/>
          <w:shd w:val="clear" w:color="auto" w:fill="FFFFFF"/>
        </w:rPr>
        <w:t>Razafinjato</w:t>
      </w:r>
      <w:r w:rsidRPr="001C5559">
        <w:rPr>
          <w:rFonts w:ascii="Times New Roman" w:hAnsi="Times New Roman"/>
          <w:color w:val="222222"/>
          <w:sz w:val="20"/>
          <w:szCs w:val="24"/>
          <w:shd w:val="clear" w:color="auto" w:fill="FFFFFF"/>
          <w:vertAlign w:val="superscript"/>
        </w:rPr>
        <w:t>3</w:t>
      </w:r>
      <w:proofErr w:type="spellEnd"/>
      <w:r w:rsidRPr="001C5559">
        <w:rPr>
          <w:rFonts w:ascii="Times New Roman" w:hAnsi="Times New Roman"/>
          <w:color w:val="222222"/>
          <w:sz w:val="20"/>
          <w:szCs w:val="24"/>
          <w:shd w:val="clear" w:color="auto" w:fill="FFFFFF"/>
        </w:rPr>
        <w:t xml:space="preserve">, </w:t>
      </w:r>
      <w:proofErr w:type="spellStart"/>
      <w:r w:rsidRPr="001C5559">
        <w:rPr>
          <w:rFonts w:ascii="Times New Roman" w:hAnsi="Times New Roman"/>
          <w:color w:val="222222"/>
          <w:sz w:val="20"/>
          <w:szCs w:val="24"/>
          <w:shd w:val="clear" w:color="auto" w:fill="FFFFFF"/>
        </w:rPr>
        <w:t>Herinjaka</w:t>
      </w:r>
      <w:proofErr w:type="spellEnd"/>
      <w:r w:rsidRPr="001C5559">
        <w:rPr>
          <w:rFonts w:ascii="Times New Roman" w:hAnsi="Times New Roman"/>
          <w:color w:val="222222"/>
          <w:sz w:val="20"/>
          <w:szCs w:val="24"/>
          <w:shd w:val="clear" w:color="auto" w:fill="FFFFFF"/>
        </w:rPr>
        <w:t xml:space="preserve"> </w:t>
      </w:r>
      <w:proofErr w:type="spellStart"/>
      <w:r w:rsidRPr="001C5559">
        <w:rPr>
          <w:rFonts w:ascii="Times New Roman" w:hAnsi="Times New Roman"/>
          <w:color w:val="222222"/>
          <w:sz w:val="20"/>
          <w:szCs w:val="24"/>
          <w:shd w:val="clear" w:color="auto" w:fill="FFFFFF"/>
        </w:rPr>
        <w:t>Andriambolamanana</w:t>
      </w:r>
      <w:r w:rsidRPr="001C5559">
        <w:rPr>
          <w:rFonts w:ascii="Times New Roman" w:hAnsi="Times New Roman"/>
          <w:color w:val="222222"/>
          <w:sz w:val="20"/>
          <w:szCs w:val="24"/>
          <w:shd w:val="clear" w:color="auto" w:fill="FFFFFF"/>
          <w:vertAlign w:val="superscript"/>
        </w:rPr>
        <w:t>3</w:t>
      </w:r>
      <w:proofErr w:type="spellEnd"/>
      <w:r w:rsidRPr="001C5559">
        <w:rPr>
          <w:rFonts w:ascii="Times New Roman" w:hAnsi="Times New Roman"/>
          <w:color w:val="222222"/>
          <w:sz w:val="20"/>
          <w:szCs w:val="24"/>
          <w:shd w:val="clear" w:color="auto" w:fill="FFFFFF"/>
        </w:rPr>
        <w:t>, Marius Randriamanambintsoa</w:t>
      </w:r>
      <w:r w:rsidRPr="001C5559">
        <w:rPr>
          <w:rFonts w:ascii="Times New Roman" w:hAnsi="Times New Roman"/>
          <w:color w:val="222222"/>
          <w:sz w:val="20"/>
          <w:szCs w:val="24"/>
          <w:shd w:val="clear" w:color="auto" w:fill="FFFFFF"/>
          <w:vertAlign w:val="superscript"/>
        </w:rPr>
        <w:t>4</w:t>
      </w:r>
      <w:r w:rsidRPr="001C5559">
        <w:rPr>
          <w:rFonts w:ascii="Times New Roman" w:hAnsi="Times New Roman"/>
          <w:color w:val="222222"/>
          <w:sz w:val="20"/>
          <w:szCs w:val="24"/>
          <w:shd w:val="clear" w:color="auto" w:fill="FFFFFF"/>
        </w:rPr>
        <w:t xml:space="preserve">, Michele </w:t>
      </w:r>
      <w:proofErr w:type="spellStart"/>
      <w:r w:rsidRPr="001C5559">
        <w:rPr>
          <w:rFonts w:ascii="Times New Roman" w:hAnsi="Times New Roman"/>
          <w:color w:val="222222"/>
          <w:sz w:val="20"/>
          <w:szCs w:val="24"/>
          <w:shd w:val="clear" w:color="auto" w:fill="FFFFFF"/>
        </w:rPr>
        <w:t>Barry</w:t>
      </w:r>
      <w:r w:rsidRPr="001C5559">
        <w:rPr>
          <w:rFonts w:ascii="Times New Roman" w:hAnsi="Times New Roman"/>
          <w:color w:val="222222"/>
          <w:sz w:val="20"/>
          <w:szCs w:val="24"/>
          <w:shd w:val="clear" w:color="auto" w:fill="FFFFFF"/>
          <w:vertAlign w:val="superscript"/>
        </w:rPr>
        <w:t>5,6</w:t>
      </w:r>
      <w:proofErr w:type="spellEnd"/>
      <w:r w:rsidRPr="001C5559">
        <w:rPr>
          <w:rFonts w:ascii="Times New Roman" w:hAnsi="Times New Roman"/>
          <w:color w:val="222222"/>
          <w:sz w:val="20"/>
          <w:szCs w:val="24"/>
          <w:shd w:val="clear" w:color="auto" w:fill="FFFFFF"/>
        </w:rPr>
        <w:t xml:space="preserve">, Jean-Claude </w:t>
      </w:r>
      <w:proofErr w:type="spellStart"/>
      <w:r w:rsidRPr="001C5559">
        <w:rPr>
          <w:rFonts w:ascii="Times New Roman" w:hAnsi="Times New Roman"/>
          <w:color w:val="222222"/>
          <w:sz w:val="20"/>
          <w:szCs w:val="24"/>
          <w:shd w:val="clear" w:color="auto" w:fill="FFFFFF"/>
        </w:rPr>
        <w:t>Andrianirinarison</w:t>
      </w:r>
      <w:r w:rsidRPr="001C5559">
        <w:rPr>
          <w:rFonts w:ascii="Times New Roman" w:hAnsi="Times New Roman"/>
          <w:color w:val="222222"/>
          <w:sz w:val="20"/>
          <w:szCs w:val="24"/>
          <w:shd w:val="clear" w:color="auto" w:fill="FFFFFF"/>
          <w:vertAlign w:val="superscript"/>
        </w:rPr>
        <w:t>7,8</w:t>
      </w:r>
      <w:proofErr w:type="spellEnd"/>
      <w:r w:rsidRPr="001C5559">
        <w:rPr>
          <w:rFonts w:ascii="Times New Roman" w:hAnsi="Times New Roman"/>
          <w:color w:val="222222"/>
          <w:sz w:val="20"/>
          <w:szCs w:val="24"/>
          <w:shd w:val="clear" w:color="auto" w:fill="FFFFFF"/>
        </w:rPr>
        <w:t xml:space="preserve">, </w:t>
      </w:r>
      <w:proofErr w:type="spellStart"/>
      <w:r w:rsidRPr="001C5559">
        <w:rPr>
          <w:rFonts w:ascii="Times New Roman" w:hAnsi="Times New Roman"/>
          <w:color w:val="222222"/>
          <w:sz w:val="20"/>
          <w:szCs w:val="24"/>
          <w:shd w:val="clear" w:color="auto" w:fill="FFFFFF"/>
        </w:rPr>
        <w:t>Mauricette</w:t>
      </w:r>
      <w:proofErr w:type="spellEnd"/>
      <w:r w:rsidRPr="001C5559">
        <w:rPr>
          <w:rFonts w:ascii="Times New Roman" w:hAnsi="Times New Roman"/>
          <w:color w:val="222222"/>
          <w:sz w:val="20"/>
          <w:szCs w:val="24"/>
          <w:shd w:val="clear" w:color="auto" w:fill="FFFFFF"/>
        </w:rPr>
        <w:t xml:space="preserve"> A. Nambinisoa</w:t>
      </w:r>
      <w:r w:rsidRPr="001C5559">
        <w:rPr>
          <w:rFonts w:ascii="Times New Roman" w:hAnsi="Times New Roman"/>
          <w:color w:val="222222"/>
          <w:sz w:val="20"/>
          <w:szCs w:val="24"/>
          <w:shd w:val="clear" w:color="auto" w:fill="FFFFFF"/>
          <w:vertAlign w:val="superscript"/>
        </w:rPr>
        <w:t>7</w:t>
      </w:r>
      <w:r w:rsidRPr="001C5559">
        <w:rPr>
          <w:rFonts w:ascii="Times New Roman" w:hAnsi="Times New Roman"/>
          <w:color w:val="222222"/>
          <w:sz w:val="20"/>
          <w:szCs w:val="24"/>
          <w:shd w:val="clear" w:color="auto" w:fill="FFFFFF"/>
        </w:rPr>
        <w:t>, Andres Garchitorena</w:t>
      </w:r>
      <w:r w:rsidRPr="001C5559">
        <w:rPr>
          <w:rFonts w:ascii="Times New Roman" w:hAnsi="Times New Roman"/>
          <w:color w:val="222222"/>
          <w:sz w:val="20"/>
          <w:szCs w:val="24"/>
          <w:shd w:val="clear" w:color="auto" w:fill="FFFFFF"/>
          <w:vertAlign w:val="superscript"/>
        </w:rPr>
        <w:t>3,9*</w:t>
      </w:r>
    </w:p>
    <w:p w14:paraId="0920CE5B" w14:textId="77777777" w:rsidR="00AF0DA7" w:rsidRPr="00805B2C" w:rsidRDefault="00AF0DA7" w:rsidP="00AF0DA7">
      <w:pPr>
        <w:shd w:val="clear" w:color="auto" w:fill="FFFFFF"/>
        <w:jc w:val="both"/>
        <w:textAlignment w:val="baseline"/>
        <w:rPr>
          <w:rFonts w:ascii="Times New Roman" w:hAnsi="Times New Roman"/>
          <w:b/>
          <w:bCs/>
          <w:sz w:val="20"/>
          <w:szCs w:val="20"/>
        </w:rPr>
      </w:pPr>
    </w:p>
    <w:p w14:paraId="4EF4CA90" w14:textId="77777777" w:rsidR="001C5559" w:rsidRPr="001C5559" w:rsidRDefault="001C5559" w:rsidP="001C5559">
      <w:pPr>
        <w:shd w:val="clear" w:color="auto" w:fill="FFFFFF"/>
        <w:textAlignment w:val="baseline"/>
        <w:rPr>
          <w:rFonts w:ascii="Times New Roman" w:hAnsi="Times New Roman"/>
          <w:bCs/>
          <w:color w:val="222222"/>
          <w:sz w:val="20"/>
          <w:szCs w:val="24"/>
        </w:rPr>
      </w:pPr>
      <w:r w:rsidRPr="001C5559">
        <w:rPr>
          <w:rFonts w:ascii="Times New Roman" w:hAnsi="Times New Roman"/>
          <w:bCs/>
          <w:color w:val="222222"/>
          <w:sz w:val="20"/>
          <w:szCs w:val="24"/>
          <w:vertAlign w:val="superscript"/>
        </w:rPr>
        <w:t>1</w:t>
      </w:r>
      <w:r w:rsidRPr="001C5559">
        <w:rPr>
          <w:rFonts w:ascii="Times New Roman" w:hAnsi="Times New Roman"/>
          <w:bCs/>
          <w:color w:val="222222"/>
          <w:sz w:val="20"/>
          <w:szCs w:val="24"/>
        </w:rPr>
        <w:t xml:space="preserve"> Stanford University School of Medicine, Stanford, CA, USA</w:t>
      </w:r>
    </w:p>
    <w:p w14:paraId="200BCEF4" w14:textId="77777777" w:rsidR="001C5559" w:rsidRPr="001C5559" w:rsidRDefault="001C5559" w:rsidP="001C5559">
      <w:pPr>
        <w:rPr>
          <w:rFonts w:ascii="Times New Roman" w:hAnsi="Times New Roman"/>
          <w:color w:val="000000"/>
          <w:sz w:val="20"/>
          <w:shd w:val="clear" w:color="auto" w:fill="FFFFFF"/>
        </w:rPr>
      </w:pPr>
      <w:r w:rsidRPr="001C5559">
        <w:rPr>
          <w:rFonts w:ascii="Times New Roman" w:hAnsi="Times New Roman"/>
          <w:color w:val="000000"/>
          <w:sz w:val="20"/>
          <w:shd w:val="clear" w:color="auto" w:fill="FFFFFF"/>
          <w:vertAlign w:val="superscript"/>
        </w:rPr>
        <w:t>2</w:t>
      </w:r>
      <w:r w:rsidRPr="001C5559">
        <w:rPr>
          <w:rFonts w:ascii="Times New Roman" w:hAnsi="Times New Roman"/>
          <w:color w:val="000000"/>
          <w:sz w:val="20"/>
          <w:shd w:val="clear" w:color="auto" w:fill="FFFFFF"/>
        </w:rPr>
        <w:t xml:space="preserve"> Department of Global Health and Social Medicine, Harvard Medical School, Boston, USA</w:t>
      </w:r>
    </w:p>
    <w:p w14:paraId="000F3BEA" w14:textId="77777777" w:rsidR="001C5559" w:rsidRPr="001C5559" w:rsidRDefault="001C5559" w:rsidP="001C5559">
      <w:pPr>
        <w:rPr>
          <w:rFonts w:ascii="Times New Roman" w:hAnsi="Times New Roman"/>
          <w:color w:val="000000"/>
          <w:sz w:val="20"/>
          <w:shd w:val="clear" w:color="auto" w:fill="FFFFFF"/>
          <w:lang w:val="fr-FR"/>
        </w:rPr>
      </w:pPr>
      <w:r w:rsidRPr="001C5559">
        <w:rPr>
          <w:rFonts w:ascii="Times New Roman" w:hAnsi="Times New Roman"/>
          <w:color w:val="000000"/>
          <w:sz w:val="20"/>
          <w:shd w:val="clear" w:color="auto" w:fill="FFFFFF"/>
          <w:vertAlign w:val="superscript"/>
          <w:lang w:val="fr-FR"/>
        </w:rPr>
        <w:t>3</w:t>
      </w:r>
      <w:r w:rsidRPr="001C5559">
        <w:rPr>
          <w:rFonts w:ascii="Times New Roman" w:hAnsi="Times New Roman"/>
          <w:color w:val="000000"/>
          <w:sz w:val="20"/>
          <w:shd w:val="clear" w:color="auto" w:fill="FFFFFF"/>
          <w:lang w:val="fr-FR"/>
        </w:rPr>
        <w:t xml:space="preserve"> NGO PIVOT, Ranomafana, Madagascar</w:t>
      </w:r>
    </w:p>
    <w:p w14:paraId="637A283E" w14:textId="77777777" w:rsidR="001C5559" w:rsidRPr="001C5559" w:rsidRDefault="001C5559" w:rsidP="001C5559">
      <w:pPr>
        <w:rPr>
          <w:rFonts w:ascii="Times New Roman" w:hAnsi="Times New Roman"/>
          <w:color w:val="000000"/>
          <w:sz w:val="20"/>
          <w:shd w:val="clear" w:color="auto" w:fill="FFFFFF"/>
          <w:lang w:val="fr-FR"/>
        </w:rPr>
      </w:pPr>
      <w:r w:rsidRPr="001C5559">
        <w:rPr>
          <w:rFonts w:ascii="Times New Roman" w:hAnsi="Times New Roman"/>
          <w:color w:val="000000"/>
          <w:sz w:val="20"/>
          <w:shd w:val="clear" w:color="auto" w:fill="FFFFFF"/>
          <w:vertAlign w:val="superscript"/>
          <w:lang w:val="fr-FR"/>
        </w:rPr>
        <w:t>4</w:t>
      </w:r>
      <w:r w:rsidRPr="001C5559">
        <w:rPr>
          <w:rFonts w:ascii="Times New Roman" w:hAnsi="Times New Roman"/>
          <w:color w:val="000000"/>
          <w:sz w:val="20"/>
          <w:shd w:val="clear" w:color="auto" w:fill="FFFFFF"/>
          <w:lang w:val="fr-FR"/>
        </w:rPr>
        <w:t xml:space="preserve"> Direction de la Démographie et des Statistiques Sociales, Institut National de la Statistique,    Antananarivo, Madagascar</w:t>
      </w:r>
    </w:p>
    <w:p w14:paraId="6066C11E" w14:textId="77777777" w:rsidR="001C5559" w:rsidRPr="001C5559" w:rsidRDefault="001C5559" w:rsidP="001C5559">
      <w:pPr>
        <w:rPr>
          <w:rFonts w:ascii="Times New Roman" w:hAnsi="Times New Roman"/>
          <w:color w:val="000000"/>
          <w:sz w:val="20"/>
          <w:shd w:val="clear" w:color="auto" w:fill="FFFFFF"/>
          <w:lang w:val="en-GB"/>
        </w:rPr>
      </w:pPr>
      <w:r w:rsidRPr="001C5559">
        <w:rPr>
          <w:rFonts w:ascii="Times New Roman" w:hAnsi="Times New Roman"/>
          <w:color w:val="000000"/>
          <w:sz w:val="20"/>
          <w:shd w:val="clear" w:color="auto" w:fill="FFFFFF"/>
          <w:vertAlign w:val="superscript"/>
          <w:lang w:val="en-GB"/>
        </w:rPr>
        <w:t xml:space="preserve">5 </w:t>
      </w:r>
      <w:r w:rsidRPr="001C5559">
        <w:rPr>
          <w:rFonts w:ascii="Times New Roman" w:hAnsi="Times New Roman"/>
          <w:color w:val="000000"/>
          <w:sz w:val="20"/>
          <w:shd w:val="clear" w:color="auto" w:fill="FFFFFF"/>
          <w:lang w:val="en-GB"/>
        </w:rPr>
        <w:t>Center for Innovation in Global Health, Stanford University, Stanford, CA, USA</w:t>
      </w:r>
    </w:p>
    <w:p w14:paraId="610B8745" w14:textId="77777777" w:rsidR="001C5559" w:rsidRPr="001C5559" w:rsidRDefault="001C5559" w:rsidP="001C5559">
      <w:pPr>
        <w:rPr>
          <w:rFonts w:ascii="Times New Roman" w:hAnsi="Times New Roman"/>
          <w:color w:val="000000"/>
          <w:sz w:val="20"/>
          <w:shd w:val="clear" w:color="auto" w:fill="FFFFFF"/>
          <w:lang w:val="en-GB"/>
        </w:rPr>
      </w:pPr>
      <w:r w:rsidRPr="001C5559">
        <w:rPr>
          <w:rFonts w:ascii="Times New Roman" w:hAnsi="Times New Roman"/>
          <w:color w:val="000000"/>
          <w:sz w:val="20"/>
          <w:shd w:val="clear" w:color="auto" w:fill="FFFFFF"/>
          <w:vertAlign w:val="superscript"/>
          <w:lang w:val="en-GB"/>
        </w:rPr>
        <w:t>6</w:t>
      </w:r>
      <w:r w:rsidRPr="001C5559">
        <w:rPr>
          <w:rFonts w:ascii="Times New Roman" w:hAnsi="Times New Roman"/>
          <w:color w:val="000000"/>
          <w:sz w:val="20"/>
          <w:shd w:val="clear" w:color="auto" w:fill="FFFFFF"/>
          <w:lang w:val="en-GB"/>
        </w:rPr>
        <w:t xml:space="preserve"> Office of the Dean, Stanford University School of Medicine, Stanford, CA, USA</w:t>
      </w:r>
    </w:p>
    <w:p w14:paraId="12514713" w14:textId="77777777" w:rsidR="001C5559" w:rsidRPr="001C5559" w:rsidRDefault="001C5559" w:rsidP="001C5559">
      <w:pPr>
        <w:rPr>
          <w:rFonts w:ascii="Times New Roman" w:hAnsi="Times New Roman"/>
          <w:color w:val="000000"/>
          <w:sz w:val="20"/>
          <w:shd w:val="clear" w:color="auto" w:fill="FFFFFF"/>
          <w:lang w:val="en-GB"/>
        </w:rPr>
      </w:pPr>
      <w:r w:rsidRPr="001C5559">
        <w:rPr>
          <w:rFonts w:ascii="Times New Roman" w:hAnsi="Times New Roman"/>
          <w:color w:val="000000"/>
          <w:sz w:val="20"/>
          <w:shd w:val="clear" w:color="auto" w:fill="FFFFFF"/>
          <w:vertAlign w:val="superscript"/>
          <w:lang w:val="en-GB"/>
        </w:rPr>
        <w:t>7</w:t>
      </w:r>
      <w:r w:rsidRPr="001C5559">
        <w:rPr>
          <w:rFonts w:ascii="Times New Roman" w:hAnsi="Times New Roman"/>
          <w:color w:val="000000"/>
          <w:sz w:val="20"/>
          <w:shd w:val="clear" w:color="auto" w:fill="FFFFFF"/>
          <w:lang w:val="en-GB"/>
        </w:rPr>
        <w:t xml:space="preserve"> Ministry of Public Health, Antananarivo, Madagascar</w:t>
      </w:r>
    </w:p>
    <w:p w14:paraId="532051AF" w14:textId="77777777" w:rsidR="001C5559" w:rsidRPr="001C5559" w:rsidRDefault="001C5559" w:rsidP="001C5559">
      <w:pPr>
        <w:rPr>
          <w:rFonts w:ascii="Times New Roman" w:hAnsi="Times New Roman"/>
          <w:color w:val="000000"/>
          <w:sz w:val="20"/>
          <w:shd w:val="clear" w:color="auto" w:fill="FFFFFF"/>
        </w:rPr>
      </w:pPr>
      <w:r w:rsidRPr="001C5559">
        <w:rPr>
          <w:rFonts w:ascii="Times New Roman" w:hAnsi="Times New Roman"/>
          <w:color w:val="000000"/>
          <w:sz w:val="20"/>
          <w:shd w:val="clear" w:color="auto" w:fill="FFFFFF"/>
          <w:vertAlign w:val="superscript"/>
          <w:lang w:val="en-GB"/>
        </w:rPr>
        <w:t>8</w:t>
      </w:r>
      <w:r w:rsidRPr="001C5559">
        <w:rPr>
          <w:rFonts w:ascii="Times New Roman" w:hAnsi="Times New Roman"/>
          <w:color w:val="000000"/>
          <w:sz w:val="20"/>
          <w:shd w:val="clear" w:color="auto" w:fill="FFFFFF"/>
          <w:lang w:val="en-GB"/>
        </w:rPr>
        <w:t xml:space="preserve"> National Institute of Public Health, Antananarivo, Madagascar</w:t>
      </w:r>
    </w:p>
    <w:p w14:paraId="19EA7FBE" w14:textId="77777777" w:rsidR="001C5559" w:rsidRPr="001C5559" w:rsidRDefault="001C5559" w:rsidP="001C5559">
      <w:pPr>
        <w:rPr>
          <w:rFonts w:ascii="Times New Roman" w:hAnsi="Times New Roman"/>
          <w:color w:val="000000"/>
          <w:sz w:val="20"/>
          <w:shd w:val="clear" w:color="auto" w:fill="FFFFFF"/>
          <w:lang w:val="fr-FR"/>
        </w:rPr>
      </w:pPr>
      <w:r w:rsidRPr="001C5559">
        <w:rPr>
          <w:rFonts w:ascii="Times New Roman" w:hAnsi="Times New Roman"/>
          <w:color w:val="000000"/>
          <w:sz w:val="20"/>
          <w:shd w:val="clear" w:color="auto" w:fill="FFFFFF"/>
          <w:vertAlign w:val="superscript"/>
          <w:lang w:val="fr-FR"/>
        </w:rPr>
        <w:t>9</w:t>
      </w:r>
      <w:r w:rsidRPr="001C5559">
        <w:rPr>
          <w:rFonts w:ascii="Times New Roman" w:hAnsi="Times New Roman"/>
          <w:color w:val="000000"/>
          <w:sz w:val="20"/>
          <w:shd w:val="clear" w:color="auto" w:fill="FFFFFF"/>
          <w:lang w:val="fr-FR"/>
        </w:rPr>
        <w:t xml:space="preserve"> </w:t>
      </w:r>
      <w:proofErr w:type="spellStart"/>
      <w:r w:rsidRPr="001C5559">
        <w:rPr>
          <w:rFonts w:ascii="Times New Roman" w:hAnsi="Times New Roman"/>
          <w:color w:val="000000"/>
          <w:sz w:val="20"/>
          <w:shd w:val="clear" w:color="auto" w:fill="FFFFFF"/>
          <w:lang w:val="fr-FR"/>
        </w:rPr>
        <w:t>MIVEGEC</w:t>
      </w:r>
      <w:proofErr w:type="spellEnd"/>
      <w:r w:rsidRPr="001C5559">
        <w:rPr>
          <w:rFonts w:ascii="Times New Roman" w:hAnsi="Times New Roman"/>
          <w:color w:val="000000"/>
          <w:sz w:val="20"/>
          <w:shd w:val="clear" w:color="auto" w:fill="FFFFFF"/>
          <w:lang w:val="fr-FR"/>
        </w:rPr>
        <w:t>, Univ. Montpellier, CNRS, IRD, Montpellier, France</w:t>
      </w:r>
    </w:p>
    <w:p w14:paraId="54335558" w14:textId="77777777" w:rsidR="001C5559" w:rsidRPr="001C5559" w:rsidRDefault="001C5559" w:rsidP="001C5559">
      <w:pPr>
        <w:jc w:val="both"/>
        <w:rPr>
          <w:rFonts w:ascii="Times New Roman" w:hAnsi="Times New Roman"/>
          <w:color w:val="000000"/>
          <w:sz w:val="20"/>
          <w:shd w:val="clear" w:color="auto" w:fill="FFFFFF"/>
          <w:lang w:val="fr-FR"/>
        </w:rPr>
      </w:pPr>
      <w:bookmarkStart w:id="0" w:name="_GoBack"/>
      <w:bookmarkEnd w:id="0"/>
    </w:p>
    <w:p w14:paraId="505DE915" w14:textId="77777777" w:rsidR="001C5559" w:rsidRPr="001C5559" w:rsidRDefault="001C5559" w:rsidP="001C5559">
      <w:pPr>
        <w:rPr>
          <w:rFonts w:ascii="Times New Roman" w:hAnsi="Times New Roman"/>
          <w:bCs/>
          <w:color w:val="000000" w:themeColor="text1"/>
          <w:sz w:val="20"/>
          <w:szCs w:val="24"/>
          <w:shd w:val="clear" w:color="auto" w:fill="FFFFFF"/>
          <w:lang w:val="en-GB"/>
        </w:rPr>
      </w:pPr>
      <w:r w:rsidRPr="001C5559">
        <w:rPr>
          <w:rFonts w:ascii="Times New Roman" w:hAnsi="Times New Roman"/>
          <w:bCs/>
          <w:color w:val="000000" w:themeColor="text1"/>
          <w:sz w:val="20"/>
          <w:szCs w:val="24"/>
          <w:shd w:val="clear" w:color="auto" w:fill="FFFFFF"/>
          <w:lang w:val="en-GB"/>
        </w:rPr>
        <w:t xml:space="preserve">*Corresponding author: andres.garchitorena@gmail.com </w:t>
      </w:r>
    </w:p>
    <w:p w14:paraId="41589238" w14:textId="77777777" w:rsidR="00AF0DA7" w:rsidRPr="00805B2C" w:rsidRDefault="00AF0DA7">
      <w:pPr>
        <w:spacing w:after="160" w:line="259" w:lineRule="auto"/>
        <w:rPr>
          <w:rFonts w:ascii="Times New Roman" w:hAnsi="Times New Roman"/>
          <w:sz w:val="20"/>
          <w:szCs w:val="20"/>
        </w:rPr>
      </w:pPr>
      <w:r w:rsidRPr="00805B2C">
        <w:rPr>
          <w:rFonts w:ascii="Times New Roman" w:hAnsi="Times New Roman"/>
          <w:sz w:val="20"/>
          <w:szCs w:val="20"/>
        </w:rPr>
        <w:br w:type="page"/>
      </w:r>
    </w:p>
    <w:p w14:paraId="4A619E40" w14:textId="77777777" w:rsidR="00805B2C" w:rsidRPr="00805B2C" w:rsidRDefault="00805B2C" w:rsidP="00805B2C">
      <w:pPr>
        <w:jc w:val="both"/>
        <w:rPr>
          <w:rFonts w:ascii="Times New Roman" w:hAnsi="Times New Roman"/>
          <w:sz w:val="20"/>
          <w:szCs w:val="20"/>
        </w:rPr>
      </w:pPr>
      <w:r w:rsidRPr="00805B2C">
        <w:rPr>
          <w:rFonts w:ascii="Times New Roman" w:hAnsi="Times New Roman"/>
          <w:b/>
          <w:sz w:val="20"/>
          <w:szCs w:val="20"/>
        </w:rPr>
        <w:t>Table S1.</w:t>
      </w:r>
      <w:r w:rsidRPr="00805B2C">
        <w:rPr>
          <w:rFonts w:ascii="Times New Roman" w:hAnsi="Times New Roman"/>
          <w:sz w:val="20"/>
          <w:szCs w:val="20"/>
        </w:rPr>
        <w:t xml:space="preserve"> Multivariate model results of per-capita outpatient visits at Ifanadiana public health centers (PHC) in 2014-2017, excluding malaria cases (generalized linear mixed model with random intercept at the health center closest to the Fokontany of residence).</w:t>
      </w:r>
    </w:p>
    <w:tbl>
      <w:tblPr>
        <w:tblW w:w="7371" w:type="dxa"/>
        <w:tblCellMar>
          <w:left w:w="70" w:type="dxa"/>
          <w:right w:w="70" w:type="dxa"/>
        </w:tblCellMar>
        <w:tblLook w:val="04A0" w:firstRow="1" w:lastRow="0" w:firstColumn="1" w:lastColumn="0" w:noHBand="0" w:noVBand="1"/>
      </w:tblPr>
      <w:tblGrid>
        <w:gridCol w:w="4220"/>
        <w:gridCol w:w="3151"/>
      </w:tblGrid>
      <w:tr w:rsidR="00805B2C" w:rsidRPr="00805B2C" w14:paraId="44D6398B" w14:textId="77777777" w:rsidTr="00EA59B4">
        <w:trPr>
          <w:trHeight w:val="900"/>
        </w:trPr>
        <w:tc>
          <w:tcPr>
            <w:tcW w:w="4220" w:type="dxa"/>
            <w:tcBorders>
              <w:top w:val="single" w:sz="4" w:space="0" w:color="auto"/>
              <w:left w:val="nil"/>
              <w:bottom w:val="nil"/>
              <w:right w:val="nil"/>
            </w:tcBorders>
            <w:shd w:val="clear" w:color="auto" w:fill="auto"/>
            <w:noWrap/>
            <w:vAlign w:val="center"/>
            <w:hideMark/>
          </w:tcPr>
          <w:p w14:paraId="1E00E25E" w14:textId="77777777" w:rsidR="00805B2C" w:rsidRPr="00805B2C" w:rsidRDefault="00805B2C" w:rsidP="00EA59B4">
            <w:pPr>
              <w:rPr>
                <w:rFonts w:ascii="Times New Roman" w:eastAsia="Times New Roman" w:hAnsi="Times New Roman"/>
                <w:b/>
                <w:bCs/>
                <w:color w:val="000000"/>
                <w:sz w:val="20"/>
                <w:szCs w:val="20"/>
                <w:lang w:eastAsia="fr-FR"/>
              </w:rPr>
            </w:pPr>
            <w:r w:rsidRPr="00805B2C">
              <w:rPr>
                <w:rFonts w:ascii="Times New Roman" w:eastAsia="Times New Roman" w:hAnsi="Times New Roman"/>
                <w:b/>
                <w:bCs/>
                <w:color w:val="000000"/>
                <w:sz w:val="20"/>
                <w:szCs w:val="20"/>
                <w:lang w:eastAsia="fr-FR"/>
              </w:rPr>
              <w:t>Variable</w:t>
            </w:r>
          </w:p>
        </w:tc>
        <w:tc>
          <w:tcPr>
            <w:tcW w:w="3151" w:type="dxa"/>
            <w:tcBorders>
              <w:top w:val="single" w:sz="4" w:space="0" w:color="auto"/>
              <w:left w:val="nil"/>
              <w:bottom w:val="nil"/>
              <w:right w:val="nil"/>
            </w:tcBorders>
            <w:shd w:val="clear" w:color="auto" w:fill="auto"/>
            <w:vAlign w:val="center"/>
            <w:hideMark/>
          </w:tcPr>
          <w:p w14:paraId="22F8FB87" w14:textId="77777777" w:rsidR="00805B2C" w:rsidRPr="00805B2C" w:rsidRDefault="00805B2C" w:rsidP="00EA59B4">
            <w:pPr>
              <w:jc w:val="center"/>
              <w:rPr>
                <w:rFonts w:ascii="Times New Roman" w:eastAsia="Times New Roman" w:hAnsi="Times New Roman"/>
                <w:b/>
                <w:bCs/>
                <w:color w:val="000000"/>
                <w:sz w:val="20"/>
                <w:szCs w:val="20"/>
                <w:lang w:val="en-GB" w:eastAsia="fr-FR"/>
              </w:rPr>
            </w:pPr>
            <w:r w:rsidRPr="00805B2C">
              <w:rPr>
                <w:rFonts w:ascii="Times New Roman" w:eastAsia="Times New Roman" w:hAnsi="Times New Roman"/>
                <w:b/>
                <w:color w:val="000000"/>
                <w:sz w:val="20"/>
                <w:szCs w:val="20"/>
                <w:lang w:eastAsia="fr-FR"/>
              </w:rPr>
              <w:t>Odds Ratio (95% CI)</w:t>
            </w:r>
          </w:p>
        </w:tc>
      </w:tr>
      <w:tr w:rsidR="00805B2C" w:rsidRPr="00805B2C" w14:paraId="5787E308" w14:textId="77777777" w:rsidTr="00EA59B4">
        <w:trPr>
          <w:trHeight w:val="288"/>
        </w:trPr>
        <w:tc>
          <w:tcPr>
            <w:tcW w:w="4220" w:type="dxa"/>
            <w:tcBorders>
              <w:top w:val="single" w:sz="4" w:space="0" w:color="auto"/>
              <w:left w:val="nil"/>
              <w:bottom w:val="nil"/>
              <w:right w:val="nil"/>
            </w:tcBorders>
            <w:shd w:val="clear" w:color="auto" w:fill="auto"/>
            <w:noWrap/>
            <w:vAlign w:val="center"/>
            <w:hideMark/>
          </w:tcPr>
          <w:p w14:paraId="696A589E" w14:textId="77777777" w:rsidR="00805B2C" w:rsidRPr="00805B2C" w:rsidRDefault="00805B2C" w:rsidP="00EA59B4">
            <w:pPr>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Intercept (Visits per capita-month)</w:t>
            </w:r>
          </w:p>
        </w:tc>
        <w:tc>
          <w:tcPr>
            <w:tcW w:w="3151" w:type="dxa"/>
            <w:tcBorders>
              <w:top w:val="single" w:sz="4" w:space="0" w:color="auto"/>
              <w:left w:val="nil"/>
              <w:bottom w:val="nil"/>
              <w:right w:val="nil"/>
            </w:tcBorders>
            <w:shd w:val="clear" w:color="auto" w:fill="auto"/>
            <w:noWrap/>
            <w:vAlign w:val="center"/>
            <w:hideMark/>
          </w:tcPr>
          <w:p w14:paraId="2FD69E69"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0.015 (0.008-0.03)</w:t>
            </w:r>
          </w:p>
        </w:tc>
      </w:tr>
      <w:tr w:rsidR="00805B2C" w:rsidRPr="00805B2C" w14:paraId="7F21B3FF" w14:textId="77777777" w:rsidTr="00EA59B4">
        <w:trPr>
          <w:trHeight w:val="288"/>
        </w:trPr>
        <w:tc>
          <w:tcPr>
            <w:tcW w:w="4220" w:type="dxa"/>
            <w:tcBorders>
              <w:top w:val="single" w:sz="4" w:space="0" w:color="auto"/>
              <w:left w:val="nil"/>
              <w:bottom w:val="nil"/>
              <w:right w:val="nil"/>
            </w:tcBorders>
            <w:shd w:val="clear" w:color="auto" w:fill="auto"/>
            <w:noWrap/>
            <w:vAlign w:val="center"/>
            <w:hideMark/>
          </w:tcPr>
          <w:p w14:paraId="131D8F4A" w14:textId="77777777" w:rsidR="00805B2C" w:rsidRPr="00805B2C" w:rsidRDefault="00805B2C" w:rsidP="00EA59B4">
            <w:pPr>
              <w:rPr>
                <w:rFonts w:ascii="Times New Roman" w:eastAsia="Times New Roman" w:hAnsi="Times New Roman"/>
                <w:b/>
                <w:bCs/>
                <w:color w:val="000000"/>
                <w:sz w:val="20"/>
                <w:szCs w:val="20"/>
                <w:lang w:eastAsia="fr-FR"/>
              </w:rPr>
            </w:pPr>
            <w:r w:rsidRPr="00805B2C">
              <w:rPr>
                <w:rFonts w:ascii="Times New Roman" w:eastAsia="Times New Roman" w:hAnsi="Times New Roman"/>
                <w:b/>
                <w:bCs/>
                <w:color w:val="000000"/>
                <w:sz w:val="20"/>
                <w:szCs w:val="20"/>
                <w:lang w:eastAsia="fr-FR"/>
              </w:rPr>
              <w:t>Geographic factors</w:t>
            </w:r>
          </w:p>
        </w:tc>
        <w:tc>
          <w:tcPr>
            <w:tcW w:w="3151" w:type="dxa"/>
            <w:tcBorders>
              <w:top w:val="single" w:sz="4" w:space="0" w:color="auto"/>
              <w:left w:val="nil"/>
              <w:bottom w:val="nil"/>
              <w:right w:val="nil"/>
            </w:tcBorders>
            <w:shd w:val="clear" w:color="auto" w:fill="auto"/>
            <w:noWrap/>
            <w:vAlign w:val="center"/>
            <w:hideMark/>
          </w:tcPr>
          <w:p w14:paraId="700EB424"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 </w:t>
            </w:r>
          </w:p>
        </w:tc>
      </w:tr>
      <w:tr w:rsidR="00805B2C" w:rsidRPr="00805B2C" w14:paraId="430EBA2F" w14:textId="77777777" w:rsidTr="00EA59B4">
        <w:trPr>
          <w:trHeight w:val="288"/>
        </w:trPr>
        <w:tc>
          <w:tcPr>
            <w:tcW w:w="4220" w:type="dxa"/>
            <w:tcBorders>
              <w:top w:val="nil"/>
              <w:left w:val="nil"/>
              <w:bottom w:val="nil"/>
              <w:right w:val="nil"/>
            </w:tcBorders>
            <w:shd w:val="clear" w:color="auto" w:fill="auto"/>
            <w:noWrap/>
            <w:vAlign w:val="center"/>
            <w:hideMark/>
          </w:tcPr>
          <w:p w14:paraId="4B0345A2" w14:textId="77777777" w:rsidR="00805B2C" w:rsidRPr="00805B2C" w:rsidRDefault="00805B2C" w:rsidP="00EA59B4">
            <w:pPr>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Network distance to PHC (10km, linear)</w:t>
            </w:r>
            <w:r w:rsidRPr="00805B2C">
              <w:rPr>
                <w:rFonts w:ascii="Times New Roman" w:eastAsia="Times New Roman" w:hAnsi="Times New Roman"/>
                <w:color w:val="000000"/>
                <w:sz w:val="20"/>
                <w:szCs w:val="20"/>
                <w:vertAlign w:val="superscript"/>
                <w:lang w:val="en-GB" w:eastAsia="fr-FR"/>
              </w:rPr>
              <w:t>a</w:t>
            </w:r>
          </w:p>
        </w:tc>
        <w:tc>
          <w:tcPr>
            <w:tcW w:w="3151" w:type="dxa"/>
            <w:tcBorders>
              <w:top w:val="nil"/>
              <w:left w:val="nil"/>
              <w:bottom w:val="nil"/>
              <w:right w:val="nil"/>
            </w:tcBorders>
            <w:shd w:val="clear" w:color="auto" w:fill="auto"/>
            <w:noWrap/>
            <w:vAlign w:val="center"/>
            <w:hideMark/>
          </w:tcPr>
          <w:p w14:paraId="57932567"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0.095 (0.091-0.1)</w:t>
            </w:r>
          </w:p>
        </w:tc>
      </w:tr>
      <w:tr w:rsidR="00805B2C" w:rsidRPr="00805B2C" w14:paraId="40141EB0" w14:textId="77777777" w:rsidTr="00EA59B4">
        <w:trPr>
          <w:trHeight w:val="288"/>
        </w:trPr>
        <w:tc>
          <w:tcPr>
            <w:tcW w:w="4220" w:type="dxa"/>
            <w:tcBorders>
              <w:top w:val="nil"/>
              <w:left w:val="nil"/>
              <w:bottom w:val="nil"/>
              <w:right w:val="nil"/>
            </w:tcBorders>
            <w:shd w:val="clear" w:color="auto" w:fill="auto"/>
            <w:noWrap/>
            <w:vAlign w:val="center"/>
            <w:hideMark/>
          </w:tcPr>
          <w:p w14:paraId="270967C8" w14:textId="77777777" w:rsidR="00805B2C" w:rsidRPr="00805B2C" w:rsidRDefault="00805B2C" w:rsidP="00EA59B4">
            <w:pPr>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Network distance to PHC (10km, quadratic)</w:t>
            </w:r>
            <w:r w:rsidRPr="00805B2C">
              <w:rPr>
                <w:rFonts w:ascii="Times New Roman" w:eastAsia="Times New Roman" w:hAnsi="Times New Roman"/>
                <w:color w:val="000000"/>
                <w:sz w:val="20"/>
                <w:szCs w:val="20"/>
                <w:vertAlign w:val="superscript"/>
                <w:lang w:val="en-GB" w:eastAsia="fr-FR"/>
              </w:rPr>
              <w:t>a</w:t>
            </w:r>
          </w:p>
        </w:tc>
        <w:tc>
          <w:tcPr>
            <w:tcW w:w="3151" w:type="dxa"/>
            <w:tcBorders>
              <w:top w:val="nil"/>
              <w:left w:val="nil"/>
              <w:bottom w:val="nil"/>
              <w:right w:val="nil"/>
            </w:tcBorders>
            <w:shd w:val="clear" w:color="auto" w:fill="auto"/>
            <w:noWrap/>
            <w:vAlign w:val="center"/>
            <w:hideMark/>
          </w:tcPr>
          <w:p w14:paraId="2EDF1ACE"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1.261 (1.226-1.297)</w:t>
            </w:r>
          </w:p>
        </w:tc>
      </w:tr>
      <w:tr w:rsidR="00805B2C" w:rsidRPr="00805B2C" w14:paraId="10CE188A" w14:textId="77777777" w:rsidTr="00EA59B4">
        <w:trPr>
          <w:trHeight w:val="288"/>
        </w:trPr>
        <w:tc>
          <w:tcPr>
            <w:tcW w:w="4220" w:type="dxa"/>
            <w:tcBorders>
              <w:top w:val="single" w:sz="4" w:space="0" w:color="auto"/>
              <w:left w:val="nil"/>
              <w:bottom w:val="nil"/>
              <w:right w:val="nil"/>
            </w:tcBorders>
            <w:shd w:val="clear" w:color="auto" w:fill="auto"/>
            <w:noWrap/>
            <w:vAlign w:val="center"/>
            <w:hideMark/>
          </w:tcPr>
          <w:p w14:paraId="5EEA1536" w14:textId="77777777" w:rsidR="00805B2C" w:rsidRPr="00805B2C" w:rsidRDefault="00805B2C" w:rsidP="00EA59B4">
            <w:pPr>
              <w:rPr>
                <w:rFonts w:ascii="Times New Roman" w:eastAsia="Times New Roman" w:hAnsi="Times New Roman"/>
                <w:b/>
                <w:bCs/>
                <w:color w:val="000000"/>
                <w:sz w:val="20"/>
                <w:szCs w:val="20"/>
                <w:lang w:eastAsia="fr-FR"/>
              </w:rPr>
            </w:pPr>
            <w:r w:rsidRPr="00805B2C">
              <w:rPr>
                <w:rFonts w:ascii="Times New Roman" w:eastAsia="Times New Roman" w:hAnsi="Times New Roman"/>
                <w:b/>
                <w:bCs/>
                <w:color w:val="000000"/>
                <w:sz w:val="20"/>
                <w:szCs w:val="20"/>
                <w:lang w:eastAsia="fr-FR"/>
              </w:rPr>
              <w:t xml:space="preserve">Health system factors </w:t>
            </w:r>
          </w:p>
        </w:tc>
        <w:tc>
          <w:tcPr>
            <w:tcW w:w="3151" w:type="dxa"/>
            <w:tcBorders>
              <w:top w:val="single" w:sz="4" w:space="0" w:color="auto"/>
              <w:left w:val="nil"/>
              <w:bottom w:val="nil"/>
              <w:right w:val="nil"/>
            </w:tcBorders>
            <w:shd w:val="clear" w:color="auto" w:fill="auto"/>
            <w:noWrap/>
            <w:vAlign w:val="center"/>
            <w:hideMark/>
          </w:tcPr>
          <w:p w14:paraId="553C9933"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 </w:t>
            </w:r>
          </w:p>
        </w:tc>
      </w:tr>
      <w:tr w:rsidR="00805B2C" w:rsidRPr="00805B2C" w14:paraId="6B60AA6D" w14:textId="77777777" w:rsidTr="00EA59B4">
        <w:trPr>
          <w:trHeight w:val="288"/>
        </w:trPr>
        <w:tc>
          <w:tcPr>
            <w:tcW w:w="4220" w:type="dxa"/>
            <w:tcBorders>
              <w:top w:val="nil"/>
              <w:left w:val="nil"/>
              <w:bottom w:val="nil"/>
              <w:right w:val="nil"/>
            </w:tcBorders>
            <w:shd w:val="clear" w:color="auto" w:fill="auto"/>
            <w:noWrap/>
            <w:vAlign w:val="center"/>
            <w:hideMark/>
          </w:tcPr>
          <w:p w14:paraId="4D9025E5"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 xml:space="preserve">Number of health staff </w:t>
            </w:r>
          </w:p>
        </w:tc>
        <w:tc>
          <w:tcPr>
            <w:tcW w:w="3151" w:type="dxa"/>
            <w:tcBorders>
              <w:top w:val="nil"/>
              <w:left w:val="nil"/>
              <w:bottom w:val="nil"/>
              <w:right w:val="nil"/>
            </w:tcBorders>
            <w:shd w:val="clear" w:color="auto" w:fill="auto"/>
            <w:noWrap/>
            <w:vAlign w:val="center"/>
            <w:hideMark/>
          </w:tcPr>
          <w:p w14:paraId="2E0AB223"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1.043 (1.037-1.049)</w:t>
            </w:r>
          </w:p>
        </w:tc>
      </w:tr>
      <w:tr w:rsidR="00805B2C" w:rsidRPr="00805B2C" w14:paraId="641D1728" w14:textId="77777777" w:rsidTr="00EA59B4">
        <w:trPr>
          <w:trHeight w:val="288"/>
        </w:trPr>
        <w:tc>
          <w:tcPr>
            <w:tcW w:w="4220" w:type="dxa"/>
            <w:tcBorders>
              <w:top w:val="nil"/>
              <w:left w:val="nil"/>
              <w:bottom w:val="nil"/>
              <w:right w:val="nil"/>
            </w:tcBorders>
            <w:shd w:val="clear" w:color="auto" w:fill="auto"/>
            <w:noWrap/>
            <w:vAlign w:val="center"/>
            <w:hideMark/>
          </w:tcPr>
          <w:p w14:paraId="7676FCE6" w14:textId="77777777" w:rsidR="00805B2C" w:rsidRPr="00805B2C" w:rsidRDefault="00805B2C" w:rsidP="00EA59B4">
            <w:pPr>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Major PHC (vs. basic PHC)</w:t>
            </w:r>
          </w:p>
        </w:tc>
        <w:tc>
          <w:tcPr>
            <w:tcW w:w="3151" w:type="dxa"/>
            <w:tcBorders>
              <w:top w:val="nil"/>
              <w:left w:val="nil"/>
              <w:bottom w:val="nil"/>
              <w:right w:val="nil"/>
            </w:tcBorders>
            <w:shd w:val="clear" w:color="auto" w:fill="auto"/>
            <w:noWrap/>
            <w:vAlign w:val="center"/>
            <w:hideMark/>
          </w:tcPr>
          <w:p w14:paraId="4DD0F392"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3.16 (1.421-7.024)</w:t>
            </w:r>
          </w:p>
        </w:tc>
      </w:tr>
      <w:tr w:rsidR="00805B2C" w:rsidRPr="00805B2C" w14:paraId="35520695" w14:textId="77777777" w:rsidTr="00EA59B4">
        <w:trPr>
          <w:trHeight w:val="288"/>
        </w:trPr>
        <w:tc>
          <w:tcPr>
            <w:tcW w:w="4220" w:type="dxa"/>
            <w:tcBorders>
              <w:top w:val="nil"/>
              <w:left w:val="nil"/>
              <w:bottom w:val="nil"/>
              <w:right w:val="nil"/>
            </w:tcBorders>
            <w:shd w:val="clear" w:color="auto" w:fill="auto"/>
            <w:noWrap/>
            <w:vAlign w:val="center"/>
            <w:hideMark/>
          </w:tcPr>
          <w:p w14:paraId="4B0E41AE" w14:textId="77777777" w:rsidR="00805B2C" w:rsidRPr="00805B2C" w:rsidRDefault="00805B2C" w:rsidP="00EA59B4">
            <w:pPr>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PIVOT initial catchment (vs. outside)</w:t>
            </w:r>
          </w:p>
        </w:tc>
        <w:tc>
          <w:tcPr>
            <w:tcW w:w="3151" w:type="dxa"/>
            <w:tcBorders>
              <w:top w:val="nil"/>
              <w:left w:val="nil"/>
              <w:bottom w:val="nil"/>
              <w:right w:val="nil"/>
            </w:tcBorders>
            <w:shd w:val="clear" w:color="auto" w:fill="auto"/>
            <w:noWrap/>
            <w:vAlign w:val="center"/>
            <w:hideMark/>
          </w:tcPr>
          <w:p w14:paraId="7CFA9C7B"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0.641 (0.611-0.672)</w:t>
            </w:r>
          </w:p>
        </w:tc>
      </w:tr>
      <w:tr w:rsidR="00805B2C" w:rsidRPr="00805B2C" w14:paraId="55193315" w14:textId="77777777" w:rsidTr="00EA59B4">
        <w:trPr>
          <w:trHeight w:val="288"/>
        </w:trPr>
        <w:tc>
          <w:tcPr>
            <w:tcW w:w="4220" w:type="dxa"/>
            <w:tcBorders>
              <w:top w:val="single" w:sz="4" w:space="0" w:color="auto"/>
              <w:left w:val="nil"/>
              <w:bottom w:val="nil"/>
              <w:right w:val="nil"/>
            </w:tcBorders>
            <w:shd w:val="clear" w:color="auto" w:fill="auto"/>
            <w:noWrap/>
            <w:vAlign w:val="center"/>
            <w:hideMark/>
          </w:tcPr>
          <w:p w14:paraId="26D34B30" w14:textId="77777777" w:rsidR="00805B2C" w:rsidRPr="00805B2C" w:rsidRDefault="00805B2C" w:rsidP="00EA59B4">
            <w:pPr>
              <w:rPr>
                <w:rFonts w:ascii="Times New Roman" w:eastAsia="Times New Roman" w:hAnsi="Times New Roman"/>
                <w:b/>
                <w:bCs/>
                <w:color w:val="000000"/>
                <w:sz w:val="20"/>
                <w:szCs w:val="20"/>
                <w:lang w:eastAsia="fr-FR"/>
              </w:rPr>
            </w:pPr>
            <w:r w:rsidRPr="00805B2C">
              <w:rPr>
                <w:rFonts w:ascii="Times New Roman" w:eastAsia="Times New Roman" w:hAnsi="Times New Roman"/>
                <w:b/>
                <w:bCs/>
                <w:color w:val="000000"/>
                <w:sz w:val="20"/>
                <w:szCs w:val="20"/>
                <w:lang w:eastAsia="fr-FR"/>
              </w:rPr>
              <w:t>Impact of HSS programs</w:t>
            </w:r>
          </w:p>
        </w:tc>
        <w:tc>
          <w:tcPr>
            <w:tcW w:w="3151" w:type="dxa"/>
            <w:tcBorders>
              <w:top w:val="single" w:sz="4" w:space="0" w:color="auto"/>
              <w:left w:val="nil"/>
              <w:bottom w:val="nil"/>
              <w:right w:val="nil"/>
            </w:tcBorders>
            <w:shd w:val="clear" w:color="auto" w:fill="auto"/>
            <w:noWrap/>
            <w:vAlign w:val="center"/>
            <w:hideMark/>
          </w:tcPr>
          <w:p w14:paraId="12F827BD"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 </w:t>
            </w:r>
          </w:p>
        </w:tc>
      </w:tr>
      <w:tr w:rsidR="00805B2C" w:rsidRPr="00805B2C" w14:paraId="27A7AE8F" w14:textId="77777777" w:rsidTr="00EA59B4">
        <w:trPr>
          <w:trHeight w:val="288"/>
        </w:trPr>
        <w:tc>
          <w:tcPr>
            <w:tcW w:w="4220" w:type="dxa"/>
            <w:tcBorders>
              <w:top w:val="nil"/>
              <w:left w:val="nil"/>
              <w:bottom w:val="nil"/>
              <w:right w:val="nil"/>
            </w:tcBorders>
            <w:shd w:val="clear" w:color="auto" w:fill="auto"/>
            <w:noWrap/>
            <w:vAlign w:val="center"/>
            <w:hideMark/>
          </w:tcPr>
          <w:p w14:paraId="42C99A06"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User fee exemption program</w:t>
            </w:r>
          </w:p>
        </w:tc>
        <w:tc>
          <w:tcPr>
            <w:tcW w:w="3151" w:type="dxa"/>
            <w:tcBorders>
              <w:top w:val="nil"/>
              <w:left w:val="nil"/>
              <w:bottom w:val="nil"/>
              <w:right w:val="nil"/>
            </w:tcBorders>
            <w:shd w:val="clear" w:color="auto" w:fill="auto"/>
            <w:noWrap/>
            <w:vAlign w:val="center"/>
            <w:hideMark/>
          </w:tcPr>
          <w:p w14:paraId="4B26B983"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1.18 (1.145-1.215)</w:t>
            </w:r>
          </w:p>
        </w:tc>
      </w:tr>
      <w:tr w:rsidR="00805B2C" w:rsidRPr="00805B2C" w14:paraId="5E7FC8AE" w14:textId="77777777" w:rsidTr="00EA59B4">
        <w:trPr>
          <w:trHeight w:val="288"/>
        </w:trPr>
        <w:tc>
          <w:tcPr>
            <w:tcW w:w="4220" w:type="dxa"/>
            <w:tcBorders>
              <w:top w:val="nil"/>
              <w:left w:val="nil"/>
              <w:bottom w:val="nil"/>
              <w:right w:val="nil"/>
            </w:tcBorders>
            <w:shd w:val="clear" w:color="auto" w:fill="auto"/>
            <w:noWrap/>
            <w:vAlign w:val="center"/>
            <w:hideMark/>
          </w:tcPr>
          <w:p w14:paraId="66E060DD" w14:textId="77777777" w:rsidR="00805B2C" w:rsidRPr="00805B2C" w:rsidRDefault="00805B2C" w:rsidP="00EA59B4">
            <w:pPr>
              <w:jc w:val="right"/>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Interaction with Distance to PHC (10km)</w:t>
            </w:r>
            <w:r w:rsidRPr="00805B2C">
              <w:rPr>
                <w:rFonts w:ascii="Times New Roman" w:eastAsia="Times New Roman" w:hAnsi="Times New Roman"/>
                <w:color w:val="000000"/>
                <w:sz w:val="20"/>
                <w:szCs w:val="20"/>
                <w:vertAlign w:val="superscript"/>
                <w:lang w:val="en-GB" w:eastAsia="fr-FR"/>
              </w:rPr>
              <w:t>a</w:t>
            </w:r>
          </w:p>
        </w:tc>
        <w:tc>
          <w:tcPr>
            <w:tcW w:w="3151" w:type="dxa"/>
            <w:tcBorders>
              <w:top w:val="nil"/>
              <w:left w:val="nil"/>
              <w:bottom w:val="nil"/>
              <w:right w:val="nil"/>
            </w:tcBorders>
            <w:shd w:val="clear" w:color="auto" w:fill="auto"/>
            <w:noWrap/>
            <w:vAlign w:val="center"/>
            <w:hideMark/>
          </w:tcPr>
          <w:p w14:paraId="48F0F1F9"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1.44 (1.415-1.466)</w:t>
            </w:r>
          </w:p>
        </w:tc>
      </w:tr>
      <w:tr w:rsidR="00805B2C" w:rsidRPr="00805B2C" w14:paraId="16ABDF21" w14:textId="77777777" w:rsidTr="00EA59B4">
        <w:trPr>
          <w:trHeight w:val="288"/>
        </w:trPr>
        <w:tc>
          <w:tcPr>
            <w:tcW w:w="4220" w:type="dxa"/>
            <w:tcBorders>
              <w:top w:val="nil"/>
              <w:left w:val="nil"/>
              <w:bottom w:val="nil"/>
              <w:right w:val="nil"/>
            </w:tcBorders>
            <w:shd w:val="clear" w:color="auto" w:fill="auto"/>
            <w:noWrap/>
            <w:vAlign w:val="center"/>
            <w:hideMark/>
          </w:tcPr>
          <w:p w14:paraId="67429247"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Community health program</w:t>
            </w:r>
          </w:p>
        </w:tc>
        <w:tc>
          <w:tcPr>
            <w:tcW w:w="3151" w:type="dxa"/>
            <w:tcBorders>
              <w:top w:val="nil"/>
              <w:left w:val="nil"/>
              <w:bottom w:val="nil"/>
              <w:right w:val="nil"/>
            </w:tcBorders>
            <w:shd w:val="clear" w:color="auto" w:fill="auto"/>
            <w:noWrap/>
            <w:vAlign w:val="center"/>
            <w:hideMark/>
          </w:tcPr>
          <w:p w14:paraId="7FF28A2D"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1.112 (1.087-1.137)</w:t>
            </w:r>
          </w:p>
        </w:tc>
      </w:tr>
      <w:tr w:rsidR="00805B2C" w:rsidRPr="00805B2C" w14:paraId="0083D281" w14:textId="77777777" w:rsidTr="00EA59B4">
        <w:trPr>
          <w:trHeight w:val="288"/>
        </w:trPr>
        <w:tc>
          <w:tcPr>
            <w:tcW w:w="4220" w:type="dxa"/>
            <w:tcBorders>
              <w:top w:val="nil"/>
              <w:left w:val="nil"/>
              <w:bottom w:val="nil"/>
              <w:right w:val="nil"/>
            </w:tcBorders>
            <w:shd w:val="clear" w:color="auto" w:fill="auto"/>
            <w:noWrap/>
            <w:vAlign w:val="center"/>
            <w:hideMark/>
          </w:tcPr>
          <w:p w14:paraId="5A9BB55A" w14:textId="77777777" w:rsidR="00805B2C" w:rsidRPr="00805B2C" w:rsidRDefault="00805B2C" w:rsidP="00EA59B4">
            <w:pPr>
              <w:jc w:val="right"/>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Interaction with Distance to PHC (10km)</w:t>
            </w:r>
            <w:r w:rsidRPr="00805B2C">
              <w:rPr>
                <w:rFonts w:ascii="Times New Roman" w:eastAsia="Times New Roman" w:hAnsi="Times New Roman"/>
                <w:color w:val="000000"/>
                <w:sz w:val="20"/>
                <w:szCs w:val="20"/>
                <w:vertAlign w:val="superscript"/>
                <w:lang w:val="en-GB" w:eastAsia="fr-FR"/>
              </w:rPr>
              <w:t>a</w:t>
            </w:r>
          </w:p>
        </w:tc>
        <w:tc>
          <w:tcPr>
            <w:tcW w:w="3151" w:type="dxa"/>
            <w:tcBorders>
              <w:top w:val="nil"/>
              <w:left w:val="nil"/>
              <w:bottom w:val="nil"/>
              <w:right w:val="nil"/>
            </w:tcBorders>
            <w:shd w:val="clear" w:color="auto" w:fill="auto"/>
            <w:noWrap/>
            <w:vAlign w:val="center"/>
            <w:hideMark/>
          </w:tcPr>
          <w:p w14:paraId="228918A9"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1.127 (1.109-1.145)</w:t>
            </w:r>
          </w:p>
        </w:tc>
      </w:tr>
      <w:tr w:rsidR="00805B2C" w:rsidRPr="00805B2C" w14:paraId="6BC54E8B" w14:textId="77777777" w:rsidTr="00EA59B4">
        <w:trPr>
          <w:trHeight w:val="288"/>
        </w:trPr>
        <w:tc>
          <w:tcPr>
            <w:tcW w:w="4220" w:type="dxa"/>
            <w:tcBorders>
              <w:top w:val="single" w:sz="4" w:space="0" w:color="auto"/>
              <w:left w:val="nil"/>
              <w:bottom w:val="nil"/>
              <w:right w:val="nil"/>
            </w:tcBorders>
            <w:shd w:val="clear" w:color="auto" w:fill="auto"/>
            <w:noWrap/>
            <w:vAlign w:val="center"/>
            <w:hideMark/>
          </w:tcPr>
          <w:p w14:paraId="5C2F60CC" w14:textId="77777777" w:rsidR="00805B2C" w:rsidRPr="00805B2C" w:rsidRDefault="00805B2C" w:rsidP="00EA59B4">
            <w:pPr>
              <w:rPr>
                <w:rFonts w:ascii="Times New Roman" w:eastAsia="Times New Roman" w:hAnsi="Times New Roman"/>
                <w:b/>
                <w:bCs/>
                <w:color w:val="000000"/>
                <w:sz w:val="20"/>
                <w:szCs w:val="20"/>
                <w:lang w:eastAsia="fr-FR"/>
              </w:rPr>
            </w:pPr>
            <w:r w:rsidRPr="00805B2C">
              <w:rPr>
                <w:rFonts w:ascii="Times New Roman" w:eastAsia="Times New Roman" w:hAnsi="Times New Roman"/>
                <w:b/>
                <w:bCs/>
                <w:color w:val="000000"/>
                <w:sz w:val="20"/>
                <w:szCs w:val="20"/>
                <w:lang w:eastAsia="fr-FR"/>
              </w:rPr>
              <w:t>Underlying trends</w:t>
            </w:r>
          </w:p>
        </w:tc>
        <w:tc>
          <w:tcPr>
            <w:tcW w:w="3151" w:type="dxa"/>
            <w:tcBorders>
              <w:top w:val="single" w:sz="4" w:space="0" w:color="auto"/>
              <w:left w:val="nil"/>
              <w:bottom w:val="nil"/>
              <w:right w:val="nil"/>
            </w:tcBorders>
            <w:shd w:val="clear" w:color="auto" w:fill="auto"/>
            <w:noWrap/>
            <w:vAlign w:val="center"/>
            <w:hideMark/>
          </w:tcPr>
          <w:p w14:paraId="20A16C52"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 </w:t>
            </w:r>
          </w:p>
        </w:tc>
      </w:tr>
      <w:tr w:rsidR="00805B2C" w:rsidRPr="00805B2C" w14:paraId="117F3342" w14:textId="77777777" w:rsidTr="00EA59B4">
        <w:trPr>
          <w:trHeight w:val="288"/>
        </w:trPr>
        <w:tc>
          <w:tcPr>
            <w:tcW w:w="4220" w:type="dxa"/>
            <w:tcBorders>
              <w:top w:val="nil"/>
              <w:left w:val="nil"/>
              <w:bottom w:val="nil"/>
              <w:right w:val="nil"/>
            </w:tcBorders>
            <w:shd w:val="clear" w:color="auto" w:fill="auto"/>
            <w:noWrap/>
            <w:vAlign w:val="center"/>
            <w:hideMark/>
          </w:tcPr>
          <w:p w14:paraId="0B6312A6"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Linear trend (year)</w:t>
            </w:r>
          </w:p>
        </w:tc>
        <w:tc>
          <w:tcPr>
            <w:tcW w:w="3151" w:type="dxa"/>
            <w:tcBorders>
              <w:top w:val="nil"/>
              <w:left w:val="nil"/>
              <w:bottom w:val="nil"/>
              <w:right w:val="nil"/>
            </w:tcBorders>
            <w:shd w:val="clear" w:color="auto" w:fill="auto"/>
            <w:noWrap/>
            <w:vAlign w:val="center"/>
            <w:hideMark/>
          </w:tcPr>
          <w:p w14:paraId="72CF305C"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0.988 (0.981-0.995)</w:t>
            </w:r>
          </w:p>
        </w:tc>
      </w:tr>
      <w:tr w:rsidR="00805B2C" w:rsidRPr="00805B2C" w14:paraId="55C48E45" w14:textId="77777777" w:rsidTr="00EA59B4">
        <w:trPr>
          <w:trHeight w:val="300"/>
        </w:trPr>
        <w:tc>
          <w:tcPr>
            <w:tcW w:w="4220" w:type="dxa"/>
            <w:tcBorders>
              <w:top w:val="nil"/>
              <w:left w:val="nil"/>
              <w:bottom w:val="nil"/>
              <w:right w:val="nil"/>
            </w:tcBorders>
            <w:shd w:val="clear" w:color="auto" w:fill="auto"/>
            <w:noWrap/>
            <w:vAlign w:val="center"/>
            <w:hideMark/>
          </w:tcPr>
          <w:p w14:paraId="57DE2BF0" w14:textId="77777777" w:rsidR="00805B2C" w:rsidRPr="00805B2C" w:rsidRDefault="00805B2C" w:rsidP="00EA59B4">
            <w:pP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 xml:space="preserve">Seasonal </w:t>
            </w:r>
            <w:proofErr w:type="spellStart"/>
            <w:r w:rsidRPr="00805B2C">
              <w:rPr>
                <w:rFonts w:ascii="Times New Roman" w:eastAsia="Times New Roman" w:hAnsi="Times New Roman"/>
                <w:color w:val="000000"/>
                <w:sz w:val="20"/>
                <w:szCs w:val="20"/>
                <w:lang w:eastAsia="fr-FR"/>
              </w:rPr>
              <w:t>trend</w:t>
            </w:r>
            <w:r w:rsidRPr="00805B2C">
              <w:rPr>
                <w:rFonts w:ascii="Times New Roman" w:eastAsia="Times New Roman" w:hAnsi="Times New Roman"/>
                <w:color w:val="000000"/>
                <w:sz w:val="20"/>
                <w:szCs w:val="20"/>
                <w:vertAlign w:val="superscript"/>
                <w:lang w:eastAsia="fr-FR"/>
              </w:rPr>
              <w:t>b</w:t>
            </w:r>
            <w:proofErr w:type="spellEnd"/>
          </w:p>
        </w:tc>
        <w:tc>
          <w:tcPr>
            <w:tcW w:w="3151" w:type="dxa"/>
            <w:tcBorders>
              <w:top w:val="nil"/>
              <w:left w:val="nil"/>
              <w:bottom w:val="nil"/>
              <w:right w:val="nil"/>
            </w:tcBorders>
            <w:shd w:val="clear" w:color="auto" w:fill="auto"/>
            <w:noWrap/>
            <w:vAlign w:val="center"/>
            <w:hideMark/>
          </w:tcPr>
          <w:p w14:paraId="0148828A"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1.031 (1.024-1.038)</w:t>
            </w:r>
          </w:p>
        </w:tc>
      </w:tr>
      <w:tr w:rsidR="00805B2C" w:rsidRPr="00805B2C" w14:paraId="64D22DC4" w14:textId="77777777" w:rsidTr="00EA59B4">
        <w:trPr>
          <w:trHeight w:val="300"/>
        </w:trPr>
        <w:tc>
          <w:tcPr>
            <w:tcW w:w="4220" w:type="dxa"/>
            <w:tcBorders>
              <w:top w:val="nil"/>
              <w:left w:val="nil"/>
              <w:bottom w:val="nil"/>
              <w:right w:val="nil"/>
            </w:tcBorders>
            <w:shd w:val="clear" w:color="auto" w:fill="auto"/>
            <w:noWrap/>
            <w:vAlign w:val="center"/>
            <w:hideMark/>
          </w:tcPr>
          <w:p w14:paraId="7092D85D" w14:textId="77777777" w:rsidR="00805B2C" w:rsidRPr="00805B2C" w:rsidRDefault="00805B2C" w:rsidP="00EA59B4">
            <w:pPr>
              <w:rPr>
                <w:rFonts w:ascii="Times New Roman" w:eastAsia="Times New Roman" w:hAnsi="Times New Roman"/>
                <w:color w:val="000000"/>
                <w:sz w:val="20"/>
                <w:szCs w:val="20"/>
                <w:lang w:val="en-GB" w:eastAsia="fr-FR"/>
              </w:rPr>
            </w:pPr>
            <w:r w:rsidRPr="00805B2C">
              <w:rPr>
                <w:rFonts w:ascii="Times New Roman" w:eastAsia="Times New Roman" w:hAnsi="Times New Roman"/>
                <w:color w:val="000000"/>
                <w:sz w:val="20"/>
                <w:szCs w:val="20"/>
                <w:lang w:val="en-GB" w:eastAsia="fr-FR"/>
              </w:rPr>
              <w:t>Lagged trend (1 month lag)</w:t>
            </w:r>
            <w:r w:rsidRPr="00805B2C">
              <w:rPr>
                <w:rFonts w:ascii="Times New Roman" w:eastAsia="Times New Roman" w:hAnsi="Times New Roman"/>
                <w:color w:val="000000"/>
                <w:sz w:val="20"/>
                <w:szCs w:val="20"/>
                <w:vertAlign w:val="superscript"/>
                <w:lang w:val="en-GB" w:eastAsia="fr-FR"/>
              </w:rPr>
              <w:t>c</w:t>
            </w:r>
          </w:p>
        </w:tc>
        <w:tc>
          <w:tcPr>
            <w:tcW w:w="3151" w:type="dxa"/>
            <w:tcBorders>
              <w:top w:val="nil"/>
              <w:left w:val="nil"/>
              <w:bottom w:val="nil"/>
              <w:right w:val="nil"/>
            </w:tcBorders>
            <w:shd w:val="clear" w:color="auto" w:fill="auto"/>
            <w:noWrap/>
            <w:vAlign w:val="center"/>
            <w:hideMark/>
          </w:tcPr>
          <w:p w14:paraId="4C835149" w14:textId="77777777" w:rsidR="00805B2C" w:rsidRPr="00805B2C" w:rsidRDefault="00805B2C" w:rsidP="00EA59B4">
            <w:pPr>
              <w:jc w:val="center"/>
              <w:rPr>
                <w:rFonts w:ascii="Times New Roman" w:eastAsia="Times New Roman" w:hAnsi="Times New Roman"/>
                <w:color w:val="000000"/>
                <w:sz w:val="20"/>
                <w:szCs w:val="20"/>
                <w:lang w:eastAsia="fr-FR"/>
              </w:rPr>
            </w:pPr>
            <w:r w:rsidRPr="00805B2C">
              <w:rPr>
                <w:rFonts w:ascii="Times New Roman" w:eastAsia="Times New Roman" w:hAnsi="Times New Roman"/>
                <w:color w:val="000000"/>
                <w:sz w:val="20"/>
                <w:szCs w:val="20"/>
                <w:lang w:eastAsia="fr-FR"/>
              </w:rPr>
              <w:t>1.65 (1.637-1.663)</w:t>
            </w:r>
          </w:p>
        </w:tc>
      </w:tr>
    </w:tbl>
    <w:p w14:paraId="6E32A6A5" w14:textId="77777777" w:rsidR="00805B2C" w:rsidRPr="00805B2C" w:rsidRDefault="00805B2C" w:rsidP="00805B2C">
      <w:pPr>
        <w:rPr>
          <w:rFonts w:ascii="Times New Roman" w:eastAsia="Calibri" w:hAnsi="Times New Roman"/>
          <w:color w:val="000000"/>
          <w:sz w:val="20"/>
          <w:szCs w:val="20"/>
        </w:rPr>
      </w:pPr>
    </w:p>
    <w:p w14:paraId="282FFE1B" w14:textId="77777777" w:rsidR="00805B2C" w:rsidRPr="00805B2C" w:rsidRDefault="00805B2C" w:rsidP="00805B2C">
      <w:pPr>
        <w:rPr>
          <w:rFonts w:ascii="Times New Roman" w:eastAsia="Calibri" w:hAnsi="Times New Roman"/>
          <w:color w:val="000000"/>
          <w:sz w:val="20"/>
          <w:szCs w:val="20"/>
        </w:rPr>
      </w:pPr>
      <w:proofErr w:type="gramStart"/>
      <w:r w:rsidRPr="00805B2C">
        <w:rPr>
          <w:rFonts w:ascii="Times New Roman" w:eastAsia="Calibri" w:hAnsi="Times New Roman"/>
          <w:color w:val="000000"/>
          <w:sz w:val="20"/>
          <w:szCs w:val="20"/>
          <w:vertAlign w:val="superscript"/>
        </w:rPr>
        <w:t>a</w:t>
      </w:r>
      <w:proofErr w:type="gramEnd"/>
      <w:r w:rsidRPr="00805B2C">
        <w:rPr>
          <w:rFonts w:ascii="Times New Roman" w:eastAsia="Calibri" w:hAnsi="Times New Roman"/>
          <w:color w:val="000000"/>
          <w:sz w:val="20"/>
          <w:szCs w:val="20"/>
          <w:vertAlign w:val="superscript"/>
        </w:rPr>
        <w:t xml:space="preserve"> </w:t>
      </w:r>
      <w:r w:rsidRPr="00805B2C">
        <w:rPr>
          <w:rFonts w:ascii="Times New Roman" w:eastAsia="Calibri" w:hAnsi="Times New Roman"/>
          <w:color w:val="000000"/>
          <w:sz w:val="20"/>
          <w:szCs w:val="20"/>
        </w:rPr>
        <w:t>The variable network distance represents tens of kilometers (distance in km*10</w:t>
      </w:r>
      <w:r w:rsidRPr="00805B2C">
        <w:rPr>
          <w:rFonts w:ascii="Times New Roman" w:eastAsia="Calibri" w:hAnsi="Times New Roman"/>
          <w:color w:val="000000"/>
          <w:sz w:val="20"/>
          <w:szCs w:val="20"/>
          <w:vertAlign w:val="superscript"/>
        </w:rPr>
        <w:t>-1</w:t>
      </w:r>
      <w:r w:rsidRPr="00805B2C">
        <w:rPr>
          <w:rFonts w:ascii="Times New Roman" w:eastAsia="Calibri" w:hAnsi="Times New Roman"/>
          <w:color w:val="000000"/>
          <w:sz w:val="20"/>
          <w:szCs w:val="20"/>
        </w:rPr>
        <w:t>) to facilitate interpretation of coefficients and enable model convergence</w:t>
      </w:r>
    </w:p>
    <w:p w14:paraId="54341684" w14:textId="77777777" w:rsidR="00805B2C" w:rsidRPr="00805B2C" w:rsidRDefault="00805B2C" w:rsidP="00805B2C">
      <w:pPr>
        <w:rPr>
          <w:rFonts w:ascii="Times New Roman" w:eastAsia="Calibri" w:hAnsi="Times New Roman"/>
          <w:color w:val="000000"/>
          <w:sz w:val="20"/>
          <w:szCs w:val="20"/>
        </w:rPr>
      </w:pPr>
      <w:proofErr w:type="gramStart"/>
      <w:r w:rsidRPr="00805B2C">
        <w:rPr>
          <w:rFonts w:ascii="Times New Roman" w:eastAsia="Calibri" w:hAnsi="Times New Roman"/>
          <w:color w:val="000000"/>
          <w:sz w:val="20"/>
          <w:szCs w:val="20"/>
          <w:vertAlign w:val="superscript"/>
        </w:rPr>
        <w:t>b</w:t>
      </w:r>
      <w:proofErr w:type="gramEnd"/>
      <w:r w:rsidRPr="00805B2C">
        <w:rPr>
          <w:rFonts w:ascii="Times New Roman" w:eastAsia="Calibri" w:hAnsi="Times New Roman"/>
          <w:color w:val="000000"/>
          <w:sz w:val="20"/>
          <w:szCs w:val="20"/>
          <w:vertAlign w:val="superscript"/>
        </w:rPr>
        <w:t xml:space="preserve"> </w:t>
      </w:r>
      <w:r w:rsidRPr="00805B2C">
        <w:rPr>
          <w:rFonts w:ascii="Times New Roman" w:eastAsia="Calibri" w:hAnsi="Times New Roman"/>
          <w:color w:val="000000"/>
          <w:sz w:val="20"/>
          <w:szCs w:val="20"/>
        </w:rPr>
        <w:t>Seasonal trend was constructed as [sin(2π(</w:t>
      </w:r>
      <w:proofErr w:type="spellStart"/>
      <w:r w:rsidRPr="00805B2C">
        <w:rPr>
          <w:rFonts w:ascii="Times New Roman" w:eastAsia="Calibri" w:hAnsi="Times New Roman"/>
          <w:color w:val="000000"/>
          <w:sz w:val="20"/>
          <w:szCs w:val="20"/>
        </w:rPr>
        <w:t>Month</w:t>
      </w:r>
      <w:r w:rsidRPr="00805B2C">
        <w:rPr>
          <w:rFonts w:ascii="Times New Roman" w:eastAsia="Calibri" w:hAnsi="Times New Roman"/>
          <w:color w:val="000000"/>
          <w:sz w:val="20"/>
          <w:szCs w:val="20"/>
          <w:vertAlign w:val="subscript"/>
        </w:rPr>
        <w:t>i</w:t>
      </w:r>
      <w:proofErr w:type="spellEnd"/>
      <w:r w:rsidRPr="00805B2C">
        <w:rPr>
          <w:rFonts w:ascii="Times New Roman" w:eastAsia="Calibri" w:hAnsi="Times New Roman"/>
          <w:color w:val="000000"/>
          <w:sz w:val="20"/>
          <w:szCs w:val="20"/>
          <w:vertAlign w:val="subscript"/>
        </w:rPr>
        <w:t xml:space="preserve"> </w:t>
      </w:r>
      <w:r w:rsidRPr="00805B2C">
        <w:rPr>
          <w:rFonts w:ascii="Times New Roman" w:eastAsia="Calibri" w:hAnsi="Times New Roman"/>
          <w:color w:val="000000"/>
          <w:sz w:val="20"/>
          <w:szCs w:val="20"/>
        </w:rPr>
        <w:t>+ θ/12],where θ was the horizontal shift that best fit the data.</w:t>
      </w:r>
    </w:p>
    <w:p w14:paraId="6D50B572" w14:textId="77777777" w:rsidR="00805B2C" w:rsidRPr="00805B2C" w:rsidRDefault="00805B2C" w:rsidP="00805B2C">
      <w:pPr>
        <w:rPr>
          <w:rFonts w:ascii="Times New Roman" w:eastAsia="Calibri" w:hAnsi="Times New Roman"/>
          <w:color w:val="000000"/>
          <w:sz w:val="20"/>
          <w:szCs w:val="20"/>
        </w:rPr>
      </w:pPr>
      <w:proofErr w:type="gramStart"/>
      <w:r w:rsidRPr="00805B2C">
        <w:rPr>
          <w:rFonts w:ascii="Times New Roman" w:eastAsia="Calibri" w:hAnsi="Times New Roman"/>
          <w:color w:val="000000"/>
          <w:sz w:val="20"/>
          <w:szCs w:val="20"/>
          <w:vertAlign w:val="superscript"/>
        </w:rPr>
        <w:t>c</w:t>
      </w:r>
      <w:proofErr w:type="gramEnd"/>
      <w:r w:rsidRPr="00805B2C">
        <w:rPr>
          <w:rFonts w:ascii="Times New Roman" w:eastAsia="Calibri" w:hAnsi="Times New Roman"/>
          <w:color w:val="000000"/>
          <w:sz w:val="20"/>
          <w:szCs w:val="20"/>
          <w:vertAlign w:val="superscript"/>
        </w:rPr>
        <w:t xml:space="preserve"> </w:t>
      </w:r>
      <w:r w:rsidRPr="00805B2C">
        <w:rPr>
          <w:rFonts w:ascii="Times New Roman" w:eastAsia="Calibri" w:hAnsi="Times New Roman"/>
          <w:color w:val="000000"/>
          <w:sz w:val="20"/>
          <w:szCs w:val="20"/>
        </w:rPr>
        <w:t>Lagged trend transformed into visits per capita-year to allow interpretation of results</w:t>
      </w:r>
    </w:p>
    <w:p w14:paraId="4C4DBB0B" w14:textId="77777777" w:rsidR="00805B2C" w:rsidRPr="00805B2C" w:rsidRDefault="00805B2C" w:rsidP="00805B2C">
      <w:pPr>
        <w:rPr>
          <w:rFonts w:ascii="Times New Roman" w:eastAsia="Calibri" w:hAnsi="Times New Roman" w:cstheme="minorHAnsi"/>
          <w:color w:val="000000"/>
          <w:sz w:val="20"/>
          <w:szCs w:val="20"/>
        </w:rPr>
      </w:pPr>
    </w:p>
    <w:p w14:paraId="5D0D6CBC" w14:textId="77777777" w:rsidR="00805B2C" w:rsidRPr="00805B2C" w:rsidRDefault="00805B2C" w:rsidP="00805B2C">
      <w:pPr>
        <w:rPr>
          <w:rFonts w:ascii="Times New Roman" w:hAnsi="Times New Roman"/>
          <w:sz w:val="20"/>
          <w:szCs w:val="20"/>
          <w:lang w:val="en-GB"/>
        </w:rPr>
      </w:pPr>
    </w:p>
    <w:p w14:paraId="34556071" w14:textId="77777777" w:rsidR="00805B2C" w:rsidRPr="00805B2C" w:rsidRDefault="00805B2C">
      <w:pPr>
        <w:spacing w:after="160" w:line="259" w:lineRule="auto"/>
        <w:rPr>
          <w:rFonts w:ascii="Times New Roman" w:hAnsi="Times New Roman"/>
          <w:sz w:val="20"/>
          <w:szCs w:val="20"/>
        </w:rPr>
      </w:pPr>
    </w:p>
    <w:p w14:paraId="7DEE3B37" w14:textId="4037770F" w:rsidR="00AF0DA7" w:rsidRPr="00805B2C" w:rsidRDefault="00CE1DF4" w:rsidP="00AF0DA7">
      <w:pPr>
        <w:shd w:val="clear" w:color="auto" w:fill="FFFFFF"/>
        <w:jc w:val="both"/>
        <w:textAlignment w:val="baseline"/>
        <w:rPr>
          <w:rFonts w:ascii="Times New Roman" w:hAnsi="Times New Roman"/>
          <w:bCs/>
          <w:color w:val="FF0000"/>
          <w:sz w:val="20"/>
          <w:szCs w:val="20"/>
          <w:shd w:val="clear" w:color="auto" w:fill="FFFFFF"/>
        </w:rPr>
      </w:pPr>
      <w:r w:rsidRPr="00805B2C">
        <w:rPr>
          <w:rFonts w:ascii="Times New Roman" w:hAnsi="Times New Roman"/>
          <w:bCs/>
          <w:noProof/>
          <w:color w:val="FF0000"/>
          <w:sz w:val="20"/>
          <w:szCs w:val="20"/>
          <w:lang w:val="en-IN" w:eastAsia="en-IN"/>
        </w:rPr>
        <w:drawing>
          <wp:inline distT="0" distB="0" distL="0" distR="0" wp14:anchorId="68B641C2" wp14:editId="2ADF5650">
            <wp:extent cx="5760720" cy="345630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jpeg"/>
                    <pic:cNvPicPr/>
                  </pic:nvPicPr>
                  <pic:blipFill>
                    <a:blip r:embed="rId5">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3762BB1F" w14:textId="4618C3E3" w:rsidR="00AF0DA7" w:rsidRDefault="00AF0DA7" w:rsidP="00AF0DA7">
      <w:pPr>
        <w:shd w:val="clear" w:color="auto" w:fill="FFFFFF"/>
        <w:jc w:val="both"/>
        <w:textAlignment w:val="baseline"/>
        <w:rPr>
          <w:rFonts w:ascii="Times New Roman" w:hAnsi="Times New Roman"/>
          <w:bCs/>
          <w:sz w:val="20"/>
          <w:szCs w:val="20"/>
        </w:rPr>
      </w:pPr>
      <w:r w:rsidRPr="00805B2C">
        <w:rPr>
          <w:rFonts w:ascii="Times New Roman" w:hAnsi="Times New Roman"/>
          <w:b/>
          <w:bCs/>
          <w:sz w:val="20"/>
          <w:szCs w:val="20"/>
        </w:rPr>
        <w:t xml:space="preserve">Figure S1. Distance decay in unadjusted average monthly malaria incidence in Ifanadiana, 2014-2017. </w:t>
      </w:r>
      <w:r w:rsidRPr="00805B2C">
        <w:rPr>
          <w:rFonts w:ascii="Times New Roman" w:hAnsi="Times New Roman"/>
          <w:bCs/>
          <w:sz w:val="20"/>
          <w:szCs w:val="20"/>
        </w:rPr>
        <w:t xml:space="preserve">(A) For all individuals and (B) for children under 5 years. Dots represent average monthly malaria incidence for each of the 195 Fokontany in Ifanadiana. Solid lines are the smoothed conditional means (LOESS method) and grey areas are the 95% confidence interval around each the mean. </w:t>
      </w:r>
      <w:r w:rsidR="00215986" w:rsidRPr="00805B2C">
        <w:rPr>
          <w:rFonts w:ascii="Times New Roman" w:hAnsi="Times New Roman"/>
          <w:bCs/>
          <w:sz w:val="20"/>
          <w:szCs w:val="20"/>
        </w:rPr>
        <w:t xml:space="preserve">To improve visualization, </w:t>
      </w:r>
      <w:r w:rsidR="00CE1DF4" w:rsidRPr="00805B2C">
        <w:rPr>
          <w:rFonts w:ascii="Times New Roman" w:hAnsi="Times New Roman"/>
          <w:bCs/>
          <w:sz w:val="20"/>
          <w:szCs w:val="20"/>
        </w:rPr>
        <w:t xml:space="preserve">1 </w:t>
      </w:r>
      <w:r w:rsidR="00215986" w:rsidRPr="00805B2C">
        <w:rPr>
          <w:rFonts w:ascii="Times New Roman" w:hAnsi="Times New Roman"/>
          <w:bCs/>
          <w:sz w:val="20"/>
          <w:szCs w:val="20"/>
        </w:rPr>
        <w:t xml:space="preserve">dot in panel </w:t>
      </w:r>
      <w:r w:rsidR="00CE1DF4" w:rsidRPr="00805B2C">
        <w:rPr>
          <w:rFonts w:ascii="Times New Roman" w:hAnsi="Times New Roman"/>
          <w:bCs/>
          <w:sz w:val="20"/>
          <w:szCs w:val="20"/>
        </w:rPr>
        <w:t>B was removed.</w:t>
      </w:r>
    </w:p>
    <w:p w14:paraId="630A2551" w14:textId="77777777" w:rsidR="000106B8" w:rsidRPr="00805B2C" w:rsidRDefault="000106B8" w:rsidP="00AF0DA7">
      <w:pPr>
        <w:shd w:val="clear" w:color="auto" w:fill="FFFFFF"/>
        <w:jc w:val="both"/>
        <w:textAlignment w:val="baseline"/>
        <w:rPr>
          <w:rFonts w:ascii="Times New Roman" w:hAnsi="Times New Roman"/>
          <w:bCs/>
          <w:sz w:val="20"/>
          <w:szCs w:val="20"/>
        </w:rPr>
      </w:pPr>
    </w:p>
    <w:p w14:paraId="61B15DC4" w14:textId="77777777" w:rsidR="00AF0DA7" w:rsidRDefault="00AF0DA7" w:rsidP="00AF0DA7">
      <w:pPr>
        <w:shd w:val="clear" w:color="auto" w:fill="FFFFFF"/>
        <w:jc w:val="both"/>
        <w:textAlignment w:val="baseline"/>
        <w:rPr>
          <w:rFonts w:ascii="Times New Roman" w:hAnsi="Times New Roman"/>
          <w:bCs/>
          <w:color w:val="FF0000"/>
          <w:sz w:val="20"/>
          <w:szCs w:val="20"/>
        </w:rPr>
      </w:pPr>
    </w:p>
    <w:p w14:paraId="1B68B47F" w14:textId="77777777" w:rsidR="000106B8" w:rsidRPr="00805B2C" w:rsidRDefault="000106B8" w:rsidP="000106B8">
      <w:pPr>
        <w:spacing w:after="160" w:line="259" w:lineRule="auto"/>
        <w:rPr>
          <w:rFonts w:ascii="Times New Roman" w:hAnsi="Times New Roman"/>
          <w:color w:val="FF0000"/>
          <w:sz w:val="20"/>
          <w:szCs w:val="20"/>
        </w:rPr>
      </w:pPr>
      <w:r w:rsidRPr="00805B2C">
        <w:rPr>
          <w:rFonts w:ascii="Times New Roman" w:hAnsi="Times New Roman"/>
          <w:noProof/>
          <w:color w:val="FF0000"/>
          <w:sz w:val="20"/>
          <w:szCs w:val="20"/>
          <w:lang w:val="en-IN" w:eastAsia="en-IN"/>
        </w:rPr>
        <w:drawing>
          <wp:inline distT="0" distB="0" distL="0" distR="0" wp14:anchorId="49BA5961" wp14:editId="0D03BA2E">
            <wp:extent cx="5853152" cy="351176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jpeg"/>
                    <pic:cNvPicPr/>
                  </pic:nvPicPr>
                  <pic:blipFill>
                    <a:blip r:embed="rId6">
                      <a:extLst>
                        <a:ext uri="{28A0092B-C50C-407E-A947-70E740481C1C}">
                          <a14:useLocalDpi xmlns:a14="http://schemas.microsoft.com/office/drawing/2010/main" val="0"/>
                        </a:ext>
                      </a:extLst>
                    </a:blip>
                    <a:stretch>
                      <a:fillRect/>
                    </a:stretch>
                  </pic:blipFill>
                  <pic:spPr>
                    <a:xfrm>
                      <a:off x="0" y="0"/>
                      <a:ext cx="5853152" cy="3511762"/>
                    </a:xfrm>
                    <a:prstGeom prst="rect">
                      <a:avLst/>
                    </a:prstGeom>
                  </pic:spPr>
                </pic:pic>
              </a:graphicData>
            </a:graphic>
          </wp:inline>
        </w:drawing>
      </w:r>
    </w:p>
    <w:p w14:paraId="1AE120F7" w14:textId="77777777" w:rsidR="000106B8" w:rsidRPr="00805B2C" w:rsidRDefault="000106B8" w:rsidP="000106B8">
      <w:pPr>
        <w:shd w:val="clear" w:color="auto" w:fill="FFFFFF"/>
        <w:jc w:val="both"/>
        <w:textAlignment w:val="baseline"/>
        <w:rPr>
          <w:rFonts w:ascii="Times New Roman" w:eastAsia="Times New Roman" w:hAnsi="Times New Roman"/>
          <w:sz w:val="20"/>
          <w:szCs w:val="20"/>
        </w:rPr>
      </w:pPr>
      <w:r>
        <w:rPr>
          <w:rFonts w:ascii="Times New Roman" w:hAnsi="Times New Roman"/>
          <w:b/>
          <w:bCs/>
          <w:sz w:val="20"/>
          <w:szCs w:val="20"/>
        </w:rPr>
        <w:t>Figure S2</w:t>
      </w:r>
      <w:r w:rsidRPr="00805B2C">
        <w:rPr>
          <w:rFonts w:ascii="Times New Roman" w:hAnsi="Times New Roman"/>
          <w:b/>
          <w:bCs/>
          <w:sz w:val="20"/>
          <w:szCs w:val="20"/>
        </w:rPr>
        <w:t>. Summary results for the four evaluation criteria in unadjusted data and all adjusted malaria datasets in children under five.</w:t>
      </w:r>
      <w:r w:rsidRPr="00805B2C">
        <w:rPr>
          <w:rFonts w:ascii="Times New Roman" w:hAnsi="Times New Roman"/>
          <w:bCs/>
          <w:sz w:val="20"/>
          <w:szCs w:val="20"/>
        </w:rPr>
        <w:t xml:space="preserve"> Each dot represents the metric of interest in one set of adjusted data, and colors represent the pooling strategy. The dashed line shows values for the unadjusted dataset. Shaded green areas show target ranges of evaluation criteria. (A) Overall malaria incidence: ratio of malaria in adjusted dataset to malaria in optimal access areas. Values closer to 1 mean better performance. (B) Distance decay: ratio of incidence in Fokontany less than 5 km from a health center to incidence in Fokontany more than 5 km from a health center. Values closer to 1 mean better performance.</w:t>
      </w:r>
      <w:r w:rsidRPr="00805B2C">
        <w:rPr>
          <w:rFonts w:ascii="Times New Roman" w:eastAsia="Times New Roman" w:hAnsi="Times New Roman"/>
          <w:sz w:val="20"/>
          <w:szCs w:val="20"/>
        </w:rPr>
        <w:t xml:space="preserve"> (C) </w:t>
      </w:r>
      <w:r w:rsidRPr="00805B2C">
        <w:rPr>
          <w:rFonts w:ascii="Times New Roman" w:hAnsi="Times New Roman"/>
          <w:bCs/>
          <w:sz w:val="20"/>
          <w:szCs w:val="20"/>
        </w:rPr>
        <w:t xml:space="preserve">Trends in financial access to care: ratio of average monthly incidence in fee-exempt to non-fee-exempt populations in each adjusted dataset. Values closer to 1 mean better performance. </w:t>
      </w:r>
      <w:r w:rsidRPr="00805B2C">
        <w:rPr>
          <w:rFonts w:ascii="Times New Roman" w:eastAsia="Times New Roman" w:hAnsi="Times New Roman"/>
          <w:sz w:val="20"/>
          <w:szCs w:val="20"/>
        </w:rPr>
        <w:t>(D)</w:t>
      </w:r>
      <w:r w:rsidRPr="00805B2C">
        <w:rPr>
          <w:rFonts w:ascii="Times New Roman" w:hAnsi="Times New Roman"/>
          <w:bCs/>
          <w:sz w:val="20"/>
          <w:szCs w:val="20"/>
        </w:rPr>
        <w:t xml:space="preserve"> </w:t>
      </w:r>
      <w:r w:rsidRPr="00805B2C">
        <w:rPr>
          <w:rFonts w:ascii="Times New Roman" w:eastAsia="Times New Roman" w:hAnsi="Times New Roman"/>
          <w:sz w:val="20"/>
          <w:szCs w:val="20"/>
        </w:rPr>
        <w:t xml:space="preserve">Geographic consistency with I-HOPE cohort data: percent of overlap between hotspots of fever identified in the I-HOPE cohort study data and malaria incidence in each adjusted dataset. </w:t>
      </w:r>
      <w:r w:rsidRPr="00805B2C">
        <w:rPr>
          <w:rFonts w:ascii="Times New Roman" w:hAnsi="Times New Roman"/>
          <w:bCs/>
          <w:sz w:val="20"/>
          <w:szCs w:val="20"/>
        </w:rPr>
        <w:t>Greater values mean better performance.</w:t>
      </w:r>
      <w:r w:rsidRPr="00805B2C">
        <w:rPr>
          <w:rFonts w:ascii="Times New Roman" w:eastAsia="Times New Roman" w:hAnsi="Times New Roman"/>
          <w:sz w:val="20"/>
          <w:szCs w:val="20"/>
        </w:rPr>
        <w:t xml:space="preserve"> </w:t>
      </w:r>
    </w:p>
    <w:p w14:paraId="673FF361" w14:textId="77777777" w:rsidR="000106B8" w:rsidRPr="00805B2C" w:rsidRDefault="000106B8" w:rsidP="00AF0DA7">
      <w:pPr>
        <w:shd w:val="clear" w:color="auto" w:fill="FFFFFF"/>
        <w:jc w:val="both"/>
        <w:textAlignment w:val="baseline"/>
        <w:rPr>
          <w:rFonts w:ascii="Times New Roman" w:hAnsi="Times New Roman"/>
          <w:bCs/>
          <w:color w:val="FF0000"/>
          <w:sz w:val="20"/>
          <w:szCs w:val="20"/>
        </w:rPr>
      </w:pPr>
    </w:p>
    <w:p w14:paraId="6C67094F" w14:textId="77777777" w:rsidR="00AF0DA7" w:rsidRPr="00805B2C" w:rsidRDefault="00AF0DA7" w:rsidP="00AF0DA7">
      <w:pPr>
        <w:rPr>
          <w:rFonts w:ascii="Times New Roman" w:hAnsi="Times New Roman"/>
          <w:color w:val="FF0000"/>
          <w:sz w:val="20"/>
          <w:szCs w:val="20"/>
        </w:rPr>
      </w:pPr>
    </w:p>
    <w:p w14:paraId="1D953775" w14:textId="77777777" w:rsidR="006528BA" w:rsidRPr="00805B2C" w:rsidRDefault="006528BA" w:rsidP="00AF0DA7">
      <w:pPr>
        <w:rPr>
          <w:rFonts w:ascii="Times New Roman" w:hAnsi="Times New Roman"/>
          <w:color w:val="FF0000"/>
          <w:sz w:val="20"/>
          <w:szCs w:val="20"/>
        </w:rPr>
      </w:pPr>
    </w:p>
    <w:p w14:paraId="47DD0520" w14:textId="77777777" w:rsidR="00AF0DA7" w:rsidRPr="00805B2C" w:rsidRDefault="00AF0DA7" w:rsidP="00AF0DA7">
      <w:pPr>
        <w:rPr>
          <w:rFonts w:ascii="Times New Roman" w:hAnsi="Times New Roman"/>
          <w:color w:val="FF0000"/>
          <w:sz w:val="20"/>
          <w:szCs w:val="20"/>
        </w:rPr>
      </w:pPr>
    </w:p>
    <w:p w14:paraId="60C7215A" w14:textId="0F78FE2F" w:rsidR="00AF0DA7" w:rsidRPr="00805B2C" w:rsidRDefault="003574B8" w:rsidP="00AF0DA7">
      <w:pPr>
        <w:rPr>
          <w:rFonts w:ascii="Times New Roman" w:hAnsi="Times New Roman"/>
          <w:sz w:val="20"/>
          <w:szCs w:val="20"/>
        </w:rPr>
      </w:pPr>
      <w:r w:rsidRPr="00805B2C">
        <w:rPr>
          <w:rFonts w:ascii="Times New Roman" w:hAnsi="Times New Roman"/>
          <w:noProof/>
          <w:sz w:val="20"/>
          <w:szCs w:val="20"/>
          <w:lang w:val="en-IN" w:eastAsia="en-IN"/>
        </w:rPr>
        <w:drawing>
          <wp:inline distT="0" distB="0" distL="0" distR="0" wp14:anchorId="570B8806" wp14:editId="0DC66763">
            <wp:extent cx="5760720" cy="2991485"/>
            <wp:effectExtent l="0" t="0" r="508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4-30 at 6.42.33 PM.png"/>
                    <pic:cNvPicPr/>
                  </pic:nvPicPr>
                  <pic:blipFill>
                    <a:blip r:embed="rId7">
                      <a:extLst>
                        <a:ext uri="{28A0092B-C50C-407E-A947-70E740481C1C}">
                          <a14:useLocalDpi xmlns:a14="http://schemas.microsoft.com/office/drawing/2010/main" val="0"/>
                        </a:ext>
                      </a:extLst>
                    </a:blip>
                    <a:stretch>
                      <a:fillRect/>
                    </a:stretch>
                  </pic:blipFill>
                  <pic:spPr>
                    <a:xfrm>
                      <a:off x="0" y="0"/>
                      <a:ext cx="5760720" cy="2991485"/>
                    </a:xfrm>
                    <a:prstGeom prst="rect">
                      <a:avLst/>
                    </a:prstGeom>
                  </pic:spPr>
                </pic:pic>
              </a:graphicData>
            </a:graphic>
          </wp:inline>
        </w:drawing>
      </w:r>
    </w:p>
    <w:p w14:paraId="52576B5C" w14:textId="2D432EFE" w:rsidR="00AF0DA7" w:rsidRPr="00805B2C" w:rsidRDefault="009938BA" w:rsidP="00AF0DA7">
      <w:pPr>
        <w:shd w:val="clear" w:color="auto" w:fill="FFFFFF"/>
        <w:jc w:val="both"/>
        <w:textAlignment w:val="baseline"/>
        <w:rPr>
          <w:rFonts w:ascii="Times New Roman" w:hAnsi="Times New Roman"/>
          <w:bCs/>
          <w:sz w:val="20"/>
          <w:szCs w:val="20"/>
        </w:rPr>
      </w:pPr>
      <w:r>
        <w:rPr>
          <w:rFonts w:ascii="Times New Roman" w:hAnsi="Times New Roman"/>
          <w:b/>
          <w:bCs/>
          <w:sz w:val="20"/>
          <w:szCs w:val="20"/>
        </w:rPr>
        <w:t>Figure S3</w:t>
      </w:r>
      <w:r w:rsidR="00AF0DA7" w:rsidRPr="00805B2C">
        <w:rPr>
          <w:rFonts w:ascii="Times New Roman" w:hAnsi="Times New Roman"/>
          <w:b/>
          <w:bCs/>
          <w:sz w:val="20"/>
          <w:szCs w:val="20"/>
        </w:rPr>
        <w:t xml:space="preserve">. Average adjusted monthly malaria incidence in Ifanadiana for each year of the study period, 2014-2017. </w:t>
      </w:r>
      <w:r w:rsidR="00AF0DA7" w:rsidRPr="00805B2C">
        <w:rPr>
          <w:rFonts w:ascii="Times New Roman" w:hAnsi="Times New Roman"/>
          <w:bCs/>
          <w:sz w:val="20"/>
          <w:szCs w:val="20"/>
        </w:rPr>
        <w:t xml:space="preserve">Color gradient represents average monthly malaria incidence per 1000 population. </w:t>
      </w:r>
    </w:p>
    <w:p w14:paraId="7EBE9750" w14:textId="77777777" w:rsidR="00AF0DA7" w:rsidRDefault="00AF0DA7" w:rsidP="00AF0DA7">
      <w:pPr>
        <w:shd w:val="clear" w:color="auto" w:fill="FFFFFF"/>
        <w:jc w:val="both"/>
        <w:textAlignment w:val="baseline"/>
        <w:rPr>
          <w:rFonts w:ascii="Times New Roman" w:hAnsi="Times New Roman"/>
          <w:bCs/>
          <w:color w:val="FF0000"/>
          <w:sz w:val="20"/>
          <w:szCs w:val="20"/>
        </w:rPr>
      </w:pPr>
    </w:p>
    <w:p w14:paraId="17466D85" w14:textId="77777777" w:rsidR="000106B8" w:rsidRPr="00805B2C" w:rsidRDefault="000106B8" w:rsidP="00AF0DA7">
      <w:pPr>
        <w:shd w:val="clear" w:color="auto" w:fill="FFFFFF"/>
        <w:jc w:val="both"/>
        <w:textAlignment w:val="baseline"/>
        <w:rPr>
          <w:rFonts w:ascii="Times New Roman" w:hAnsi="Times New Roman"/>
          <w:bCs/>
          <w:color w:val="FF0000"/>
          <w:sz w:val="20"/>
          <w:szCs w:val="20"/>
        </w:rPr>
      </w:pPr>
    </w:p>
    <w:p w14:paraId="47C86FCB" w14:textId="31086713" w:rsidR="002933FE" w:rsidRPr="00805B2C" w:rsidRDefault="002933FE" w:rsidP="002933FE">
      <w:pPr>
        <w:rPr>
          <w:rFonts w:ascii="Times New Roman" w:hAnsi="Times New Roman"/>
          <w:color w:val="FF0000"/>
          <w:sz w:val="20"/>
          <w:szCs w:val="20"/>
        </w:rPr>
      </w:pPr>
      <w:r w:rsidRPr="00805B2C">
        <w:rPr>
          <w:rFonts w:ascii="Times New Roman" w:hAnsi="Times New Roman"/>
          <w:noProof/>
          <w:color w:val="FF0000"/>
          <w:sz w:val="20"/>
          <w:szCs w:val="20"/>
          <w:lang w:val="en-IN" w:eastAsia="en-IN"/>
        </w:rPr>
        <w:drawing>
          <wp:inline distT="0" distB="0" distL="0" distR="0" wp14:anchorId="2D145B1B" wp14:editId="4C97459D">
            <wp:extent cx="5760720" cy="3090545"/>
            <wp:effectExtent l="0" t="0" r="508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4-30 at 6.57.00 PM.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090545"/>
                    </a:xfrm>
                    <a:prstGeom prst="rect">
                      <a:avLst/>
                    </a:prstGeom>
                  </pic:spPr>
                </pic:pic>
              </a:graphicData>
            </a:graphic>
          </wp:inline>
        </w:drawing>
      </w:r>
    </w:p>
    <w:p w14:paraId="45AA07D5" w14:textId="0774F769" w:rsidR="00AF0DA7" w:rsidRPr="00805B2C" w:rsidRDefault="009938BA" w:rsidP="001A5BBC">
      <w:pPr>
        <w:shd w:val="clear" w:color="auto" w:fill="FFFFFF"/>
        <w:jc w:val="both"/>
        <w:textAlignment w:val="baseline"/>
        <w:rPr>
          <w:rFonts w:ascii="Times New Roman" w:hAnsi="Times New Roman"/>
          <w:bCs/>
          <w:sz w:val="20"/>
          <w:szCs w:val="20"/>
        </w:rPr>
      </w:pPr>
      <w:r>
        <w:rPr>
          <w:rFonts w:ascii="Times New Roman" w:hAnsi="Times New Roman"/>
          <w:b/>
          <w:bCs/>
          <w:sz w:val="20"/>
          <w:szCs w:val="20"/>
        </w:rPr>
        <w:t>Figure S4</w:t>
      </w:r>
      <w:r w:rsidR="00AF0DA7" w:rsidRPr="00805B2C">
        <w:rPr>
          <w:rFonts w:ascii="Times New Roman" w:hAnsi="Times New Roman"/>
          <w:b/>
          <w:bCs/>
          <w:sz w:val="20"/>
          <w:szCs w:val="20"/>
        </w:rPr>
        <w:t xml:space="preserve">. Geographic dynamics of unadjusted monthly malaria incidence by malaria season in Ifanadiana, 2014-2017. </w:t>
      </w:r>
      <w:r w:rsidR="00AF0DA7" w:rsidRPr="00805B2C">
        <w:rPr>
          <w:rFonts w:ascii="Times New Roman" w:hAnsi="Times New Roman"/>
          <w:bCs/>
          <w:sz w:val="20"/>
          <w:szCs w:val="20"/>
        </w:rPr>
        <w:t>Geographic distribution of malaria, averaged over all months (left), high season months (December to May; center), and low season months (June to November; right).</w:t>
      </w:r>
      <w:r w:rsidR="00AF0DA7" w:rsidRPr="00805B2C">
        <w:rPr>
          <w:rFonts w:ascii="Times New Roman" w:hAnsi="Times New Roman"/>
          <w:b/>
          <w:bCs/>
          <w:sz w:val="20"/>
          <w:szCs w:val="20"/>
        </w:rPr>
        <w:t xml:space="preserve"> </w:t>
      </w:r>
      <w:r w:rsidR="00AF0DA7" w:rsidRPr="00805B2C">
        <w:rPr>
          <w:rFonts w:ascii="Times New Roman" w:hAnsi="Times New Roman"/>
          <w:bCs/>
          <w:sz w:val="20"/>
          <w:szCs w:val="20"/>
        </w:rPr>
        <w:t xml:space="preserve">Color gradient represents average monthly malaria incidence per 1000 population. </w:t>
      </w:r>
    </w:p>
    <w:p w14:paraId="26FB4CD9" w14:textId="77777777" w:rsidR="00AF0DA7" w:rsidRPr="00805B2C" w:rsidRDefault="00AF0DA7" w:rsidP="00AF0DA7">
      <w:pPr>
        <w:rPr>
          <w:rFonts w:ascii="Times New Roman" w:hAnsi="Times New Roman"/>
          <w:color w:val="FF0000"/>
          <w:sz w:val="20"/>
          <w:szCs w:val="20"/>
        </w:rPr>
      </w:pPr>
    </w:p>
    <w:p w14:paraId="60EB12BD" w14:textId="7554BA78" w:rsidR="00AF0DA7" w:rsidRPr="00805B2C" w:rsidRDefault="000C3E6A" w:rsidP="00775C42">
      <w:pPr>
        <w:shd w:val="clear" w:color="auto" w:fill="FFFFFF"/>
        <w:ind w:left="-567"/>
        <w:jc w:val="both"/>
        <w:textAlignment w:val="baseline"/>
        <w:rPr>
          <w:rFonts w:ascii="Times New Roman" w:hAnsi="Times New Roman"/>
          <w:b/>
          <w:bCs/>
          <w:sz w:val="20"/>
          <w:szCs w:val="20"/>
        </w:rPr>
      </w:pPr>
      <w:r>
        <w:rPr>
          <w:rFonts w:ascii="Times New Roman" w:hAnsi="Times New Roman"/>
          <w:b/>
          <w:bCs/>
          <w:sz w:val="20"/>
          <w:szCs w:val="20"/>
        </w:rPr>
        <w:t>Table S2</w:t>
      </w:r>
      <w:r w:rsidR="00AF0DA7" w:rsidRPr="00805B2C">
        <w:rPr>
          <w:rFonts w:ascii="Times New Roman" w:hAnsi="Times New Roman"/>
          <w:b/>
          <w:bCs/>
          <w:sz w:val="20"/>
          <w:szCs w:val="20"/>
        </w:rPr>
        <w:t>. Summary results for the four evaluation criteria in unadjusted data and best-performing adjusted malaria datasets for children under five</w:t>
      </w:r>
      <w:r w:rsidR="00AF0DA7" w:rsidRPr="00805B2C">
        <w:rPr>
          <w:rFonts w:ascii="Times New Roman" w:hAnsi="Times New Roman"/>
          <w:b/>
          <w:bCs/>
          <w:sz w:val="20"/>
          <w:szCs w:val="20"/>
          <w:vertAlign w:val="superscript"/>
        </w:rPr>
        <w:t>1</w:t>
      </w:r>
      <w:r w:rsidR="00AF0DA7" w:rsidRPr="00805B2C">
        <w:rPr>
          <w:rFonts w:ascii="Times New Roman" w:hAnsi="Times New Roman"/>
          <w:b/>
          <w:bCs/>
          <w:sz w:val="20"/>
          <w:szCs w:val="20"/>
        </w:rPr>
        <w:t>.</w:t>
      </w:r>
      <w:r w:rsidR="00AF0DA7" w:rsidRPr="00805B2C">
        <w:rPr>
          <w:rFonts w:ascii="Times New Roman" w:hAnsi="Times New Roman"/>
          <w:bCs/>
          <w:sz w:val="20"/>
          <w:szCs w:val="20"/>
        </w:rPr>
        <w:t xml:space="preserve"> </w:t>
      </w:r>
    </w:p>
    <w:tbl>
      <w:tblPr>
        <w:tblW w:w="10215" w:type="dxa"/>
        <w:tblInd w:w="-567" w:type="dxa"/>
        <w:tblBorders>
          <w:top w:val="single" w:sz="4" w:space="0" w:color="auto"/>
          <w:bottom w:val="single" w:sz="4" w:space="0" w:color="auto"/>
          <w:insideH w:val="single" w:sz="4" w:space="0" w:color="auto"/>
        </w:tblBorders>
        <w:tblLook w:val="04A0" w:firstRow="1" w:lastRow="0" w:firstColumn="1" w:lastColumn="0" w:noHBand="0" w:noVBand="1"/>
      </w:tblPr>
      <w:tblGrid>
        <w:gridCol w:w="2385"/>
        <w:gridCol w:w="1980"/>
        <w:gridCol w:w="1800"/>
        <w:gridCol w:w="1890"/>
        <w:gridCol w:w="278"/>
        <w:gridCol w:w="1882"/>
      </w:tblGrid>
      <w:tr w:rsidR="00761224" w:rsidRPr="00805B2C" w14:paraId="299A0CCB" w14:textId="77777777" w:rsidTr="005D2CCF">
        <w:trPr>
          <w:trHeight w:val="1182"/>
        </w:trPr>
        <w:tc>
          <w:tcPr>
            <w:tcW w:w="2385" w:type="dxa"/>
            <w:shd w:val="clear" w:color="auto" w:fill="auto"/>
            <w:vAlign w:val="center"/>
          </w:tcPr>
          <w:p w14:paraId="353ACEC7" w14:textId="77777777" w:rsidR="00761224" w:rsidRPr="00805B2C" w:rsidRDefault="00761224" w:rsidP="00306919">
            <w:pPr>
              <w:jc w:val="center"/>
              <w:textAlignment w:val="baseline"/>
              <w:rPr>
                <w:rFonts w:ascii="Times New Roman" w:hAnsi="Times New Roman"/>
                <w:b/>
                <w:bCs/>
                <w:sz w:val="20"/>
                <w:szCs w:val="20"/>
              </w:rPr>
            </w:pPr>
            <w:r w:rsidRPr="00805B2C">
              <w:rPr>
                <w:rFonts w:ascii="Times New Roman" w:hAnsi="Times New Roman"/>
                <w:b/>
                <w:bCs/>
                <w:sz w:val="20"/>
                <w:szCs w:val="20"/>
              </w:rPr>
              <w:t>Dataset</w:t>
            </w:r>
          </w:p>
        </w:tc>
        <w:tc>
          <w:tcPr>
            <w:tcW w:w="1980" w:type="dxa"/>
            <w:tcBorders>
              <w:bottom w:val="single" w:sz="4" w:space="0" w:color="auto"/>
            </w:tcBorders>
            <w:shd w:val="clear" w:color="auto" w:fill="auto"/>
          </w:tcPr>
          <w:p w14:paraId="2C1B7446" w14:textId="7898D060" w:rsidR="00761224" w:rsidRPr="00805B2C" w:rsidRDefault="00761224" w:rsidP="00F34B51">
            <w:pPr>
              <w:jc w:val="center"/>
              <w:textAlignment w:val="baseline"/>
              <w:rPr>
                <w:rFonts w:ascii="Times New Roman" w:hAnsi="Times New Roman"/>
                <w:b/>
                <w:bCs/>
                <w:sz w:val="20"/>
                <w:szCs w:val="20"/>
              </w:rPr>
            </w:pPr>
            <w:r w:rsidRPr="00805B2C">
              <w:rPr>
                <w:rFonts w:ascii="Times New Roman" w:hAnsi="Times New Roman"/>
                <w:b/>
                <w:bCs/>
                <w:sz w:val="20"/>
                <w:szCs w:val="20"/>
              </w:rPr>
              <w:t xml:space="preserve">Ratio of average incidence in dataset to incidence in optimal access areas </w:t>
            </w:r>
          </w:p>
        </w:tc>
        <w:tc>
          <w:tcPr>
            <w:tcW w:w="1800" w:type="dxa"/>
            <w:tcBorders>
              <w:bottom w:val="single" w:sz="4" w:space="0" w:color="auto"/>
            </w:tcBorders>
            <w:shd w:val="clear" w:color="auto" w:fill="auto"/>
          </w:tcPr>
          <w:p w14:paraId="56FC4DCC" w14:textId="77777777" w:rsidR="00761224" w:rsidRPr="00805B2C" w:rsidRDefault="00761224" w:rsidP="00306919">
            <w:pPr>
              <w:jc w:val="center"/>
              <w:textAlignment w:val="baseline"/>
              <w:rPr>
                <w:rFonts w:ascii="Times New Roman" w:hAnsi="Times New Roman"/>
                <w:b/>
                <w:bCs/>
                <w:sz w:val="20"/>
                <w:szCs w:val="20"/>
              </w:rPr>
            </w:pPr>
            <w:r w:rsidRPr="00805B2C">
              <w:rPr>
                <w:rFonts w:ascii="Times New Roman" w:hAnsi="Times New Roman"/>
                <w:b/>
                <w:bCs/>
                <w:sz w:val="20"/>
                <w:szCs w:val="20"/>
              </w:rPr>
              <w:t xml:space="preserve">Ratio of incidence </w:t>
            </w:r>
          </w:p>
          <w:p w14:paraId="284160C1" w14:textId="197EE837" w:rsidR="00761224" w:rsidRPr="00805B2C" w:rsidRDefault="00761224" w:rsidP="00F34B51">
            <w:pPr>
              <w:jc w:val="center"/>
              <w:textAlignment w:val="baseline"/>
              <w:rPr>
                <w:rFonts w:ascii="Times New Roman" w:hAnsi="Times New Roman"/>
                <w:b/>
                <w:bCs/>
                <w:sz w:val="20"/>
                <w:szCs w:val="20"/>
              </w:rPr>
            </w:pPr>
            <w:r w:rsidRPr="00805B2C">
              <w:rPr>
                <w:rFonts w:ascii="Times New Roman" w:hAnsi="Times New Roman"/>
                <w:b/>
                <w:bCs/>
                <w:sz w:val="20"/>
                <w:szCs w:val="20"/>
              </w:rPr>
              <w:t xml:space="preserve">&lt; 5km to &gt; 5km from a health center </w:t>
            </w:r>
          </w:p>
        </w:tc>
        <w:tc>
          <w:tcPr>
            <w:tcW w:w="1890" w:type="dxa"/>
            <w:tcBorders>
              <w:bottom w:val="single" w:sz="4" w:space="0" w:color="auto"/>
            </w:tcBorders>
          </w:tcPr>
          <w:p w14:paraId="568B1ACF" w14:textId="349F4AD7" w:rsidR="00761224" w:rsidRPr="00805B2C" w:rsidRDefault="00761224" w:rsidP="00F34B51">
            <w:pPr>
              <w:jc w:val="center"/>
              <w:textAlignment w:val="baseline"/>
              <w:rPr>
                <w:rFonts w:ascii="Times New Roman" w:hAnsi="Times New Roman"/>
                <w:b/>
                <w:bCs/>
                <w:sz w:val="20"/>
                <w:szCs w:val="20"/>
              </w:rPr>
            </w:pPr>
            <w:r w:rsidRPr="00805B2C">
              <w:rPr>
                <w:rFonts w:ascii="Times New Roman" w:hAnsi="Times New Roman"/>
                <w:b/>
                <w:bCs/>
                <w:sz w:val="20"/>
                <w:szCs w:val="20"/>
              </w:rPr>
              <w:t xml:space="preserve">Ratio of incidence in fee-exemption to non-fee-exemption areas in dataset </w:t>
            </w:r>
          </w:p>
        </w:tc>
        <w:tc>
          <w:tcPr>
            <w:tcW w:w="278" w:type="dxa"/>
            <w:tcBorders>
              <w:bottom w:val="single" w:sz="4" w:space="0" w:color="auto"/>
            </w:tcBorders>
          </w:tcPr>
          <w:p w14:paraId="76D82A5E" w14:textId="72AF9F9C" w:rsidR="00761224" w:rsidRPr="00805B2C" w:rsidRDefault="00761224" w:rsidP="00306919">
            <w:pPr>
              <w:jc w:val="center"/>
              <w:textAlignment w:val="baseline"/>
              <w:rPr>
                <w:rFonts w:ascii="Times New Roman" w:hAnsi="Times New Roman"/>
                <w:b/>
                <w:bCs/>
                <w:sz w:val="20"/>
                <w:szCs w:val="20"/>
              </w:rPr>
            </w:pPr>
          </w:p>
        </w:tc>
        <w:tc>
          <w:tcPr>
            <w:tcW w:w="1882" w:type="dxa"/>
            <w:tcBorders>
              <w:bottom w:val="single" w:sz="4" w:space="0" w:color="auto"/>
            </w:tcBorders>
            <w:shd w:val="clear" w:color="auto" w:fill="auto"/>
          </w:tcPr>
          <w:p w14:paraId="6F299730" w14:textId="63EAE1B5" w:rsidR="00761224" w:rsidRPr="00805B2C" w:rsidRDefault="00761224" w:rsidP="00306919">
            <w:pPr>
              <w:jc w:val="center"/>
              <w:textAlignment w:val="baseline"/>
              <w:rPr>
                <w:rFonts w:ascii="Times New Roman" w:hAnsi="Times New Roman"/>
                <w:b/>
                <w:bCs/>
                <w:sz w:val="20"/>
                <w:szCs w:val="20"/>
              </w:rPr>
            </w:pPr>
            <w:r w:rsidRPr="00805B2C">
              <w:rPr>
                <w:rFonts w:ascii="Times New Roman" w:hAnsi="Times New Roman"/>
                <w:b/>
                <w:bCs/>
                <w:sz w:val="20"/>
                <w:szCs w:val="20"/>
              </w:rPr>
              <w:t>% of hotspot clusters overlapped between dataset and I-HOPE cohort data</w:t>
            </w:r>
          </w:p>
        </w:tc>
      </w:tr>
      <w:tr w:rsidR="00761224" w:rsidRPr="00805B2C" w14:paraId="65E74779" w14:textId="77777777" w:rsidTr="005D2CCF">
        <w:trPr>
          <w:trHeight w:val="230"/>
        </w:trPr>
        <w:tc>
          <w:tcPr>
            <w:tcW w:w="2385" w:type="dxa"/>
            <w:shd w:val="clear" w:color="auto" w:fill="auto"/>
          </w:tcPr>
          <w:p w14:paraId="15E98112"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Unadjusted register data</w:t>
            </w:r>
          </w:p>
        </w:tc>
        <w:tc>
          <w:tcPr>
            <w:tcW w:w="1980" w:type="dxa"/>
            <w:tcBorders>
              <w:bottom w:val="single" w:sz="4" w:space="0" w:color="auto"/>
            </w:tcBorders>
            <w:shd w:val="clear" w:color="auto" w:fill="FECC66"/>
            <w:vAlign w:val="center"/>
          </w:tcPr>
          <w:p w14:paraId="3A09414B" w14:textId="16C471EE" w:rsidR="00761224" w:rsidRPr="00805B2C" w:rsidRDefault="00F34B51" w:rsidP="00F34B51">
            <w:pPr>
              <w:jc w:val="center"/>
              <w:textAlignment w:val="baseline"/>
              <w:rPr>
                <w:rFonts w:ascii="Times New Roman" w:hAnsi="Times New Roman"/>
                <w:bCs/>
                <w:sz w:val="20"/>
                <w:szCs w:val="20"/>
              </w:rPr>
            </w:pPr>
            <w:r>
              <w:rPr>
                <w:rFonts w:ascii="Times New Roman" w:hAnsi="Times New Roman"/>
                <w:bCs/>
                <w:sz w:val="20"/>
                <w:szCs w:val="20"/>
              </w:rPr>
              <w:t>0.37</w:t>
            </w:r>
          </w:p>
        </w:tc>
        <w:tc>
          <w:tcPr>
            <w:tcW w:w="1800" w:type="dxa"/>
            <w:tcBorders>
              <w:bottom w:val="single" w:sz="4" w:space="0" w:color="auto"/>
            </w:tcBorders>
            <w:shd w:val="clear" w:color="auto" w:fill="FECC66"/>
            <w:vAlign w:val="center"/>
          </w:tcPr>
          <w:p w14:paraId="693C9B87" w14:textId="48FF2CEC"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2.18</w:t>
            </w:r>
          </w:p>
        </w:tc>
        <w:tc>
          <w:tcPr>
            <w:tcW w:w="1890" w:type="dxa"/>
            <w:tcBorders>
              <w:bottom w:val="single" w:sz="4" w:space="0" w:color="auto"/>
            </w:tcBorders>
            <w:shd w:val="clear" w:color="auto" w:fill="FECC66"/>
            <w:vAlign w:val="center"/>
          </w:tcPr>
          <w:p w14:paraId="076DCAB9" w14:textId="006B43B0"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1.72</w:t>
            </w:r>
          </w:p>
        </w:tc>
        <w:tc>
          <w:tcPr>
            <w:tcW w:w="278" w:type="dxa"/>
            <w:tcBorders>
              <w:bottom w:val="single" w:sz="4" w:space="0" w:color="auto"/>
            </w:tcBorders>
            <w:shd w:val="clear" w:color="auto" w:fill="FECC66"/>
          </w:tcPr>
          <w:p w14:paraId="36C7DCD2" w14:textId="319049D9" w:rsidR="00761224" w:rsidRPr="00805B2C" w:rsidRDefault="00761224" w:rsidP="00306919">
            <w:pPr>
              <w:jc w:val="center"/>
              <w:textAlignment w:val="baseline"/>
              <w:rPr>
                <w:rFonts w:ascii="Times New Roman" w:hAnsi="Times New Roman"/>
                <w:bCs/>
                <w:sz w:val="20"/>
                <w:szCs w:val="20"/>
              </w:rPr>
            </w:pPr>
          </w:p>
        </w:tc>
        <w:tc>
          <w:tcPr>
            <w:tcW w:w="1882" w:type="dxa"/>
            <w:tcBorders>
              <w:bottom w:val="single" w:sz="4" w:space="0" w:color="auto"/>
            </w:tcBorders>
            <w:shd w:val="clear" w:color="auto" w:fill="FECC66"/>
            <w:vAlign w:val="center"/>
          </w:tcPr>
          <w:p w14:paraId="55277603" w14:textId="5DDE5DF8"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8%</w:t>
            </w:r>
          </w:p>
        </w:tc>
      </w:tr>
      <w:tr w:rsidR="00761224" w:rsidRPr="00805B2C" w14:paraId="11C52026" w14:textId="77777777" w:rsidTr="005D2CCF">
        <w:trPr>
          <w:trHeight w:val="460"/>
        </w:trPr>
        <w:tc>
          <w:tcPr>
            <w:tcW w:w="2385" w:type="dxa"/>
            <w:shd w:val="clear" w:color="auto" w:fill="auto"/>
          </w:tcPr>
          <w:p w14:paraId="235F1491"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 xml:space="preserve">2 nearest neighbors, </w:t>
            </w:r>
          </w:p>
          <w:p w14:paraId="7FB4FC42" w14:textId="50A89A2D"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utilization index 0.14 – 1</w:t>
            </w:r>
          </w:p>
        </w:tc>
        <w:tc>
          <w:tcPr>
            <w:tcW w:w="1980" w:type="dxa"/>
            <w:tcBorders>
              <w:bottom w:val="single" w:sz="4" w:space="0" w:color="auto"/>
            </w:tcBorders>
            <w:shd w:val="clear" w:color="auto" w:fill="FFFF66"/>
            <w:vAlign w:val="center"/>
          </w:tcPr>
          <w:p w14:paraId="5D3E70ED" w14:textId="095377D4"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1.27</w:t>
            </w:r>
          </w:p>
        </w:tc>
        <w:tc>
          <w:tcPr>
            <w:tcW w:w="1800" w:type="dxa"/>
            <w:tcBorders>
              <w:bottom w:val="single" w:sz="4" w:space="0" w:color="auto"/>
            </w:tcBorders>
            <w:shd w:val="clear" w:color="auto" w:fill="66FF66"/>
            <w:vAlign w:val="center"/>
          </w:tcPr>
          <w:p w14:paraId="0BC199C6" w14:textId="002C928F"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1.05</w:t>
            </w:r>
          </w:p>
        </w:tc>
        <w:tc>
          <w:tcPr>
            <w:tcW w:w="1890" w:type="dxa"/>
            <w:shd w:val="clear" w:color="auto" w:fill="CCFF66"/>
            <w:vAlign w:val="center"/>
          </w:tcPr>
          <w:p w14:paraId="13EE8D55" w14:textId="2E1072A8"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1.18</w:t>
            </w:r>
          </w:p>
        </w:tc>
        <w:tc>
          <w:tcPr>
            <w:tcW w:w="278" w:type="dxa"/>
            <w:shd w:val="clear" w:color="auto" w:fill="CCFF66"/>
          </w:tcPr>
          <w:p w14:paraId="3EA19859" w14:textId="1A06DA39"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1D34E86B" w14:textId="2C6F2315"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17%</w:t>
            </w:r>
          </w:p>
        </w:tc>
      </w:tr>
      <w:tr w:rsidR="00761224" w:rsidRPr="00805B2C" w14:paraId="64BC2F5E" w14:textId="77777777" w:rsidTr="005D2CCF">
        <w:trPr>
          <w:trHeight w:val="476"/>
        </w:trPr>
        <w:tc>
          <w:tcPr>
            <w:tcW w:w="2385" w:type="dxa"/>
            <w:shd w:val="clear" w:color="auto" w:fill="auto"/>
          </w:tcPr>
          <w:p w14:paraId="74ADECDB"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 xml:space="preserve">2 nearest neighbors, </w:t>
            </w:r>
          </w:p>
          <w:p w14:paraId="4F649015"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utilization index 0.15 – 1</w:t>
            </w:r>
          </w:p>
        </w:tc>
        <w:tc>
          <w:tcPr>
            <w:tcW w:w="1980" w:type="dxa"/>
            <w:tcBorders>
              <w:bottom w:val="single" w:sz="4" w:space="0" w:color="auto"/>
            </w:tcBorders>
            <w:shd w:val="clear" w:color="auto" w:fill="FFFF66"/>
            <w:vAlign w:val="center"/>
          </w:tcPr>
          <w:p w14:paraId="5FF85FA7" w14:textId="6228B49D"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1.22</w:t>
            </w:r>
          </w:p>
        </w:tc>
        <w:tc>
          <w:tcPr>
            <w:tcW w:w="1800" w:type="dxa"/>
            <w:tcBorders>
              <w:bottom w:val="single" w:sz="4" w:space="0" w:color="auto"/>
            </w:tcBorders>
            <w:shd w:val="clear" w:color="auto" w:fill="66FF66"/>
            <w:vAlign w:val="center"/>
          </w:tcPr>
          <w:p w14:paraId="3067E27A" w14:textId="6CA139A0"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1.07</w:t>
            </w:r>
          </w:p>
        </w:tc>
        <w:tc>
          <w:tcPr>
            <w:tcW w:w="1890" w:type="dxa"/>
            <w:tcBorders>
              <w:bottom w:val="single" w:sz="4" w:space="0" w:color="auto"/>
            </w:tcBorders>
            <w:shd w:val="clear" w:color="auto" w:fill="CCFF66"/>
            <w:vAlign w:val="center"/>
          </w:tcPr>
          <w:p w14:paraId="33ED3C3F" w14:textId="480B67F4"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1.20</w:t>
            </w:r>
          </w:p>
        </w:tc>
        <w:tc>
          <w:tcPr>
            <w:tcW w:w="278" w:type="dxa"/>
            <w:shd w:val="clear" w:color="auto" w:fill="CCFF66"/>
          </w:tcPr>
          <w:p w14:paraId="3779210C" w14:textId="41B0BA70"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1C6834BE" w14:textId="585E5F41"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17%</w:t>
            </w:r>
          </w:p>
        </w:tc>
      </w:tr>
      <w:tr w:rsidR="00761224" w:rsidRPr="00805B2C" w14:paraId="33AF544D" w14:textId="77777777" w:rsidTr="00761224">
        <w:trPr>
          <w:trHeight w:val="476"/>
        </w:trPr>
        <w:tc>
          <w:tcPr>
            <w:tcW w:w="2385" w:type="dxa"/>
            <w:shd w:val="clear" w:color="auto" w:fill="auto"/>
          </w:tcPr>
          <w:p w14:paraId="22721AE4"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 xml:space="preserve">2 nearest neighbors, </w:t>
            </w:r>
          </w:p>
          <w:p w14:paraId="0E7E6C55"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utilization index 0.16 – 1</w:t>
            </w:r>
          </w:p>
        </w:tc>
        <w:tc>
          <w:tcPr>
            <w:tcW w:w="1980" w:type="dxa"/>
            <w:shd w:val="clear" w:color="auto" w:fill="CCFF66"/>
            <w:vAlign w:val="center"/>
          </w:tcPr>
          <w:p w14:paraId="230EA1A4" w14:textId="4EA5D881"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1.18</w:t>
            </w:r>
          </w:p>
        </w:tc>
        <w:tc>
          <w:tcPr>
            <w:tcW w:w="1800" w:type="dxa"/>
            <w:shd w:val="clear" w:color="auto" w:fill="66FF66"/>
            <w:vAlign w:val="center"/>
          </w:tcPr>
          <w:p w14:paraId="7728E8F5" w14:textId="6F034CAB"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1.08</w:t>
            </w:r>
          </w:p>
        </w:tc>
        <w:tc>
          <w:tcPr>
            <w:tcW w:w="1890" w:type="dxa"/>
            <w:shd w:val="clear" w:color="auto" w:fill="FFFF66"/>
            <w:vAlign w:val="center"/>
          </w:tcPr>
          <w:p w14:paraId="6CE8109B" w14:textId="789FE792"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1.21</w:t>
            </w:r>
          </w:p>
        </w:tc>
        <w:tc>
          <w:tcPr>
            <w:tcW w:w="278" w:type="dxa"/>
            <w:shd w:val="clear" w:color="auto" w:fill="CCFF66"/>
          </w:tcPr>
          <w:p w14:paraId="35325C55" w14:textId="2F2D0365" w:rsidR="00761224" w:rsidRPr="00805B2C" w:rsidRDefault="00761224" w:rsidP="00306919">
            <w:pPr>
              <w:jc w:val="center"/>
              <w:textAlignment w:val="baseline"/>
              <w:rPr>
                <w:rFonts w:ascii="Times New Roman" w:hAnsi="Times New Roman"/>
                <w:bCs/>
                <w:sz w:val="20"/>
                <w:szCs w:val="20"/>
              </w:rPr>
            </w:pPr>
          </w:p>
        </w:tc>
        <w:tc>
          <w:tcPr>
            <w:tcW w:w="1882" w:type="dxa"/>
            <w:tcBorders>
              <w:bottom w:val="single" w:sz="4" w:space="0" w:color="auto"/>
            </w:tcBorders>
            <w:shd w:val="clear" w:color="auto" w:fill="CCFF66"/>
            <w:vAlign w:val="center"/>
          </w:tcPr>
          <w:p w14:paraId="777DE461" w14:textId="3CF59A6F"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17%</w:t>
            </w:r>
          </w:p>
        </w:tc>
      </w:tr>
      <w:tr w:rsidR="00761224" w:rsidRPr="00805B2C" w14:paraId="3C450E36" w14:textId="77777777" w:rsidTr="00761224">
        <w:trPr>
          <w:trHeight w:val="460"/>
        </w:trPr>
        <w:tc>
          <w:tcPr>
            <w:tcW w:w="2385" w:type="dxa"/>
            <w:shd w:val="clear" w:color="auto" w:fill="auto"/>
          </w:tcPr>
          <w:p w14:paraId="6841D993"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 xml:space="preserve">2 nearest neighbors, </w:t>
            </w:r>
          </w:p>
          <w:p w14:paraId="4144C0CE"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utilization index 0.17 – 1</w:t>
            </w:r>
          </w:p>
        </w:tc>
        <w:tc>
          <w:tcPr>
            <w:tcW w:w="1980" w:type="dxa"/>
            <w:shd w:val="clear" w:color="auto" w:fill="CCFF66"/>
            <w:vAlign w:val="center"/>
          </w:tcPr>
          <w:p w14:paraId="05A587F7" w14:textId="4B6FB52A"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1.14</w:t>
            </w:r>
          </w:p>
        </w:tc>
        <w:tc>
          <w:tcPr>
            <w:tcW w:w="1800" w:type="dxa"/>
            <w:tcBorders>
              <w:bottom w:val="single" w:sz="4" w:space="0" w:color="auto"/>
            </w:tcBorders>
            <w:shd w:val="clear" w:color="auto" w:fill="66FF66"/>
            <w:vAlign w:val="center"/>
          </w:tcPr>
          <w:p w14:paraId="39076767" w14:textId="7BFE8A0F"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1.09</w:t>
            </w:r>
          </w:p>
        </w:tc>
        <w:tc>
          <w:tcPr>
            <w:tcW w:w="1890" w:type="dxa"/>
            <w:shd w:val="clear" w:color="auto" w:fill="FFFF66"/>
            <w:vAlign w:val="center"/>
          </w:tcPr>
          <w:p w14:paraId="1C3528FF" w14:textId="2983D22A"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1.23</w:t>
            </w:r>
          </w:p>
        </w:tc>
        <w:tc>
          <w:tcPr>
            <w:tcW w:w="278" w:type="dxa"/>
            <w:shd w:val="clear" w:color="auto" w:fill="CCFF66"/>
          </w:tcPr>
          <w:p w14:paraId="53A19BDF" w14:textId="1DD1FF20"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6C16A857" w14:textId="680CF1B5"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17%</w:t>
            </w:r>
          </w:p>
        </w:tc>
      </w:tr>
      <w:tr w:rsidR="00761224" w:rsidRPr="00805B2C" w14:paraId="330C730A" w14:textId="77777777" w:rsidTr="00761224">
        <w:trPr>
          <w:trHeight w:val="460"/>
        </w:trPr>
        <w:tc>
          <w:tcPr>
            <w:tcW w:w="2385" w:type="dxa"/>
            <w:shd w:val="clear" w:color="auto" w:fill="auto"/>
          </w:tcPr>
          <w:p w14:paraId="4B8D7CB1"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 xml:space="preserve">2 nearest neighbors, </w:t>
            </w:r>
          </w:p>
          <w:p w14:paraId="2599D4DC" w14:textId="0473FC52"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utilization index 0.18 – 1</w:t>
            </w:r>
          </w:p>
        </w:tc>
        <w:tc>
          <w:tcPr>
            <w:tcW w:w="1980" w:type="dxa"/>
            <w:tcBorders>
              <w:bottom w:val="single" w:sz="4" w:space="0" w:color="auto"/>
            </w:tcBorders>
            <w:shd w:val="clear" w:color="auto" w:fill="CCFF66"/>
            <w:vAlign w:val="center"/>
          </w:tcPr>
          <w:p w14:paraId="1987B7F1" w14:textId="1785E01B"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1.10</w:t>
            </w:r>
          </w:p>
        </w:tc>
        <w:tc>
          <w:tcPr>
            <w:tcW w:w="1800" w:type="dxa"/>
            <w:shd w:val="clear" w:color="auto" w:fill="CCFF66"/>
            <w:vAlign w:val="center"/>
          </w:tcPr>
          <w:p w14:paraId="0450B980" w14:textId="4C83EBEC"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1.11</w:t>
            </w:r>
          </w:p>
        </w:tc>
        <w:tc>
          <w:tcPr>
            <w:tcW w:w="1890" w:type="dxa"/>
            <w:shd w:val="clear" w:color="auto" w:fill="FFFF66"/>
            <w:vAlign w:val="center"/>
          </w:tcPr>
          <w:p w14:paraId="4A6D933B" w14:textId="41224E21"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1.24</w:t>
            </w:r>
          </w:p>
        </w:tc>
        <w:tc>
          <w:tcPr>
            <w:tcW w:w="278" w:type="dxa"/>
            <w:shd w:val="clear" w:color="auto" w:fill="CCFF66"/>
          </w:tcPr>
          <w:p w14:paraId="798AEB2A" w14:textId="3E728538"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27E90FB6" w14:textId="79E5A229"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17%</w:t>
            </w:r>
          </w:p>
        </w:tc>
      </w:tr>
      <w:tr w:rsidR="00761224" w:rsidRPr="00805B2C" w14:paraId="15795004" w14:textId="77777777" w:rsidTr="00761224">
        <w:trPr>
          <w:trHeight w:val="476"/>
        </w:trPr>
        <w:tc>
          <w:tcPr>
            <w:tcW w:w="2385" w:type="dxa"/>
            <w:shd w:val="clear" w:color="auto" w:fill="auto"/>
          </w:tcPr>
          <w:p w14:paraId="69039894"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 xml:space="preserve">2 nearest neighbors, </w:t>
            </w:r>
          </w:p>
          <w:p w14:paraId="42D6B2F4" w14:textId="4E0DAC81"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utilization index 0.19 – 1</w:t>
            </w:r>
          </w:p>
        </w:tc>
        <w:tc>
          <w:tcPr>
            <w:tcW w:w="1980" w:type="dxa"/>
            <w:shd w:val="clear" w:color="auto" w:fill="66FF66"/>
            <w:vAlign w:val="center"/>
          </w:tcPr>
          <w:p w14:paraId="419C2244" w14:textId="05F3291B"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1.07</w:t>
            </w:r>
          </w:p>
        </w:tc>
        <w:tc>
          <w:tcPr>
            <w:tcW w:w="1800" w:type="dxa"/>
            <w:shd w:val="clear" w:color="auto" w:fill="CCFF66"/>
            <w:vAlign w:val="center"/>
          </w:tcPr>
          <w:p w14:paraId="05E08C55" w14:textId="5D84D8F4"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1.12</w:t>
            </w:r>
          </w:p>
        </w:tc>
        <w:tc>
          <w:tcPr>
            <w:tcW w:w="1890" w:type="dxa"/>
            <w:shd w:val="clear" w:color="auto" w:fill="FFFF66"/>
            <w:vAlign w:val="center"/>
          </w:tcPr>
          <w:p w14:paraId="2A7B01E0" w14:textId="5C1C1CA8"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1.26</w:t>
            </w:r>
          </w:p>
        </w:tc>
        <w:tc>
          <w:tcPr>
            <w:tcW w:w="278" w:type="dxa"/>
            <w:shd w:val="clear" w:color="auto" w:fill="CCFF66"/>
          </w:tcPr>
          <w:p w14:paraId="1DCC2589" w14:textId="68B608C3"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12745F51" w14:textId="616C963A"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17%</w:t>
            </w:r>
          </w:p>
        </w:tc>
      </w:tr>
      <w:tr w:rsidR="00761224" w:rsidRPr="00805B2C" w14:paraId="7EF79495" w14:textId="77777777" w:rsidTr="005D2CCF">
        <w:trPr>
          <w:trHeight w:val="476"/>
        </w:trPr>
        <w:tc>
          <w:tcPr>
            <w:tcW w:w="2385" w:type="dxa"/>
            <w:shd w:val="clear" w:color="auto" w:fill="auto"/>
          </w:tcPr>
          <w:p w14:paraId="6E3550F4" w14:textId="77777777"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 xml:space="preserve">2 nearest neighbors, </w:t>
            </w:r>
          </w:p>
          <w:p w14:paraId="4BF485F3" w14:textId="42FAD5F5"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utilization index 0.2 – 1</w:t>
            </w:r>
          </w:p>
        </w:tc>
        <w:tc>
          <w:tcPr>
            <w:tcW w:w="1980" w:type="dxa"/>
            <w:tcBorders>
              <w:bottom w:val="single" w:sz="4" w:space="0" w:color="auto"/>
            </w:tcBorders>
            <w:shd w:val="clear" w:color="auto" w:fill="66FF66"/>
            <w:vAlign w:val="center"/>
          </w:tcPr>
          <w:p w14:paraId="7EC39FC1" w14:textId="5C7C9440"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1.03</w:t>
            </w:r>
          </w:p>
        </w:tc>
        <w:tc>
          <w:tcPr>
            <w:tcW w:w="1800" w:type="dxa"/>
            <w:tcBorders>
              <w:bottom w:val="single" w:sz="4" w:space="0" w:color="auto"/>
            </w:tcBorders>
            <w:shd w:val="clear" w:color="auto" w:fill="CCFF66"/>
            <w:vAlign w:val="center"/>
          </w:tcPr>
          <w:p w14:paraId="44EC83E7" w14:textId="1B105B22"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1.13</w:t>
            </w:r>
          </w:p>
        </w:tc>
        <w:tc>
          <w:tcPr>
            <w:tcW w:w="1890" w:type="dxa"/>
            <w:tcBorders>
              <w:bottom w:val="single" w:sz="4" w:space="0" w:color="auto"/>
            </w:tcBorders>
            <w:shd w:val="clear" w:color="auto" w:fill="FFFF66"/>
            <w:vAlign w:val="center"/>
          </w:tcPr>
          <w:p w14:paraId="43AF8AFF" w14:textId="3D843C9D"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1.27</w:t>
            </w:r>
          </w:p>
        </w:tc>
        <w:tc>
          <w:tcPr>
            <w:tcW w:w="278" w:type="dxa"/>
            <w:tcBorders>
              <w:bottom w:val="single" w:sz="4" w:space="0" w:color="auto"/>
            </w:tcBorders>
            <w:shd w:val="clear" w:color="auto" w:fill="CCFF66"/>
          </w:tcPr>
          <w:p w14:paraId="1D84930D" w14:textId="4C03AA78" w:rsidR="00761224" w:rsidRPr="00805B2C" w:rsidRDefault="00761224" w:rsidP="00306919">
            <w:pPr>
              <w:jc w:val="center"/>
              <w:textAlignment w:val="baseline"/>
              <w:rPr>
                <w:rFonts w:ascii="Times New Roman" w:hAnsi="Times New Roman"/>
                <w:bCs/>
                <w:sz w:val="20"/>
                <w:szCs w:val="20"/>
              </w:rPr>
            </w:pPr>
          </w:p>
        </w:tc>
        <w:tc>
          <w:tcPr>
            <w:tcW w:w="1882" w:type="dxa"/>
            <w:tcBorders>
              <w:bottom w:val="single" w:sz="4" w:space="0" w:color="auto"/>
            </w:tcBorders>
            <w:shd w:val="clear" w:color="auto" w:fill="CCFF66"/>
            <w:vAlign w:val="center"/>
          </w:tcPr>
          <w:p w14:paraId="408D11FB" w14:textId="3BC8B2EA"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17%</w:t>
            </w:r>
          </w:p>
        </w:tc>
      </w:tr>
      <w:tr w:rsidR="00761224" w:rsidRPr="00805B2C" w14:paraId="270D4F6B" w14:textId="77777777" w:rsidTr="005D2CCF">
        <w:trPr>
          <w:trHeight w:val="460"/>
        </w:trPr>
        <w:tc>
          <w:tcPr>
            <w:tcW w:w="2385" w:type="dxa"/>
            <w:shd w:val="clear" w:color="auto" w:fill="auto"/>
          </w:tcPr>
          <w:p w14:paraId="20BD8CDB" w14:textId="7D721185" w:rsidR="00761224" w:rsidRPr="00805B2C" w:rsidRDefault="00761224" w:rsidP="00306919">
            <w:pPr>
              <w:textAlignment w:val="baseline"/>
              <w:rPr>
                <w:rFonts w:ascii="Times New Roman" w:hAnsi="Times New Roman"/>
                <w:bCs/>
                <w:sz w:val="20"/>
                <w:szCs w:val="20"/>
              </w:rPr>
            </w:pPr>
            <w:r w:rsidRPr="00805B2C">
              <w:rPr>
                <w:rFonts w:ascii="Times New Roman" w:hAnsi="Times New Roman"/>
                <w:bCs/>
                <w:sz w:val="20"/>
                <w:szCs w:val="20"/>
              </w:rPr>
              <w:t>Neighbors within 3km, utilization index 0.14 – 1</w:t>
            </w:r>
          </w:p>
        </w:tc>
        <w:tc>
          <w:tcPr>
            <w:tcW w:w="1980" w:type="dxa"/>
            <w:tcBorders>
              <w:bottom w:val="single" w:sz="4" w:space="0" w:color="auto"/>
            </w:tcBorders>
            <w:shd w:val="clear" w:color="auto" w:fill="FFFF66"/>
            <w:vAlign w:val="center"/>
          </w:tcPr>
          <w:p w14:paraId="22D16F1F" w14:textId="325031DE"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1.26</w:t>
            </w:r>
          </w:p>
        </w:tc>
        <w:tc>
          <w:tcPr>
            <w:tcW w:w="1800" w:type="dxa"/>
            <w:tcBorders>
              <w:bottom w:val="single" w:sz="4" w:space="0" w:color="auto"/>
            </w:tcBorders>
            <w:shd w:val="clear" w:color="auto" w:fill="FFFF66"/>
            <w:vAlign w:val="center"/>
          </w:tcPr>
          <w:p w14:paraId="4F4A2562" w14:textId="33C4AC3C"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1.28</w:t>
            </w:r>
          </w:p>
        </w:tc>
        <w:tc>
          <w:tcPr>
            <w:tcW w:w="1890" w:type="dxa"/>
            <w:tcBorders>
              <w:bottom w:val="single" w:sz="4" w:space="0" w:color="auto"/>
            </w:tcBorders>
            <w:shd w:val="clear" w:color="auto" w:fill="FFFF66"/>
            <w:vAlign w:val="center"/>
          </w:tcPr>
          <w:p w14:paraId="42A7BC2D" w14:textId="151615E0"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1.25</w:t>
            </w:r>
          </w:p>
        </w:tc>
        <w:tc>
          <w:tcPr>
            <w:tcW w:w="278" w:type="dxa"/>
            <w:tcBorders>
              <w:bottom w:val="single" w:sz="4" w:space="0" w:color="auto"/>
            </w:tcBorders>
            <w:shd w:val="clear" w:color="auto" w:fill="FFFF66"/>
          </w:tcPr>
          <w:p w14:paraId="591EB2E0" w14:textId="40742477" w:rsidR="00761224" w:rsidRPr="00805B2C" w:rsidRDefault="00761224" w:rsidP="00306919">
            <w:pPr>
              <w:jc w:val="center"/>
              <w:textAlignment w:val="baseline"/>
              <w:rPr>
                <w:rFonts w:ascii="Times New Roman" w:hAnsi="Times New Roman"/>
                <w:bCs/>
                <w:sz w:val="20"/>
                <w:szCs w:val="20"/>
              </w:rPr>
            </w:pPr>
          </w:p>
        </w:tc>
        <w:tc>
          <w:tcPr>
            <w:tcW w:w="1882" w:type="dxa"/>
            <w:tcBorders>
              <w:bottom w:val="single" w:sz="4" w:space="0" w:color="auto"/>
            </w:tcBorders>
            <w:shd w:val="clear" w:color="auto" w:fill="FFFF66"/>
            <w:vAlign w:val="center"/>
          </w:tcPr>
          <w:p w14:paraId="6A890EE5" w14:textId="020A1D9D"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9%</w:t>
            </w:r>
          </w:p>
        </w:tc>
      </w:tr>
      <w:tr w:rsidR="00761224" w:rsidRPr="00805B2C" w14:paraId="768BCC1D" w14:textId="77777777" w:rsidTr="005D2CCF">
        <w:trPr>
          <w:trHeight w:val="460"/>
        </w:trPr>
        <w:tc>
          <w:tcPr>
            <w:tcW w:w="2385" w:type="dxa"/>
            <w:shd w:val="clear" w:color="auto" w:fill="auto"/>
          </w:tcPr>
          <w:p w14:paraId="178E9099" w14:textId="77777777"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 xml:space="preserve">3 nearest neighbors, </w:t>
            </w:r>
          </w:p>
          <w:p w14:paraId="1BE309DB" w14:textId="25D7C383"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utilization index 0.16 – 1</w:t>
            </w:r>
          </w:p>
        </w:tc>
        <w:tc>
          <w:tcPr>
            <w:tcW w:w="1980" w:type="dxa"/>
            <w:shd w:val="clear" w:color="auto" w:fill="FFFF66"/>
            <w:vAlign w:val="center"/>
          </w:tcPr>
          <w:p w14:paraId="6FFDDD5D" w14:textId="4995EA97"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1.28</w:t>
            </w:r>
          </w:p>
        </w:tc>
        <w:tc>
          <w:tcPr>
            <w:tcW w:w="1800" w:type="dxa"/>
            <w:shd w:val="clear" w:color="auto" w:fill="66FF66"/>
            <w:vAlign w:val="center"/>
          </w:tcPr>
          <w:p w14:paraId="2EEE8ABC" w14:textId="713C5CE5"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0.97</w:t>
            </w:r>
          </w:p>
        </w:tc>
        <w:tc>
          <w:tcPr>
            <w:tcW w:w="1890" w:type="dxa"/>
            <w:shd w:val="clear" w:color="auto" w:fill="FFFF66"/>
            <w:vAlign w:val="center"/>
          </w:tcPr>
          <w:p w14:paraId="49B0F211" w14:textId="0B51E6C1"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1.25</w:t>
            </w:r>
          </w:p>
        </w:tc>
        <w:tc>
          <w:tcPr>
            <w:tcW w:w="278" w:type="dxa"/>
            <w:shd w:val="clear" w:color="auto" w:fill="CCFF66"/>
          </w:tcPr>
          <w:p w14:paraId="52010901" w14:textId="37EAE71C"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104D0A2B" w14:textId="09C126FA"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21%</w:t>
            </w:r>
          </w:p>
        </w:tc>
      </w:tr>
      <w:tr w:rsidR="00761224" w:rsidRPr="00805B2C" w14:paraId="1E780B5D" w14:textId="77777777" w:rsidTr="005D2CCF">
        <w:trPr>
          <w:trHeight w:val="476"/>
        </w:trPr>
        <w:tc>
          <w:tcPr>
            <w:tcW w:w="2385" w:type="dxa"/>
            <w:shd w:val="clear" w:color="auto" w:fill="auto"/>
          </w:tcPr>
          <w:p w14:paraId="71A70E5A" w14:textId="77777777"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 xml:space="preserve">3 nearest neighbors, </w:t>
            </w:r>
          </w:p>
          <w:p w14:paraId="6FB61A02" w14:textId="381AD4CE"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utilization index 0.17 – 1</w:t>
            </w:r>
          </w:p>
        </w:tc>
        <w:tc>
          <w:tcPr>
            <w:tcW w:w="1980" w:type="dxa"/>
            <w:shd w:val="clear" w:color="auto" w:fill="FFFF66"/>
            <w:vAlign w:val="center"/>
          </w:tcPr>
          <w:p w14:paraId="3810B15E" w14:textId="17556DA3"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1.24</w:t>
            </w:r>
          </w:p>
        </w:tc>
        <w:tc>
          <w:tcPr>
            <w:tcW w:w="1800" w:type="dxa"/>
            <w:shd w:val="clear" w:color="auto" w:fill="66FF66"/>
            <w:vAlign w:val="center"/>
          </w:tcPr>
          <w:p w14:paraId="59BF0D45" w14:textId="11227056"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0.98</w:t>
            </w:r>
          </w:p>
        </w:tc>
        <w:tc>
          <w:tcPr>
            <w:tcW w:w="1890" w:type="dxa"/>
            <w:shd w:val="clear" w:color="auto" w:fill="FFFF66"/>
            <w:vAlign w:val="center"/>
          </w:tcPr>
          <w:p w14:paraId="44396872" w14:textId="600E2C50"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1.27</w:t>
            </w:r>
          </w:p>
        </w:tc>
        <w:tc>
          <w:tcPr>
            <w:tcW w:w="278" w:type="dxa"/>
            <w:shd w:val="clear" w:color="auto" w:fill="CCFF66"/>
          </w:tcPr>
          <w:p w14:paraId="3BF1DA2A" w14:textId="2443484D"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116D057B" w14:textId="0CC35072"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21%</w:t>
            </w:r>
          </w:p>
        </w:tc>
      </w:tr>
      <w:tr w:rsidR="00761224" w:rsidRPr="00805B2C" w14:paraId="7C83B5F3" w14:textId="77777777" w:rsidTr="005D2CCF">
        <w:trPr>
          <w:trHeight w:val="460"/>
        </w:trPr>
        <w:tc>
          <w:tcPr>
            <w:tcW w:w="2385" w:type="dxa"/>
            <w:shd w:val="clear" w:color="auto" w:fill="auto"/>
          </w:tcPr>
          <w:p w14:paraId="1746FCFB" w14:textId="77777777"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 xml:space="preserve">3 nearest neighbors, </w:t>
            </w:r>
          </w:p>
          <w:p w14:paraId="48B3F942" w14:textId="4ED568B0"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utilization index 0.18 – 1</w:t>
            </w:r>
          </w:p>
        </w:tc>
        <w:tc>
          <w:tcPr>
            <w:tcW w:w="1980" w:type="dxa"/>
            <w:tcBorders>
              <w:bottom w:val="single" w:sz="4" w:space="0" w:color="auto"/>
            </w:tcBorders>
            <w:shd w:val="clear" w:color="auto" w:fill="FFFF66"/>
            <w:vAlign w:val="center"/>
          </w:tcPr>
          <w:p w14:paraId="3B6E3909" w14:textId="435BC455"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1.20</w:t>
            </w:r>
          </w:p>
        </w:tc>
        <w:tc>
          <w:tcPr>
            <w:tcW w:w="1800" w:type="dxa"/>
            <w:shd w:val="clear" w:color="auto" w:fill="66FF66"/>
            <w:vAlign w:val="center"/>
          </w:tcPr>
          <w:p w14:paraId="1AA214E6" w14:textId="65ABF6A8"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0.99</w:t>
            </w:r>
          </w:p>
        </w:tc>
        <w:tc>
          <w:tcPr>
            <w:tcW w:w="1890" w:type="dxa"/>
            <w:shd w:val="clear" w:color="auto" w:fill="FFFF66"/>
            <w:vAlign w:val="center"/>
          </w:tcPr>
          <w:p w14:paraId="7198A6CA" w14:textId="1AC6EDBA"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1.28</w:t>
            </w:r>
          </w:p>
        </w:tc>
        <w:tc>
          <w:tcPr>
            <w:tcW w:w="278" w:type="dxa"/>
            <w:shd w:val="clear" w:color="auto" w:fill="CCFF66"/>
          </w:tcPr>
          <w:p w14:paraId="0CA13409" w14:textId="6968B946"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57088283" w14:textId="484B524D"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21%</w:t>
            </w:r>
          </w:p>
        </w:tc>
      </w:tr>
      <w:tr w:rsidR="00761224" w:rsidRPr="00805B2C" w14:paraId="75F0274C" w14:textId="77777777" w:rsidTr="005D2CCF">
        <w:trPr>
          <w:trHeight w:val="460"/>
        </w:trPr>
        <w:tc>
          <w:tcPr>
            <w:tcW w:w="2385" w:type="dxa"/>
            <w:shd w:val="clear" w:color="auto" w:fill="auto"/>
          </w:tcPr>
          <w:p w14:paraId="7B9D0FBA" w14:textId="77777777" w:rsidR="00761224" w:rsidRPr="00805B2C" w:rsidRDefault="00761224" w:rsidP="00516CF7">
            <w:pPr>
              <w:textAlignment w:val="baseline"/>
              <w:rPr>
                <w:rFonts w:ascii="Times New Roman" w:hAnsi="Times New Roman"/>
                <w:b/>
                <w:bCs/>
                <w:sz w:val="20"/>
                <w:szCs w:val="20"/>
              </w:rPr>
            </w:pPr>
            <w:r w:rsidRPr="00805B2C">
              <w:rPr>
                <w:rFonts w:ascii="Times New Roman" w:hAnsi="Times New Roman"/>
                <w:b/>
                <w:bCs/>
                <w:sz w:val="20"/>
                <w:szCs w:val="20"/>
              </w:rPr>
              <w:t xml:space="preserve">3 nearest neighbors, </w:t>
            </w:r>
          </w:p>
          <w:p w14:paraId="15CC8860" w14:textId="7E69C528" w:rsidR="00761224" w:rsidRPr="00805B2C" w:rsidRDefault="00761224" w:rsidP="00516CF7">
            <w:pPr>
              <w:textAlignment w:val="baseline"/>
              <w:rPr>
                <w:rFonts w:ascii="Times New Roman" w:hAnsi="Times New Roman"/>
                <w:b/>
                <w:bCs/>
                <w:sz w:val="20"/>
                <w:szCs w:val="20"/>
              </w:rPr>
            </w:pPr>
            <w:r w:rsidRPr="00805B2C">
              <w:rPr>
                <w:rFonts w:ascii="Times New Roman" w:hAnsi="Times New Roman"/>
                <w:b/>
                <w:bCs/>
                <w:sz w:val="20"/>
                <w:szCs w:val="20"/>
              </w:rPr>
              <w:t>utilization index 0.19 – 1</w:t>
            </w:r>
          </w:p>
        </w:tc>
        <w:tc>
          <w:tcPr>
            <w:tcW w:w="1980" w:type="dxa"/>
            <w:tcBorders>
              <w:bottom w:val="single" w:sz="4" w:space="0" w:color="auto"/>
            </w:tcBorders>
            <w:shd w:val="clear" w:color="auto" w:fill="CCFF66"/>
            <w:vAlign w:val="center"/>
          </w:tcPr>
          <w:p w14:paraId="629895BA" w14:textId="3287BA9C" w:rsidR="00761224" w:rsidRPr="00805B2C" w:rsidRDefault="00761224" w:rsidP="00F34B51">
            <w:pPr>
              <w:jc w:val="center"/>
              <w:textAlignment w:val="baseline"/>
              <w:rPr>
                <w:rFonts w:ascii="Times New Roman" w:hAnsi="Times New Roman"/>
                <w:b/>
                <w:bCs/>
                <w:sz w:val="20"/>
                <w:szCs w:val="20"/>
              </w:rPr>
            </w:pPr>
            <w:r w:rsidRPr="00805B2C">
              <w:rPr>
                <w:rFonts w:ascii="Times New Roman" w:hAnsi="Times New Roman"/>
                <w:b/>
                <w:bCs/>
                <w:sz w:val="20"/>
                <w:szCs w:val="20"/>
              </w:rPr>
              <w:t>1.16</w:t>
            </w:r>
          </w:p>
        </w:tc>
        <w:tc>
          <w:tcPr>
            <w:tcW w:w="1800" w:type="dxa"/>
            <w:tcBorders>
              <w:bottom w:val="single" w:sz="4" w:space="0" w:color="auto"/>
            </w:tcBorders>
            <w:shd w:val="clear" w:color="auto" w:fill="66FF66"/>
            <w:vAlign w:val="center"/>
          </w:tcPr>
          <w:p w14:paraId="41CF416D" w14:textId="59C49599" w:rsidR="00761224" w:rsidRPr="00805B2C" w:rsidRDefault="00761224" w:rsidP="00F34B51">
            <w:pPr>
              <w:jc w:val="center"/>
              <w:textAlignment w:val="baseline"/>
              <w:rPr>
                <w:rFonts w:ascii="Times New Roman" w:hAnsi="Times New Roman"/>
                <w:b/>
                <w:bCs/>
                <w:sz w:val="20"/>
                <w:szCs w:val="20"/>
              </w:rPr>
            </w:pPr>
            <w:r w:rsidRPr="00805B2C">
              <w:rPr>
                <w:rFonts w:ascii="Times New Roman" w:hAnsi="Times New Roman"/>
                <w:b/>
                <w:bCs/>
                <w:sz w:val="20"/>
                <w:szCs w:val="20"/>
              </w:rPr>
              <w:t>1.00</w:t>
            </w:r>
          </w:p>
        </w:tc>
        <w:tc>
          <w:tcPr>
            <w:tcW w:w="1890" w:type="dxa"/>
            <w:tcBorders>
              <w:bottom w:val="single" w:sz="4" w:space="0" w:color="auto"/>
            </w:tcBorders>
            <w:shd w:val="clear" w:color="auto" w:fill="FFFF66"/>
            <w:vAlign w:val="center"/>
          </w:tcPr>
          <w:p w14:paraId="24030D59" w14:textId="5C9ACB4A" w:rsidR="00761224" w:rsidRPr="00805B2C" w:rsidRDefault="00761224" w:rsidP="00F34B51">
            <w:pPr>
              <w:jc w:val="center"/>
              <w:textAlignment w:val="baseline"/>
              <w:rPr>
                <w:rFonts w:ascii="Times New Roman" w:hAnsi="Times New Roman"/>
                <w:b/>
                <w:bCs/>
                <w:sz w:val="20"/>
                <w:szCs w:val="20"/>
              </w:rPr>
            </w:pPr>
            <w:r w:rsidRPr="00805B2C">
              <w:rPr>
                <w:rFonts w:ascii="Times New Roman" w:hAnsi="Times New Roman"/>
                <w:b/>
                <w:bCs/>
                <w:sz w:val="20"/>
                <w:szCs w:val="20"/>
              </w:rPr>
              <w:t>1.30</w:t>
            </w:r>
          </w:p>
        </w:tc>
        <w:tc>
          <w:tcPr>
            <w:tcW w:w="278" w:type="dxa"/>
            <w:tcBorders>
              <w:bottom w:val="single" w:sz="4" w:space="0" w:color="auto"/>
            </w:tcBorders>
            <w:shd w:val="clear" w:color="auto" w:fill="CCFF66"/>
          </w:tcPr>
          <w:p w14:paraId="3E386A1D" w14:textId="084396F6" w:rsidR="00761224" w:rsidRPr="00805B2C" w:rsidRDefault="00761224" w:rsidP="00306919">
            <w:pPr>
              <w:jc w:val="center"/>
              <w:textAlignment w:val="baseline"/>
              <w:rPr>
                <w:rFonts w:ascii="Times New Roman" w:hAnsi="Times New Roman"/>
                <w:b/>
                <w:bCs/>
                <w:sz w:val="20"/>
                <w:szCs w:val="20"/>
              </w:rPr>
            </w:pPr>
          </w:p>
        </w:tc>
        <w:tc>
          <w:tcPr>
            <w:tcW w:w="1882" w:type="dxa"/>
            <w:tcBorders>
              <w:bottom w:val="single" w:sz="4" w:space="0" w:color="auto"/>
            </w:tcBorders>
            <w:shd w:val="clear" w:color="auto" w:fill="CCFF66"/>
            <w:vAlign w:val="center"/>
          </w:tcPr>
          <w:p w14:paraId="470DC29F" w14:textId="1F55EB81" w:rsidR="00761224" w:rsidRPr="00805B2C" w:rsidRDefault="00761224" w:rsidP="00306919">
            <w:pPr>
              <w:jc w:val="center"/>
              <w:textAlignment w:val="baseline"/>
              <w:rPr>
                <w:rFonts w:ascii="Times New Roman" w:hAnsi="Times New Roman"/>
                <w:b/>
                <w:bCs/>
                <w:sz w:val="20"/>
                <w:szCs w:val="20"/>
              </w:rPr>
            </w:pPr>
            <w:r w:rsidRPr="00805B2C">
              <w:rPr>
                <w:rFonts w:ascii="Times New Roman" w:hAnsi="Times New Roman"/>
                <w:b/>
                <w:bCs/>
                <w:sz w:val="20"/>
                <w:szCs w:val="20"/>
              </w:rPr>
              <w:t>21%</w:t>
            </w:r>
          </w:p>
        </w:tc>
      </w:tr>
      <w:tr w:rsidR="00761224" w:rsidRPr="00805B2C" w14:paraId="77C9BF46" w14:textId="77777777" w:rsidTr="005D2CCF">
        <w:trPr>
          <w:trHeight w:val="476"/>
        </w:trPr>
        <w:tc>
          <w:tcPr>
            <w:tcW w:w="2385" w:type="dxa"/>
            <w:shd w:val="clear" w:color="auto" w:fill="auto"/>
          </w:tcPr>
          <w:p w14:paraId="6D5A2AD6" w14:textId="4771A8EC"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 xml:space="preserve">Neighbors within 4km, </w:t>
            </w:r>
          </w:p>
          <w:p w14:paraId="1482CADC" w14:textId="7C8BC247" w:rsidR="00761224" w:rsidRPr="00805B2C" w:rsidRDefault="00761224" w:rsidP="00516CF7">
            <w:pPr>
              <w:textAlignment w:val="baseline"/>
              <w:rPr>
                <w:rFonts w:ascii="Times New Roman" w:hAnsi="Times New Roman"/>
                <w:bCs/>
                <w:sz w:val="20"/>
                <w:szCs w:val="20"/>
              </w:rPr>
            </w:pPr>
            <w:r w:rsidRPr="00805B2C">
              <w:rPr>
                <w:rFonts w:ascii="Times New Roman" w:hAnsi="Times New Roman"/>
                <w:bCs/>
                <w:sz w:val="20"/>
                <w:szCs w:val="20"/>
              </w:rPr>
              <w:t>utilization index 0.14 – 1</w:t>
            </w:r>
          </w:p>
        </w:tc>
        <w:tc>
          <w:tcPr>
            <w:tcW w:w="1980" w:type="dxa"/>
            <w:shd w:val="clear" w:color="auto" w:fill="FFFF66"/>
            <w:vAlign w:val="center"/>
          </w:tcPr>
          <w:p w14:paraId="78AD0D18" w14:textId="1C0EC253"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1.29</w:t>
            </w:r>
          </w:p>
        </w:tc>
        <w:tc>
          <w:tcPr>
            <w:tcW w:w="1800" w:type="dxa"/>
            <w:shd w:val="clear" w:color="auto" w:fill="FFFF66"/>
            <w:vAlign w:val="center"/>
          </w:tcPr>
          <w:p w14:paraId="1C98B88D" w14:textId="7D41A0D9"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1.25</w:t>
            </w:r>
          </w:p>
        </w:tc>
        <w:tc>
          <w:tcPr>
            <w:tcW w:w="1890" w:type="dxa"/>
            <w:shd w:val="clear" w:color="auto" w:fill="FFFF66"/>
            <w:vAlign w:val="center"/>
          </w:tcPr>
          <w:p w14:paraId="0BD866A8" w14:textId="3975C41A" w:rsidR="00761224" w:rsidRPr="00805B2C" w:rsidRDefault="00761224" w:rsidP="00F34B51">
            <w:pPr>
              <w:jc w:val="center"/>
              <w:textAlignment w:val="baseline"/>
              <w:rPr>
                <w:rFonts w:ascii="Times New Roman" w:hAnsi="Times New Roman"/>
                <w:bCs/>
                <w:sz w:val="20"/>
                <w:szCs w:val="20"/>
              </w:rPr>
            </w:pPr>
            <w:r w:rsidRPr="00805B2C">
              <w:rPr>
                <w:rFonts w:ascii="Times New Roman" w:hAnsi="Times New Roman"/>
                <w:bCs/>
                <w:sz w:val="20"/>
                <w:szCs w:val="20"/>
              </w:rPr>
              <w:t>1.29</w:t>
            </w:r>
          </w:p>
        </w:tc>
        <w:tc>
          <w:tcPr>
            <w:tcW w:w="278" w:type="dxa"/>
            <w:shd w:val="clear" w:color="auto" w:fill="CCFF66"/>
          </w:tcPr>
          <w:p w14:paraId="117F3924" w14:textId="2423C8BB" w:rsidR="00761224" w:rsidRPr="00805B2C" w:rsidRDefault="00761224" w:rsidP="00306919">
            <w:pPr>
              <w:jc w:val="center"/>
              <w:textAlignment w:val="baseline"/>
              <w:rPr>
                <w:rFonts w:ascii="Times New Roman" w:hAnsi="Times New Roman"/>
                <w:bCs/>
                <w:sz w:val="20"/>
                <w:szCs w:val="20"/>
              </w:rPr>
            </w:pPr>
          </w:p>
        </w:tc>
        <w:tc>
          <w:tcPr>
            <w:tcW w:w="1882" w:type="dxa"/>
            <w:shd w:val="clear" w:color="auto" w:fill="CCFF66"/>
            <w:vAlign w:val="center"/>
          </w:tcPr>
          <w:p w14:paraId="29ECAD86" w14:textId="154BA17F" w:rsidR="00761224" w:rsidRPr="00805B2C" w:rsidRDefault="00761224" w:rsidP="00306919">
            <w:pPr>
              <w:jc w:val="center"/>
              <w:textAlignment w:val="baseline"/>
              <w:rPr>
                <w:rFonts w:ascii="Times New Roman" w:hAnsi="Times New Roman"/>
                <w:bCs/>
                <w:sz w:val="20"/>
                <w:szCs w:val="20"/>
              </w:rPr>
            </w:pPr>
            <w:r w:rsidRPr="00805B2C">
              <w:rPr>
                <w:rFonts w:ascii="Times New Roman" w:hAnsi="Times New Roman"/>
                <w:bCs/>
                <w:sz w:val="20"/>
                <w:szCs w:val="20"/>
              </w:rPr>
              <w:t>10%</w:t>
            </w:r>
          </w:p>
        </w:tc>
      </w:tr>
    </w:tbl>
    <w:p w14:paraId="403F0A27" w14:textId="71C6679C" w:rsidR="00AF0DA7" w:rsidRPr="00805B2C" w:rsidRDefault="00AF0DA7" w:rsidP="00775C42">
      <w:pPr>
        <w:shd w:val="clear" w:color="auto" w:fill="FFFFFF"/>
        <w:spacing w:before="120"/>
        <w:ind w:left="-567"/>
        <w:jc w:val="both"/>
        <w:textAlignment w:val="baseline"/>
        <w:rPr>
          <w:rFonts w:ascii="Times New Roman" w:hAnsi="Times New Roman"/>
          <w:bCs/>
          <w:sz w:val="20"/>
          <w:szCs w:val="20"/>
        </w:rPr>
      </w:pPr>
      <w:r w:rsidRPr="00805B2C">
        <w:rPr>
          <w:rFonts w:ascii="Times New Roman" w:hAnsi="Times New Roman"/>
          <w:bCs/>
          <w:sz w:val="20"/>
          <w:szCs w:val="20"/>
          <w:vertAlign w:val="superscript"/>
        </w:rPr>
        <w:t>1</w:t>
      </w:r>
      <w:r w:rsidRPr="00805B2C">
        <w:rPr>
          <w:rFonts w:ascii="Times New Roman" w:hAnsi="Times New Roman"/>
          <w:bCs/>
          <w:sz w:val="20"/>
          <w:szCs w:val="20"/>
        </w:rPr>
        <w:t>Color c</w:t>
      </w:r>
      <w:r w:rsidR="00947B21" w:rsidRPr="00805B2C">
        <w:rPr>
          <w:rFonts w:ascii="Times New Roman" w:hAnsi="Times New Roman"/>
          <w:bCs/>
          <w:sz w:val="20"/>
          <w:szCs w:val="20"/>
        </w:rPr>
        <w:t xml:space="preserve">ode for dataset performance: </w:t>
      </w:r>
      <w:r w:rsidR="00DF586D" w:rsidRPr="00805B2C">
        <w:rPr>
          <w:rFonts w:ascii="Times New Roman" w:hAnsi="Times New Roman"/>
          <w:bCs/>
          <w:sz w:val="20"/>
          <w:szCs w:val="20"/>
        </w:rPr>
        <w:t>orange</w:t>
      </w:r>
      <w:r w:rsidRPr="00805B2C">
        <w:rPr>
          <w:rFonts w:ascii="Times New Roman" w:hAnsi="Times New Roman"/>
          <w:bCs/>
          <w:sz w:val="20"/>
          <w:szCs w:val="20"/>
        </w:rPr>
        <w:t xml:space="preserve">=poor; </w:t>
      </w:r>
      <w:r w:rsidR="00DF586D" w:rsidRPr="00805B2C">
        <w:rPr>
          <w:rFonts w:ascii="Times New Roman" w:hAnsi="Times New Roman"/>
          <w:bCs/>
          <w:sz w:val="20"/>
          <w:szCs w:val="20"/>
        </w:rPr>
        <w:t>yellow=</w:t>
      </w:r>
      <w:r w:rsidR="00AC6536" w:rsidRPr="00805B2C">
        <w:rPr>
          <w:rFonts w:ascii="Times New Roman" w:hAnsi="Times New Roman"/>
          <w:bCs/>
          <w:sz w:val="20"/>
          <w:szCs w:val="20"/>
        </w:rPr>
        <w:t>acceptable</w:t>
      </w:r>
      <w:r w:rsidR="00DF586D" w:rsidRPr="00805B2C">
        <w:rPr>
          <w:rFonts w:ascii="Times New Roman" w:hAnsi="Times New Roman"/>
          <w:bCs/>
          <w:sz w:val="20"/>
          <w:szCs w:val="20"/>
        </w:rPr>
        <w:t xml:space="preserve">; </w:t>
      </w:r>
      <w:r w:rsidR="00947B21" w:rsidRPr="00805B2C">
        <w:rPr>
          <w:rFonts w:ascii="Times New Roman" w:hAnsi="Times New Roman"/>
          <w:bCs/>
          <w:sz w:val="20"/>
          <w:szCs w:val="20"/>
        </w:rPr>
        <w:t>light green</w:t>
      </w:r>
      <w:r w:rsidRPr="00805B2C">
        <w:rPr>
          <w:rFonts w:ascii="Times New Roman" w:hAnsi="Times New Roman"/>
          <w:bCs/>
          <w:sz w:val="20"/>
          <w:szCs w:val="20"/>
        </w:rPr>
        <w:t>=</w:t>
      </w:r>
      <w:r w:rsidR="00DF586D" w:rsidRPr="00805B2C">
        <w:rPr>
          <w:rFonts w:ascii="Times New Roman" w:hAnsi="Times New Roman"/>
          <w:bCs/>
          <w:sz w:val="20"/>
          <w:szCs w:val="20"/>
        </w:rPr>
        <w:t>good</w:t>
      </w:r>
      <w:r w:rsidRPr="00805B2C">
        <w:rPr>
          <w:rFonts w:ascii="Times New Roman" w:hAnsi="Times New Roman"/>
          <w:bCs/>
          <w:sz w:val="20"/>
          <w:szCs w:val="20"/>
        </w:rPr>
        <w:t>; green=</w:t>
      </w:r>
      <w:r w:rsidR="00DF586D" w:rsidRPr="00805B2C">
        <w:rPr>
          <w:rFonts w:ascii="Times New Roman" w:hAnsi="Times New Roman"/>
          <w:bCs/>
          <w:sz w:val="20"/>
          <w:szCs w:val="20"/>
        </w:rPr>
        <w:t>exceptional</w:t>
      </w:r>
    </w:p>
    <w:p w14:paraId="7C2E3391" w14:textId="77777777" w:rsidR="00FB3796" w:rsidRDefault="00FB3796" w:rsidP="00AF0DA7">
      <w:pPr>
        <w:shd w:val="clear" w:color="auto" w:fill="FFFFFF"/>
        <w:jc w:val="both"/>
        <w:textAlignment w:val="baseline"/>
        <w:rPr>
          <w:rFonts w:ascii="Times New Roman" w:hAnsi="Times New Roman"/>
          <w:b/>
          <w:bCs/>
          <w:color w:val="FF0000"/>
          <w:sz w:val="20"/>
          <w:szCs w:val="20"/>
        </w:rPr>
      </w:pPr>
    </w:p>
    <w:p w14:paraId="03E439AC" w14:textId="77777777" w:rsidR="000106B8" w:rsidRPr="00805B2C" w:rsidRDefault="000106B8" w:rsidP="00AF0DA7">
      <w:pPr>
        <w:shd w:val="clear" w:color="auto" w:fill="FFFFFF"/>
        <w:jc w:val="both"/>
        <w:textAlignment w:val="baseline"/>
        <w:rPr>
          <w:rFonts w:ascii="Times New Roman" w:hAnsi="Times New Roman"/>
          <w:b/>
          <w:bCs/>
          <w:color w:val="FF0000"/>
          <w:sz w:val="20"/>
          <w:szCs w:val="20"/>
        </w:rPr>
      </w:pPr>
    </w:p>
    <w:p w14:paraId="6D66102F" w14:textId="02D12E10" w:rsidR="00AF0DA7" w:rsidRPr="00805B2C" w:rsidRDefault="000C3E6A" w:rsidP="00AF0DA7">
      <w:pPr>
        <w:shd w:val="clear" w:color="auto" w:fill="FFFFFF"/>
        <w:jc w:val="both"/>
        <w:textAlignment w:val="baseline"/>
        <w:rPr>
          <w:rFonts w:ascii="Times New Roman" w:hAnsi="Times New Roman"/>
          <w:bCs/>
          <w:sz w:val="20"/>
          <w:szCs w:val="20"/>
        </w:rPr>
      </w:pPr>
      <w:r>
        <w:rPr>
          <w:rFonts w:ascii="Times New Roman" w:hAnsi="Times New Roman"/>
          <w:b/>
          <w:bCs/>
          <w:sz w:val="20"/>
          <w:szCs w:val="20"/>
        </w:rPr>
        <w:t>Table S3</w:t>
      </w:r>
      <w:r w:rsidR="00AF0DA7" w:rsidRPr="00805B2C">
        <w:rPr>
          <w:rFonts w:ascii="Times New Roman" w:hAnsi="Times New Roman"/>
          <w:b/>
          <w:bCs/>
          <w:sz w:val="20"/>
          <w:szCs w:val="20"/>
        </w:rPr>
        <w:t>. Average monthly incidence of malaria for children under five in Ifanadiana from unadjusted and adjusted data, by transmission season and PIVOT intervention area, in cases per 1000 population.</w:t>
      </w:r>
      <w:r w:rsidR="00AF0DA7" w:rsidRPr="00805B2C">
        <w:rPr>
          <w:rFonts w:ascii="Times New Roman" w:hAnsi="Times New Roman"/>
          <w:bCs/>
          <w:sz w:val="20"/>
          <w:szCs w:val="20"/>
        </w:rPr>
        <w:t xml:space="preserve"> </w:t>
      </w:r>
    </w:p>
    <w:tbl>
      <w:tblPr>
        <w:tblW w:w="10456"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66"/>
        <w:gridCol w:w="793"/>
        <w:gridCol w:w="1544"/>
        <w:gridCol w:w="697"/>
        <w:gridCol w:w="878"/>
        <w:gridCol w:w="943"/>
        <w:gridCol w:w="758"/>
        <w:gridCol w:w="1509"/>
        <w:gridCol w:w="759"/>
        <w:gridCol w:w="992"/>
      </w:tblGrid>
      <w:tr w:rsidR="00AF0DA7" w:rsidRPr="00805B2C" w14:paraId="06668000" w14:textId="77777777" w:rsidTr="000106B8">
        <w:tc>
          <w:tcPr>
            <w:tcW w:w="817" w:type="dxa"/>
            <w:vMerge w:val="restart"/>
            <w:shd w:val="clear" w:color="auto" w:fill="auto"/>
            <w:vAlign w:val="center"/>
          </w:tcPr>
          <w:p w14:paraId="7F87C17F" w14:textId="77777777" w:rsidR="00AF0DA7" w:rsidRPr="00805B2C" w:rsidRDefault="00AF0DA7" w:rsidP="00306919">
            <w:pPr>
              <w:textAlignment w:val="baseline"/>
              <w:rPr>
                <w:rFonts w:ascii="Times New Roman" w:hAnsi="Times New Roman"/>
                <w:b/>
                <w:bCs/>
                <w:sz w:val="20"/>
                <w:szCs w:val="20"/>
              </w:rPr>
            </w:pPr>
            <w:r w:rsidRPr="00805B2C">
              <w:rPr>
                <w:rFonts w:ascii="Times New Roman" w:hAnsi="Times New Roman"/>
                <w:b/>
                <w:bCs/>
                <w:sz w:val="20"/>
                <w:szCs w:val="20"/>
              </w:rPr>
              <w:t>Year</w:t>
            </w:r>
          </w:p>
        </w:tc>
        <w:tc>
          <w:tcPr>
            <w:tcW w:w="4678" w:type="dxa"/>
            <w:gridSpan w:val="5"/>
            <w:shd w:val="clear" w:color="auto" w:fill="auto"/>
          </w:tcPr>
          <w:p w14:paraId="16173108" w14:textId="77777777" w:rsidR="00AF0DA7" w:rsidRPr="00805B2C" w:rsidRDefault="00AF0DA7" w:rsidP="00306919">
            <w:pPr>
              <w:jc w:val="center"/>
              <w:textAlignment w:val="baseline"/>
              <w:rPr>
                <w:rFonts w:ascii="Times New Roman" w:hAnsi="Times New Roman"/>
                <w:b/>
                <w:bCs/>
                <w:sz w:val="20"/>
                <w:szCs w:val="20"/>
              </w:rPr>
            </w:pPr>
            <w:r w:rsidRPr="00805B2C">
              <w:rPr>
                <w:rFonts w:ascii="Times New Roman" w:hAnsi="Times New Roman"/>
                <w:b/>
                <w:bCs/>
                <w:sz w:val="20"/>
                <w:szCs w:val="20"/>
              </w:rPr>
              <w:t>Unadjusted data</w:t>
            </w:r>
          </w:p>
        </w:tc>
        <w:tc>
          <w:tcPr>
            <w:tcW w:w="4961" w:type="dxa"/>
            <w:gridSpan w:val="5"/>
            <w:shd w:val="clear" w:color="auto" w:fill="auto"/>
          </w:tcPr>
          <w:p w14:paraId="12C0B82E" w14:textId="77777777" w:rsidR="00AF0DA7" w:rsidRPr="00805B2C" w:rsidRDefault="00AF0DA7" w:rsidP="00306919">
            <w:pPr>
              <w:jc w:val="center"/>
              <w:textAlignment w:val="baseline"/>
              <w:rPr>
                <w:rFonts w:ascii="Times New Roman" w:hAnsi="Times New Roman"/>
                <w:b/>
                <w:bCs/>
                <w:sz w:val="20"/>
                <w:szCs w:val="20"/>
              </w:rPr>
            </w:pPr>
            <w:r w:rsidRPr="00805B2C">
              <w:rPr>
                <w:rFonts w:ascii="Times New Roman" w:hAnsi="Times New Roman"/>
                <w:b/>
                <w:bCs/>
                <w:sz w:val="20"/>
                <w:szCs w:val="20"/>
              </w:rPr>
              <w:t>Adjusted data</w:t>
            </w:r>
          </w:p>
        </w:tc>
      </w:tr>
      <w:tr w:rsidR="00AF0DA7" w:rsidRPr="00805B2C" w14:paraId="4EF9DA5C" w14:textId="77777777" w:rsidTr="000106B8">
        <w:tc>
          <w:tcPr>
            <w:tcW w:w="817" w:type="dxa"/>
            <w:vMerge/>
            <w:shd w:val="clear" w:color="auto" w:fill="auto"/>
            <w:vAlign w:val="center"/>
          </w:tcPr>
          <w:p w14:paraId="254937D3" w14:textId="77777777" w:rsidR="00AF0DA7" w:rsidRPr="00805B2C" w:rsidRDefault="00AF0DA7" w:rsidP="00306919">
            <w:pPr>
              <w:textAlignment w:val="baseline"/>
              <w:rPr>
                <w:rFonts w:ascii="Times New Roman" w:hAnsi="Times New Roman"/>
                <w:bCs/>
                <w:sz w:val="20"/>
                <w:szCs w:val="20"/>
              </w:rPr>
            </w:pPr>
          </w:p>
        </w:tc>
        <w:tc>
          <w:tcPr>
            <w:tcW w:w="1559" w:type="dxa"/>
            <w:gridSpan w:val="2"/>
            <w:shd w:val="clear" w:color="auto" w:fill="auto"/>
            <w:vAlign w:val="center"/>
          </w:tcPr>
          <w:p w14:paraId="04EF597F" w14:textId="77777777" w:rsidR="00AF0DA7" w:rsidRPr="00805B2C" w:rsidRDefault="00AF0DA7" w:rsidP="00306919">
            <w:pPr>
              <w:textAlignment w:val="baseline"/>
              <w:rPr>
                <w:rFonts w:ascii="Times New Roman" w:hAnsi="Times New Roman"/>
                <w:b/>
                <w:bCs/>
                <w:sz w:val="20"/>
                <w:szCs w:val="20"/>
              </w:rPr>
            </w:pPr>
            <w:r w:rsidRPr="00805B2C">
              <w:rPr>
                <w:rFonts w:ascii="Times New Roman" w:hAnsi="Times New Roman"/>
                <w:b/>
                <w:bCs/>
                <w:sz w:val="20"/>
                <w:szCs w:val="20"/>
              </w:rPr>
              <w:t>Malaria season (all Fokontany)</w:t>
            </w:r>
          </w:p>
        </w:tc>
        <w:tc>
          <w:tcPr>
            <w:tcW w:w="2241" w:type="dxa"/>
            <w:gridSpan w:val="2"/>
            <w:shd w:val="clear" w:color="auto" w:fill="auto"/>
          </w:tcPr>
          <w:p w14:paraId="6D490752" w14:textId="77777777" w:rsidR="00AF0DA7" w:rsidRPr="00805B2C" w:rsidRDefault="00AF0DA7" w:rsidP="00306919">
            <w:pPr>
              <w:textAlignment w:val="baseline"/>
              <w:rPr>
                <w:rFonts w:ascii="Times New Roman" w:hAnsi="Times New Roman"/>
                <w:b/>
                <w:bCs/>
                <w:sz w:val="20"/>
                <w:szCs w:val="20"/>
              </w:rPr>
            </w:pPr>
            <w:r w:rsidRPr="00805B2C">
              <w:rPr>
                <w:rFonts w:ascii="Times New Roman" w:hAnsi="Times New Roman"/>
                <w:b/>
                <w:bCs/>
                <w:sz w:val="20"/>
                <w:szCs w:val="20"/>
              </w:rPr>
              <w:t>PIVOT intervention Fokontany (all seasons)</w:t>
            </w:r>
          </w:p>
        </w:tc>
        <w:tc>
          <w:tcPr>
            <w:tcW w:w="878" w:type="dxa"/>
            <w:shd w:val="clear" w:color="auto" w:fill="auto"/>
            <w:vAlign w:val="center"/>
          </w:tcPr>
          <w:p w14:paraId="25AAB8BF" w14:textId="77777777" w:rsidR="00AF0DA7" w:rsidRPr="00805B2C" w:rsidRDefault="00AF0DA7" w:rsidP="00306919">
            <w:pPr>
              <w:textAlignment w:val="baseline"/>
              <w:rPr>
                <w:rFonts w:ascii="Times New Roman" w:hAnsi="Times New Roman"/>
                <w:b/>
                <w:bCs/>
                <w:sz w:val="20"/>
                <w:szCs w:val="20"/>
              </w:rPr>
            </w:pPr>
            <w:r w:rsidRPr="00805B2C">
              <w:rPr>
                <w:rFonts w:ascii="Times New Roman" w:hAnsi="Times New Roman"/>
                <w:b/>
                <w:bCs/>
                <w:sz w:val="20"/>
                <w:szCs w:val="20"/>
              </w:rPr>
              <w:t>Overall</w:t>
            </w:r>
          </w:p>
        </w:tc>
        <w:tc>
          <w:tcPr>
            <w:tcW w:w="1701" w:type="dxa"/>
            <w:gridSpan w:val="2"/>
            <w:shd w:val="clear" w:color="auto" w:fill="auto"/>
          </w:tcPr>
          <w:p w14:paraId="217E36DA" w14:textId="77777777" w:rsidR="00AF0DA7" w:rsidRPr="00805B2C" w:rsidRDefault="00AF0DA7" w:rsidP="00306919">
            <w:pPr>
              <w:textAlignment w:val="baseline"/>
              <w:rPr>
                <w:rFonts w:ascii="Times New Roman" w:hAnsi="Times New Roman"/>
                <w:b/>
                <w:bCs/>
                <w:sz w:val="20"/>
                <w:szCs w:val="20"/>
              </w:rPr>
            </w:pPr>
            <w:r w:rsidRPr="00805B2C">
              <w:rPr>
                <w:rFonts w:ascii="Times New Roman" w:hAnsi="Times New Roman"/>
                <w:b/>
                <w:bCs/>
                <w:sz w:val="20"/>
                <w:szCs w:val="20"/>
              </w:rPr>
              <w:t>Malaria season (all Fokontany)</w:t>
            </w:r>
          </w:p>
        </w:tc>
        <w:tc>
          <w:tcPr>
            <w:tcW w:w="2268" w:type="dxa"/>
            <w:gridSpan w:val="2"/>
            <w:shd w:val="clear" w:color="auto" w:fill="auto"/>
          </w:tcPr>
          <w:p w14:paraId="020B1D45" w14:textId="77777777" w:rsidR="00AF0DA7" w:rsidRPr="00805B2C" w:rsidRDefault="00AF0DA7" w:rsidP="00306919">
            <w:pPr>
              <w:textAlignment w:val="baseline"/>
              <w:rPr>
                <w:rFonts w:ascii="Times New Roman" w:hAnsi="Times New Roman"/>
                <w:b/>
                <w:bCs/>
                <w:sz w:val="20"/>
                <w:szCs w:val="20"/>
              </w:rPr>
            </w:pPr>
            <w:r w:rsidRPr="00805B2C">
              <w:rPr>
                <w:rFonts w:ascii="Times New Roman" w:hAnsi="Times New Roman"/>
                <w:b/>
                <w:bCs/>
                <w:sz w:val="20"/>
                <w:szCs w:val="20"/>
              </w:rPr>
              <w:t>PIVOT intervention Fokontany (all seasons)</w:t>
            </w:r>
          </w:p>
        </w:tc>
        <w:tc>
          <w:tcPr>
            <w:tcW w:w="992" w:type="dxa"/>
            <w:shd w:val="clear" w:color="auto" w:fill="auto"/>
            <w:vAlign w:val="center"/>
          </w:tcPr>
          <w:p w14:paraId="7F6E8BE5" w14:textId="77777777" w:rsidR="00AF0DA7" w:rsidRPr="00805B2C" w:rsidRDefault="00AF0DA7" w:rsidP="00306919">
            <w:pPr>
              <w:textAlignment w:val="baseline"/>
              <w:rPr>
                <w:rFonts w:ascii="Times New Roman" w:hAnsi="Times New Roman"/>
                <w:b/>
                <w:bCs/>
                <w:sz w:val="20"/>
                <w:szCs w:val="20"/>
              </w:rPr>
            </w:pPr>
            <w:r w:rsidRPr="00805B2C">
              <w:rPr>
                <w:rFonts w:ascii="Times New Roman" w:hAnsi="Times New Roman"/>
                <w:b/>
                <w:bCs/>
                <w:sz w:val="20"/>
                <w:szCs w:val="20"/>
              </w:rPr>
              <w:t>Overall</w:t>
            </w:r>
          </w:p>
        </w:tc>
      </w:tr>
      <w:tr w:rsidR="00AF0DA7" w:rsidRPr="00805B2C" w14:paraId="6F685FDE" w14:textId="77777777" w:rsidTr="000106B8">
        <w:tc>
          <w:tcPr>
            <w:tcW w:w="817" w:type="dxa"/>
            <w:vMerge w:val="restart"/>
            <w:shd w:val="clear" w:color="auto" w:fill="auto"/>
            <w:vAlign w:val="center"/>
          </w:tcPr>
          <w:p w14:paraId="623AEA3D"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2014</w:t>
            </w:r>
          </w:p>
        </w:tc>
        <w:tc>
          <w:tcPr>
            <w:tcW w:w="766" w:type="dxa"/>
            <w:shd w:val="clear" w:color="auto" w:fill="auto"/>
            <w:vAlign w:val="center"/>
          </w:tcPr>
          <w:p w14:paraId="093918CE"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93" w:type="dxa"/>
            <w:shd w:val="clear" w:color="auto" w:fill="auto"/>
            <w:vAlign w:val="center"/>
          </w:tcPr>
          <w:p w14:paraId="6E7946DD"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36</w:t>
            </w:r>
          </w:p>
        </w:tc>
        <w:tc>
          <w:tcPr>
            <w:tcW w:w="1544" w:type="dxa"/>
            <w:shd w:val="clear" w:color="auto" w:fill="auto"/>
          </w:tcPr>
          <w:p w14:paraId="3DA076AF"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697" w:type="dxa"/>
            <w:shd w:val="clear" w:color="auto" w:fill="auto"/>
          </w:tcPr>
          <w:p w14:paraId="4FF5EEB7"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31</w:t>
            </w:r>
          </w:p>
        </w:tc>
        <w:tc>
          <w:tcPr>
            <w:tcW w:w="878" w:type="dxa"/>
            <w:vMerge w:val="restart"/>
            <w:shd w:val="clear" w:color="auto" w:fill="auto"/>
            <w:vAlign w:val="center"/>
          </w:tcPr>
          <w:p w14:paraId="28D3C5D6"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23</w:t>
            </w:r>
          </w:p>
        </w:tc>
        <w:tc>
          <w:tcPr>
            <w:tcW w:w="943" w:type="dxa"/>
            <w:shd w:val="clear" w:color="auto" w:fill="auto"/>
            <w:vAlign w:val="center"/>
          </w:tcPr>
          <w:p w14:paraId="5F597709"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58" w:type="dxa"/>
            <w:shd w:val="clear" w:color="auto" w:fill="auto"/>
            <w:vAlign w:val="center"/>
          </w:tcPr>
          <w:p w14:paraId="06387B60" w14:textId="43F1E956"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114</w:t>
            </w:r>
          </w:p>
        </w:tc>
        <w:tc>
          <w:tcPr>
            <w:tcW w:w="1509" w:type="dxa"/>
            <w:shd w:val="clear" w:color="auto" w:fill="auto"/>
          </w:tcPr>
          <w:p w14:paraId="3FE1C2F4"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759" w:type="dxa"/>
            <w:shd w:val="clear" w:color="auto" w:fill="auto"/>
          </w:tcPr>
          <w:p w14:paraId="5300E381" w14:textId="4CB38FA7"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82</w:t>
            </w:r>
          </w:p>
        </w:tc>
        <w:tc>
          <w:tcPr>
            <w:tcW w:w="992" w:type="dxa"/>
            <w:vMerge w:val="restart"/>
            <w:shd w:val="clear" w:color="auto" w:fill="auto"/>
            <w:vAlign w:val="center"/>
          </w:tcPr>
          <w:p w14:paraId="6424B609" w14:textId="6C21D89D"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7</w:t>
            </w:r>
            <w:r w:rsidR="008F5252" w:rsidRPr="00805B2C">
              <w:rPr>
                <w:rFonts w:ascii="Times New Roman" w:hAnsi="Times New Roman"/>
                <w:bCs/>
                <w:sz w:val="20"/>
                <w:szCs w:val="20"/>
              </w:rPr>
              <w:t>2</w:t>
            </w:r>
          </w:p>
        </w:tc>
      </w:tr>
      <w:tr w:rsidR="00AF0DA7" w:rsidRPr="00805B2C" w14:paraId="3BCB9FD7" w14:textId="77777777" w:rsidTr="000106B8">
        <w:tc>
          <w:tcPr>
            <w:tcW w:w="817" w:type="dxa"/>
            <w:vMerge/>
            <w:shd w:val="clear" w:color="auto" w:fill="auto"/>
            <w:vAlign w:val="center"/>
          </w:tcPr>
          <w:p w14:paraId="1232B75F" w14:textId="77777777" w:rsidR="00AF0DA7" w:rsidRPr="00805B2C" w:rsidRDefault="00AF0DA7" w:rsidP="00306919">
            <w:pPr>
              <w:textAlignment w:val="baseline"/>
              <w:rPr>
                <w:rFonts w:ascii="Times New Roman" w:hAnsi="Times New Roman"/>
                <w:bCs/>
                <w:sz w:val="20"/>
                <w:szCs w:val="20"/>
              </w:rPr>
            </w:pPr>
          </w:p>
        </w:tc>
        <w:tc>
          <w:tcPr>
            <w:tcW w:w="766" w:type="dxa"/>
            <w:shd w:val="clear" w:color="auto" w:fill="auto"/>
            <w:vAlign w:val="center"/>
          </w:tcPr>
          <w:p w14:paraId="3EB16465"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Low</w:t>
            </w:r>
          </w:p>
        </w:tc>
        <w:tc>
          <w:tcPr>
            <w:tcW w:w="793" w:type="dxa"/>
            <w:shd w:val="clear" w:color="auto" w:fill="auto"/>
            <w:vAlign w:val="center"/>
          </w:tcPr>
          <w:p w14:paraId="366548F7"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11</w:t>
            </w:r>
          </w:p>
        </w:tc>
        <w:tc>
          <w:tcPr>
            <w:tcW w:w="1544" w:type="dxa"/>
            <w:shd w:val="clear" w:color="auto" w:fill="auto"/>
          </w:tcPr>
          <w:p w14:paraId="66ACF023"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697" w:type="dxa"/>
            <w:shd w:val="clear" w:color="auto" w:fill="auto"/>
          </w:tcPr>
          <w:p w14:paraId="138568B3"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19</w:t>
            </w:r>
          </w:p>
        </w:tc>
        <w:tc>
          <w:tcPr>
            <w:tcW w:w="878" w:type="dxa"/>
            <w:vMerge/>
            <w:shd w:val="clear" w:color="auto" w:fill="auto"/>
            <w:vAlign w:val="center"/>
          </w:tcPr>
          <w:p w14:paraId="000E69C8" w14:textId="77777777" w:rsidR="00AF0DA7" w:rsidRPr="00805B2C" w:rsidRDefault="00AF0DA7" w:rsidP="00306919">
            <w:pPr>
              <w:jc w:val="center"/>
              <w:textAlignment w:val="baseline"/>
              <w:rPr>
                <w:rFonts w:ascii="Times New Roman" w:hAnsi="Times New Roman"/>
                <w:bCs/>
                <w:sz w:val="20"/>
                <w:szCs w:val="20"/>
              </w:rPr>
            </w:pPr>
          </w:p>
        </w:tc>
        <w:tc>
          <w:tcPr>
            <w:tcW w:w="943" w:type="dxa"/>
            <w:shd w:val="clear" w:color="auto" w:fill="auto"/>
            <w:vAlign w:val="center"/>
          </w:tcPr>
          <w:p w14:paraId="43FCCD76"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Low</w:t>
            </w:r>
          </w:p>
        </w:tc>
        <w:tc>
          <w:tcPr>
            <w:tcW w:w="758" w:type="dxa"/>
            <w:shd w:val="clear" w:color="auto" w:fill="auto"/>
            <w:vAlign w:val="center"/>
          </w:tcPr>
          <w:p w14:paraId="5462FD5C" w14:textId="33B59029"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35</w:t>
            </w:r>
          </w:p>
        </w:tc>
        <w:tc>
          <w:tcPr>
            <w:tcW w:w="1509" w:type="dxa"/>
            <w:shd w:val="clear" w:color="auto" w:fill="auto"/>
          </w:tcPr>
          <w:p w14:paraId="749EA390"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759" w:type="dxa"/>
            <w:shd w:val="clear" w:color="auto" w:fill="auto"/>
          </w:tcPr>
          <w:p w14:paraId="04F5AFCC" w14:textId="766319AA"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65</w:t>
            </w:r>
          </w:p>
        </w:tc>
        <w:tc>
          <w:tcPr>
            <w:tcW w:w="992" w:type="dxa"/>
            <w:vMerge/>
            <w:shd w:val="clear" w:color="auto" w:fill="auto"/>
            <w:vAlign w:val="center"/>
          </w:tcPr>
          <w:p w14:paraId="6065C88C" w14:textId="77777777" w:rsidR="00AF0DA7" w:rsidRPr="00805B2C" w:rsidRDefault="00AF0DA7" w:rsidP="00306919">
            <w:pPr>
              <w:jc w:val="center"/>
              <w:textAlignment w:val="baseline"/>
              <w:rPr>
                <w:rFonts w:ascii="Times New Roman" w:hAnsi="Times New Roman"/>
                <w:bCs/>
                <w:sz w:val="20"/>
                <w:szCs w:val="20"/>
              </w:rPr>
            </w:pPr>
          </w:p>
        </w:tc>
      </w:tr>
      <w:tr w:rsidR="00AF0DA7" w:rsidRPr="00805B2C" w14:paraId="5636275E" w14:textId="77777777" w:rsidTr="000106B8">
        <w:tc>
          <w:tcPr>
            <w:tcW w:w="817" w:type="dxa"/>
            <w:vMerge w:val="restart"/>
            <w:shd w:val="clear" w:color="auto" w:fill="auto"/>
            <w:vAlign w:val="center"/>
          </w:tcPr>
          <w:p w14:paraId="0DBFD40C"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2015</w:t>
            </w:r>
          </w:p>
        </w:tc>
        <w:tc>
          <w:tcPr>
            <w:tcW w:w="766" w:type="dxa"/>
            <w:shd w:val="clear" w:color="auto" w:fill="auto"/>
            <w:vAlign w:val="center"/>
          </w:tcPr>
          <w:p w14:paraId="13369B24"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93" w:type="dxa"/>
            <w:shd w:val="clear" w:color="auto" w:fill="auto"/>
            <w:vAlign w:val="center"/>
          </w:tcPr>
          <w:p w14:paraId="30EA7232"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41</w:t>
            </w:r>
          </w:p>
        </w:tc>
        <w:tc>
          <w:tcPr>
            <w:tcW w:w="1544" w:type="dxa"/>
            <w:shd w:val="clear" w:color="auto" w:fill="auto"/>
          </w:tcPr>
          <w:p w14:paraId="2D2BB1E5"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697" w:type="dxa"/>
            <w:shd w:val="clear" w:color="auto" w:fill="auto"/>
          </w:tcPr>
          <w:p w14:paraId="00546DD8"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31</w:t>
            </w:r>
          </w:p>
        </w:tc>
        <w:tc>
          <w:tcPr>
            <w:tcW w:w="878" w:type="dxa"/>
            <w:vMerge w:val="restart"/>
            <w:shd w:val="clear" w:color="auto" w:fill="auto"/>
            <w:vAlign w:val="center"/>
          </w:tcPr>
          <w:p w14:paraId="4206AE2B"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24</w:t>
            </w:r>
          </w:p>
        </w:tc>
        <w:tc>
          <w:tcPr>
            <w:tcW w:w="943" w:type="dxa"/>
            <w:shd w:val="clear" w:color="auto" w:fill="auto"/>
            <w:vAlign w:val="center"/>
          </w:tcPr>
          <w:p w14:paraId="15547207"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58" w:type="dxa"/>
            <w:shd w:val="clear" w:color="auto" w:fill="auto"/>
            <w:vAlign w:val="center"/>
          </w:tcPr>
          <w:p w14:paraId="63A74691" w14:textId="0EEDEB7C"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127</w:t>
            </w:r>
          </w:p>
        </w:tc>
        <w:tc>
          <w:tcPr>
            <w:tcW w:w="1509" w:type="dxa"/>
            <w:shd w:val="clear" w:color="auto" w:fill="auto"/>
          </w:tcPr>
          <w:p w14:paraId="234B0238"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759" w:type="dxa"/>
            <w:shd w:val="clear" w:color="auto" w:fill="auto"/>
          </w:tcPr>
          <w:p w14:paraId="0FA0D425" w14:textId="1488332F"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89</w:t>
            </w:r>
          </w:p>
        </w:tc>
        <w:tc>
          <w:tcPr>
            <w:tcW w:w="992" w:type="dxa"/>
            <w:vMerge w:val="restart"/>
            <w:shd w:val="clear" w:color="auto" w:fill="auto"/>
            <w:vAlign w:val="center"/>
          </w:tcPr>
          <w:p w14:paraId="27F752F4" w14:textId="23A199F5" w:rsidR="00AF0DA7" w:rsidRPr="00805B2C" w:rsidRDefault="008F5252" w:rsidP="008F5252">
            <w:pPr>
              <w:jc w:val="center"/>
              <w:textAlignment w:val="baseline"/>
              <w:rPr>
                <w:rFonts w:ascii="Times New Roman" w:hAnsi="Times New Roman"/>
                <w:bCs/>
                <w:sz w:val="20"/>
                <w:szCs w:val="20"/>
              </w:rPr>
            </w:pPr>
            <w:r w:rsidRPr="00805B2C">
              <w:rPr>
                <w:rFonts w:ascii="Times New Roman" w:hAnsi="Times New Roman"/>
                <w:bCs/>
                <w:sz w:val="20"/>
                <w:szCs w:val="20"/>
              </w:rPr>
              <w:t>76</w:t>
            </w:r>
          </w:p>
        </w:tc>
      </w:tr>
      <w:tr w:rsidR="00AF0DA7" w:rsidRPr="00805B2C" w14:paraId="1DACB3C3" w14:textId="77777777" w:rsidTr="000106B8">
        <w:tc>
          <w:tcPr>
            <w:tcW w:w="817" w:type="dxa"/>
            <w:vMerge/>
            <w:shd w:val="clear" w:color="auto" w:fill="auto"/>
            <w:vAlign w:val="center"/>
          </w:tcPr>
          <w:p w14:paraId="76911AFC" w14:textId="77777777" w:rsidR="00AF0DA7" w:rsidRPr="00805B2C" w:rsidRDefault="00AF0DA7" w:rsidP="00306919">
            <w:pPr>
              <w:textAlignment w:val="baseline"/>
              <w:rPr>
                <w:rFonts w:ascii="Times New Roman" w:hAnsi="Times New Roman"/>
                <w:bCs/>
                <w:sz w:val="20"/>
                <w:szCs w:val="20"/>
              </w:rPr>
            </w:pPr>
          </w:p>
        </w:tc>
        <w:tc>
          <w:tcPr>
            <w:tcW w:w="766" w:type="dxa"/>
            <w:shd w:val="clear" w:color="auto" w:fill="auto"/>
            <w:vAlign w:val="center"/>
          </w:tcPr>
          <w:p w14:paraId="37C52D95"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Low</w:t>
            </w:r>
          </w:p>
        </w:tc>
        <w:tc>
          <w:tcPr>
            <w:tcW w:w="793" w:type="dxa"/>
            <w:shd w:val="clear" w:color="auto" w:fill="auto"/>
            <w:vAlign w:val="center"/>
          </w:tcPr>
          <w:p w14:paraId="227286AC"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8</w:t>
            </w:r>
          </w:p>
        </w:tc>
        <w:tc>
          <w:tcPr>
            <w:tcW w:w="1544" w:type="dxa"/>
            <w:shd w:val="clear" w:color="auto" w:fill="auto"/>
          </w:tcPr>
          <w:p w14:paraId="1EA52A49"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697" w:type="dxa"/>
            <w:shd w:val="clear" w:color="auto" w:fill="auto"/>
          </w:tcPr>
          <w:p w14:paraId="4153F608"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19</w:t>
            </w:r>
          </w:p>
        </w:tc>
        <w:tc>
          <w:tcPr>
            <w:tcW w:w="878" w:type="dxa"/>
            <w:vMerge/>
            <w:shd w:val="clear" w:color="auto" w:fill="auto"/>
            <w:vAlign w:val="center"/>
          </w:tcPr>
          <w:p w14:paraId="4D125DA2" w14:textId="77777777" w:rsidR="00AF0DA7" w:rsidRPr="00805B2C" w:rsidRDefault="00AF0DA7" w:rsidP="00306919">
            <w:pPr>
              <w:jc w:val="center"/>
              <w:textAlignment w:val="baseline"/>
              <w:rPr>
                <w:rFonts w:ascii="Times New Roman" w:hAnsi="Times New Roman"/>
                <w:bCs/>
                <w:sz w:val="20"/>
                <w:szCs w:val="20"/>
              </w:rPr>
            </w:pPr>
          </w:p>
        </w:tc>
        <w:tc>
          <w:tcPr>
            <w:tcW w:w="943" w:type="dxa"/>
            <w:shd w:val="clear" w:color="auto" w:fill="auto"/>
            <w:vAlign w:val="center"/>
          </w:tcPr>
          <w:p w14:paraId="549EE9B1"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Low</w:t>
            </w:r>
          </w:p>
        </w:tc>
        <w:tc>
          <w:tcPr>
            <w:tcW w:w="758" w:type="dxa"/>
            <w:shd w:val="clear" w:color="auto" w:fill="auto"/>
            <w:vAlign w:val="center"/>
          </w:tcPr>
          <w:p w14:paraId="6F77FCF8" w14:textId="58B5478D"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32</w:t>
            </w:r>
          </w:p>
        </w:tc>
        <w:tc>
          <w:tcPr>
            <w:tcW w:w="1509" w:type="dxa"/>
            <w:shd w:val="clear" w:color="auto" w:fill="auto"/>
          </w:tcPr>
          <w:p w14:paraId="6930B5D8"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759" w:type="dxa"/>
            <w:shd w:val="clear" w:color="auto" w:fill="auto"/>
          </w:tcPr>
          <w:p w14:paraId="0CBD1423" w14:textId="72A1A252"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67</w:t>
            </w:r>
          </w:p>
        </w:tc>
        <w:tc>
          <w:tcPr>
            <w:tcW w:w="992" w:type="dxa"/>
            <w:vMerge/>
            <w:shd w:val="clear" w:color="auto" w:fill="auto"/>
            <w:vAlign w:val="center"/>
          </w:tcPr>
          <w:p w14:paraId="4CBA2F12" w14:textId="77777777" w:rsidR="00AF0DA7" w:rsidRPr="00805B2C" w:rsidRDefault="00AF0DA7" w:rsidP="00306919">
            <w:pPr>
              <w:jc w:val="center"/>
              <w:textAlignment w:val="baseline"/>
              <w:rPr>
                <w:rFonts w:ascii="Times New Roman" w:hAnsi="Times New Roman"/>
                <w:bCs/>
                <w:sz w:val="20"/>
                <w:szCs w:val="20"/>
              </w:rPr>
            </w:pPr>
          </w:p>
        </w:tc>
      </w:tr>
      <w:tr w:rsidR="00AF0DA7" w:rsidRPr="00805B2C" w14:paraId="5B37665F" w14:textId="77777777" w:rsidTr="000106B8">
        <w:tc>
          <w:tcPr>
            <w:tcW w:w="817" w:type="dxa"/>
            <w:vMerge w:val="restart"/>
            <w:shd w:val="clear" w:color="auto" w:fill="auto"/>
            <w:vAlign w:val="center"/>
          </w:tcPr>
          <w:p w14:paraId="0578FABD"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2016</w:t>
            </w:r>
          </w:p>
        </w:tc>
        <w:tc>
          <w:tcPr>
            <w:tcW w:w="766" w:type="dxa"/>
            <w:shd w:val="clear" w:color="auto" w:fill="auto"/>
            <w:vAlign w:val="center"/>
          </w:tcPr>
          <w:p w14:paraId="0D37CF4C"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93" w:type="dxa"/>
            <w:shd w:val="clear" w:color="auto" w:fill="auto"/>
            <w:vAlign w:val="center"/>
          </w:tcPr>
          <w:p w14:paraId="311857A6"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19</w:t>
            </w:r>
          </w:p>
        </w:tc>
        <w:tc>
          <w:tcPr>
            <w:tcW w:w="1544" w:type="dxa"/>
            <w:shd w:val="clear" w:color="auto" w:fill="auto"/>
          </w:tcPr>
          <w:p w14:paraId="0DE74842"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697" w:type="dxa"/>
            <w:shd w:val="clear" w:color="auto" w:fill="auto"/>
          </w:tcPr>
          <w:p w14:paraId="7CCBD45B"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18</w:t>
            </w:r>
          </w:p>
        </w:tc>
        <w:tc>
          <w:tcPr>
            <w:tcW w:w="878" w:type="dxa"/>
            <w:vMerge w:val="restart"/>
            <w:shd w:val="clear" w:color="auto" w:fill="auto"/>
            <w:vAlign w:val="center"/>
          </w:tcPr>
          <w:p w14:paraId="329E92BB"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13</w:t>
            </w:r>
          </w:p>
        </w:tc>
        <w:tc>
          <w:tcPr>
            <w:tcW w:w="943" w:type="dxa"/>
            <w:shd w:val="clear" w:color="auto" w:fill="auto"/>
            <w:vAlign w:val="center"/>
          </w:tcPr>
          <w:p w14:paraId="086FEA87"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58" w:type="dxa"/>
            <w:shd w:val="clear" w:color="auto" w:fill="auto"/>
            <w:vAlign w:val="center"/>
          </w:tcPr>
          <w:p w14:paraId="4884E14F" w14:textId="4F5DA722"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65</w:t>
            </w:r>
          </w:p>
        </w:tc>
        <w:tc>
          <w:tcPr>
            <w:tcW w:w="1509" w:type="dxa"/>
            <w:shd w:val="clear" w:color="auto" w:fill="auto"/>
          </w:tcPr>
          <w:p w14:paraId="2CC46A3E"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759" w:type="dxa"/>
            <w:shd w:val="clear" w:color="auto" w:fill="auto"/>
          </w:tcPr>
          <w:p w14:paraId="062C9E80" w14:textId="18023071"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45</w:t>
            </w:r>
          </w:p>
        </w:tc>
        <w:tc>
          <w:tcPr>
            <w:tcW w:w="992" w:type="dxa"/>
            <w:vMerge w:val="restart"/>
            <w:shd w:val="clear" w:color="auto" w:fill="auto"/>
            <w:vAlign w:val="center"/>
          </w:tcPr>
          <w:p w14:paraId="78C93D08" w14:textId="4578EBBF" w:rsidR="00AF0DA7" w:rsidRPr="00805B2C" w:rsidRDefault="008F5252" w:rsidP="00306919">
            <w:pPr>
              <w:jc w:val="center"/>
              <w:textAlignment w:val="baseline"/>
              <w:rPr>
                <w:rFonts w:ascii="Times New Roman" w:hAnsi="Times New Roman"/>
                <w:bCs/>
                <w:sz w:val="20"/>
                <w:szCs w:val="20"/>
              </w:rPr>
            </w:pPr>
            <w:r w:rsidRPr="00805B2C">
              <w:rPr>
                <w:rFonts w:ascii="Times New Roman" w:hAnsi="Times New Roman"/>
                <w:bCs/>
                <w:sz w:val="20"/>
                <w:szCs w:val="20"/>
              </w:rPr>
              <w:t>43</w:t>
            </w:r>
          </w:p>
        </w:tc>
      </w:tr>
      <w:tr w:rsidR="00AF0DA7" w:rsidRPr="00805B2C" w14:paraId="11AF0074" w14:textId="77777777" w:rsidTr="000106B8">
        <w:tc>
          <w:tcPr>
            <w:tcW w:w="817" w:type="dxa"/>
            <w:vMerge/>
            <w:shd w:val="clear" w:color="auto" w:fill="auto"/>
            <w:vAlign w:val="center"/>
          </w:tcPr>
          <w:p w14:paraId="775F3E1F" w14:textId="77777777" w:rsidR="00AF0DA7" w:rsidRPr="00805B2C" w:rsidRDefault="00AF0DA7" w:rsidP="00306919">
            <w:pPr>
              <w:textAlignment w:val="baseline"/>
              <w:rPr>
                <w:rFonts w:ascii="Times New Roman" w:hAnsi="Times New Roman"/>
                <w:bCs/>
                <w:sz w:val="20"/>
                <w:szCs w:val="20"/>
              </w:rPr>
            </w:pPr>
          </w:p>
        </w:tc>
        <w:tc>
          <w:tcPr>
            <w:tcW w:w="766" w:type="dxa"/>
            <w:shd w:val="clear" w:color="auto" w:fill="auto"/>
            <w:vAlign w:val="center"/>
          </w:tcPr>
          <w:p w14:paraId="1BDF35E2"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Low</w:t>
            </w:r>
          </w:p>
        </w:tc>
        <w:tc>
          <w:tcPr>
            <w:tcW w:w="793" w:type="dxa"/>
            <w:shd w:val="clear" w:color="auto" w:fill="auto"/>
            <w:vAlign w:val="center"/>
          </w:tcPr>
          <w:p w14:paraId="5D22D413"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7</w:t>
            </w:r>
          </w:p>
        </w:tc>
        <w:tc>
          <w:tcPr>
            <w:tcW w:w="1544" w:type="dxa"/>
            <w:shd w:val="clear" w:color="auto" w:fill="auto"/>
          </w:tcPr>
          <w:p w14:paraId="1C2EC6DA"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697" w:type="dxa"/>
            <w:shd w:val="clear" w:color="auto" w:fill="auto"/>
          </w:tcPr>
          <w:p w14:paraId="498F6CE4"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10</w:t>
            </w:r>
          </w:p>
        </w:tc>
        <w:tc>
          <w:tcPr>
            <w:tcW w:w="878" w:type="dxa"/>
            <w:vMerge/>
            <w:shd w:val="clear" w:color="auto" w:fill="auto"/>
            <w:vAlign w:val="center"/>
          </w:tcPr>
          <w:p w14:paraId="1E513C8C" w14:textId="77777777" w:rsidR="00AF0DA7" w:rsidRPr="00805B2C" w:rsidRDefault="00AF0DA7" w:rsidP="00306919">
            <w:pPr>
              <w:jc w:val="center"/>
              <w:textAlignment w:val="baseline"/>
              <w:rPr>
                <w:rFonts w:ascii="Times New Roman" w:hAnsi="Times New Roman"/>
                <w:bCs/>
                <w:sz w:val="20"/>
                <w:szCs w:val="20"/>
              </w:rPr>
            </w:pPr>
          </w:p>
        </w:tc>
        <w:tc>
          <w:tcPr>
            <w:tcW w:w="943" w:type="dxa"/>
            <w:shd w:val="clear" w:color="auto" w:fill="auto"/>
            <w:vAlign w:val="center"/>
          </w:tcPr>
          <w:p w14:paraId="2D8C98E8"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Low</w:t>
            </w:r>
          </w:p>
        </w:tc>
        <w:tc>
          <w:tcPr>
            <w:tcW w:w="758" w:type="dxa"/>
            <w:shd w:val="clear" w:color="auto" w:fill="auto"/>
            <w:vAlign w:val="center"/>
          </w:tcPr>
          <w:p w14:paraId="05D2D227" w14:textId="7A4BB8BC"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20</w:t>
            </w:r>
          </w:p>
        </w:tc>
        <w:tc>
          <w:tcPr>
            <w:tcW w:w="1509" w:type="dxa"/>
            <w:shd w:val="clear" w:color="auto" w:fill="auto"/>
          </w:tcPr>
          <w:p w14:paraId="03D4DBCB"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759" w:type="dxa"/>
            <w:shd w:val="clear" w:color="auto" w:fill="auto"/>
          </w:tcPr>
          <w:p w14:paraId="1800A203" w14:textId="6630CAD0"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41</w:t>
            </w:r>
          </w:p>
        </w:tc>
        <w:tc>
          <w:tcPr>
            <w:tcW w:w="992" w:type="dxa"/>
            <w:vMerge/>
            <w:shd w:val="clear" w:color="auto" w:fill="auto"/>
            <w:vAlign w:val="center"/>
          </w:tcPr>
          <w:p w14:paraId="6B540775" w14:textId="77777777" w:rsidR="00AF0DA7" w:rsidRPr="00805B2C" w:rsidRDefault="00AF0DA7" w:rsidP="00306919">
            <w:pPr>
              <w:jc w:val="center"/>
              <w:textAlignment w:val="baseline"/>
              <w:rPr>
                <w:rFonts w:ascii="Times New Roman" w:hAnsi="Times New Roman"/>
                <w:bCs/>
                <w:sz w:val="20"/>
                <w:szCs w:val="20"/>
              </w:rPr>
            </w:pPr>
          </w:p>
        </w:tc>
      </w:tr>
      <w:tr w:rsidR="00AF0DA7" w:rsidRPr="00805B2C" w14:paraId="4D766C1A" w14:textId="77777777" w:rsidTr="000106B8">
        <w:tc>
          <w:tcPr>
            <w:tcW w:w="817" w:type="dxa"/>
            <w:vMerge w:val="restart"/>
            <w:shd w:val="clear" w:color="auto" w:fill="auto"/>
            <w:vAlign w:val="center"/>
          </w:tcPr>
          <w:p w14:paraId="01B119D1"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2017</w:t>
            </w:r>
          </w:p>
        </w:tc>
        <w:tc>
          <w:tcPr>
            <w:tcW w:w="766" w:type="dxa"/>
            <w:shd w:val="clear" w:color="auto" w:fill="auto"/>
            <w:vAlign w:val="center"/>
          </w:tcPr>
          <w:p w14:paraId="023818D5"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93" w:type="dxa"/>
            <w:shd w:val="clear" w:color="auto" w:fill="auto"/>
            <w:vAlign w:val="center"/>
          </w:tcPr>
          <w:p w14:paraId="3D1D55CF"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28</w:t>
            </w:r>
          </w:p>
        </w:tc>
        <w:tc>
          <w:tcPr>
            <w:tcW w:w="1544" w:type="dxa"/>
            <w:shd w:val="clear" w:color="auto" w:fill="auto"/>
          </w:tcPr>
          <w:p w14:paraId="2971BA0A"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697" w:type="dxa"/>
            <w:shd w:val="clear" w:color="auto" w:fill="auto"/>
          </w:tcPr>
          <w:p w14:paraId="0AFAEDA6"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28</w:t>
            </w:r>
          </w:p>
        </w:tc>
        <w:tc>
          <w:tcPr>
            <w:tcW w:w="878" w:type="dxa"/>
            <w:vMerge w:val="restart"/>
            <w:shd w:val="clear" w:color="auto" w:fill="auto"/>
            <w:vAlign w:val="center"/>
          </w:tcPr>
          <w:p w14:paraId="577BAEE1"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18</w:t>
            </w:r>
          </w:p>
        </w:tc>
        <w:tc>
          <w:tcPr>
            <w:tcW w:w="943" w:type="dxa"/>
            <w:shd w:val="clear" w:color="auto" w:fill="auto"/>
            <w:vAlign w:val="center"/>
          </w:tcPr>
          <w:p w14:paraId="3EF0C2B5"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High</w:t>
            </w:r>
          </w:p>
        </w:tc>
        <w:tc>
          <w:tcPr>
            <w:tcW w:w="758" w:type="dxa"/>
            <w:shd w:val="clear" w:color="auto" w:fill="auto"/>
            <w:vAlign w:val="center"/>
          </w:tcPr>
          <w:p w14:paraId="356A72D8" w14:textId="2B3AF13D"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91</w:t>
            </w:r>
          </w:p>
        </w:tc>
        <w:tc>
          <w:tcPr>
            <w:tcW w:w="1509" w:type="dxa"/>
            <w:shd w:val="clear" w:color="auto" w:fill="auto"/>
          </w:tcPr>
          <w:p w14:paraId="4FC4A12F" w14:textId="77777777" w:rsidR="00AF0DA7" w:rsidRPr="00805B2C" w:rsidRDefault="00AF0DA7" w:rsidP="00306919">
            <w:pPr>
              <w:textAlignment w:val="baseline"/>
              <w:rPr>
                <w:rFonts w:ascii="Times New Roman" w:hAnsi="Times New Roman"/>
                <w:bCs/>
                <w:sz w:val="20"/>
                <w:szCs w:val="20"/>
              </w:rPr>
            </w:pPr>
            <w:r w:rsidRPr="00805B2C">
              <w:rPr>
                <w:rFonts w:ascii="Times New Roman" w:hAnsi="Times New Roman"/>
                <w:bCs/>
                <w:sz w:val="20"/>
                <w:szCs w:val="20"/>
              </w:rPr>
              <w:t>Intervention</w:t>
            </w:r>
          </w:p>
        </w:tc>
        <w:tc>
          <w:tcPr>
            <w:tcW w:w="759" w:type="dxa"/>
            <w:shd w:val="clear" w:color="auto" w:fill="auto"/>
          </w:tcPr>
          <w:p w14:paraId="45686450" w14:textId="24715BB0"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72</w:t>
            </w:r>
          </w:p>
        </w:tc>
        <w:tc>
          <w:tcPr>
            <w:tcW w:w="992" w:type="dxa"/>
            <w:vMerge w:val="restart"/>
            <w:shd w:val="clear" w:color="auto" w:fill="auto"/>
            <w:vAlign w:val="center"/>
          </w:tcPr>
          <w:p w14:paraId="50DD1B8A" w14:textId="46610831" w:rsidR="00AF0DA7" w:rsidRPr="00805B2C" w:rsidRDefault="008F5252" w:rsidP="00306919">
            <w:pPr>
              <w:jc w:val="center"/>
              <w:textAlignment w:val="baseline"/>
              <w:rPr>
                <w:rFonts w:ascii="Times New Roman" w:hAnsi="Times New Roman"/>
                <w:bCs/>
                <w:sz w:val="20"/>
                <w:szCs w:val="20"/>
              </w:rPr>
            </w:pPr>
            <w:r w:rsidRPr="00805B2C">
              <w:rPr>
                <w:rFonts w:ascii="Times New Roman" w:hAnsi="Times New Roman"/>
                <w:bCs/>
                <w:sz w:val="20"/>
                <w:szCs w:val="20"/>
              </w:rPr>
              <w:t>58</w:t>
            </w:r>
          </w:p>
        </w:tc>
      </w:tr>
      <w:tr w:rsidR="00AF0DA7" w:rsidRPr="00805B2C" w14:paraId="7BD7D67C" w14:textId="77777777" w:rsidTr="000106B8">
        <w:tc>
          <w:tcPr>
            <w:tcW w:w="817" w:type="dxa"/>
            <w:vMerge/>
            <w:shd w:val="clear" w:color="auto" w:fill="auto"/>
          </w:tcPr>
          <w:p w14:paraId="531DFBA8" w14:textId="77777777" w:rsidR="00AF0DA7" w:rsidRPr="00805B2C" w:rsidRDefault="00AF0DA7" w:rsidP="00306919">
            <w:pPr>
              <w:jc w:val="both"/>
              <w:textAlignment w:val="baseline"/>
              <w:rPr>
                <w:rFonts w:ascii="Times New Roman" w:hAnsi="Times New Roman"/>
                <w:bCs/>
                <w:sz w:val="20"/>
                <w:szCs w:val="20"/>
              </w:rPr>
            </w:pPr>
          </w:p>
        </w:tc>
        <w:tc>
          <w:tcPr>
            <w:tcW w:w="766" w:type="dxa"/>
            <w:shd w:val="clear" w:color="auto" w:fill="auto"/>
          </w:tcPr>
          <w:p w14:paraId="404C508C" w14:textId="77777777" w:rsidR="00AF0DA7" w:rsidRPr="00805B2C" w:rsidRDefault="00AF0DA7" w:rsidP="00306919">
            <w:pPr>
              <w:jc w:val="both"/>
              <w:textAlignment w:val="baseline"/>
              <w:rPr>
                <w:rFonts w:ascii="Times New Roman" w:hAnsi="Times New Roman"/>
                <w:bCs/>
                <w:sz w:val="20"/>
                <w:szCs w:val="20"/>
              </w:rPr>
            </w:pPr>
            <w:r w:rsidRPr="00805B2C">
              <w:rPr>
                <w:rFonts w:ascii="Times New Roman" w:hAnsi="Times New Roman"/>
                <w:bCs/>
                <w:sz w:val="20"/>
                <w:szCs w:val="20"/>
              </w:rPr>
              <w:t>Low</w:t>
            </w:r>
          </w:p>
        </w:tc>
        <w:tc>
          <w:tcPr>
            <w:tcW w:w="793" w:type="dxa"/>
            <w:shd w:val="clear" w:color="auto" w:fill="auto"/>
          </w:tcPr>
          <w:p w14:paraId="4ABACFA5"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8</w:t>
            </w:r>
          </w:p>
        </w:tc>
        <w:tc>
          <w:tcPr>
            <w:tcW w:w="1544" w:type="dxa"/>
            <w:shd w:val="clear" w:color="auto" w:fill="auto"/>
          </w:tcPr>
          <w:p w14:paraId="7BBCBD09" w14:textId="77777777" w:rsidR="00AF0DA7" w:rsidRPr="00805B2C" w:rsidRDefault="00AF0DA7" w:rsidP="00306919">
            <w:pPr>
              <w:jc w:val="both"/>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697" w:type="dxa"/>
            <w:shd w:val="clear" w:color="auto" w:fill="auto"/>
          </w:tcPr>
          <w:p w14:paraId="12AD0925" w14:textId="77777777" w:rsidR="00AF0DA7" w:rsidRPr="00805B2C" w:rsidRDefault="00AF0DA7" w:rsidP="00306919">
            <w:pPr>
              <w:jc w:val="center"/>
              <w:textAlignment w:val="baseline"/>
              <w:rPr>
                <w:rFonts w:ascii="Times New Roman" w:hAnsi="Times New Roman"/>
                <w:bCs/>
                <w:sz w:val="20"/>
                <w:szCs w:val="20"/>
              </w:rPr>
            </w:pPr>
            <w:r w:rsidRPr="00805B2C">
              <w:rPr>
                <w:rFonts w:ascii="Times New Roman" w:hAnsi="Times New Roman"/>
                <w:bCs/>
                <w:sz w:val="20"/>
                <w:szCs w:val="20"/>
              </w:rPr>
              <w:t>13</w:t>
            </w:r>
          </w:p>
        </w:tc>
        <w:tc>
          <w:tcPr>
            <w:tcW w:w="878" w:type="dxa"/>
            <w:vMerge/>
            <w:shd w:val="clear" w:color="auto" w:fill="auto"/>
          </w:tcPr>
          <w:p w14:paraId="1344821F" w14:textId="77777777" w:rsidR="00AF0DA7" w:rsidRPr="00805B2C" w:rsidRDefault="00AF0DA7" w:rsidP="00306919">
            <w:pPr>
              <w:jc w:val="both"/>
              <w:textAlignment w:val="baseline"/>
              <w:rPr>
                <w:rFonts w:ascii="Times New Roman" w:hAnsi="Times New Roman"/>
                <w:bCs/>
                <w:sz w:val="20"/>
                <w:szCs w:val="20"/>
              </w:rPr>
            </w:pPr>
          </w:p>
        </w:tc>
        <w:tc>
          <w:tcPr>
            <w:tcW w:w="943" w:type="dxa"/>
            <w:shd w:val="clear" w:color="auto" w:fill="auto"/>
          </w:tcPr>
          <w:p w14:paraId="4640A326" w14:textId="77777777" w:rsidR="00AF0DA7" w:rsidRPr="00805B2C" w:rsidRDefault="00AF0DA7" w:rsidP="00306919">
            <w:pPr>
              <w:jc w:val="both"/>
              <w:textAlignment w:val="baseline"/>
              <w:rPr>
                <w:rFonts w:ascii="Times New Roman" w:hAnsi="Times New Roman"/>
                <w:bCs/>
                <w:sz w:val="20"/>
                <w:szCs w:val="20"/>
              </w:rPr>
            </w:pPr>
            <w:r w:rsidRPr="00805B2C">
              <w:rPr>
                <w:rFonts w:ascii="Times New Roman" w:hAnsi="Times New Roman"/>
                <w:bCs/>
                <w:sz w:val="20"/>
                <w:szCs w:val="20"/>
              </w:rPr>
              <w:t>Low</w:t>
            </w:r>
          </w:p>
        </w:tc>
        <w:tc>
          <w:tcPr>
            <w:tcW w:w="758" w:type="dxa"/>
            <w:shd w:val="clear" w:color="auto" w:fill="auto"/>
          </w:tcPr>
          <w:p w14:paraId="38BFB203" w14:textId="48E00025"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25</w:t>
            </w:r>
          </w:p>
        </w:tc>
        <w:tc>
          <w:tcPr>
            <w:tcW w:w="1509" w:type="dxa"/>
            <w:shd w:val="clear" w:color="auto" w:fill="auto"/>
          </w:tcPr>
          <w:p w14:paraId="2D1CE253" w14:textId="77777777" w:rsidR="00AF0DA7" w:rsidRPr="00805B2C" w:rsidRDefault="00AF0DA7" w:rsidP="00306919">
            <w:pPr>
              <w:jc w:val="both"/>
              <w:textAlignment w:val="baseline"/>
              <w:rPr>
                <w:rFonts w:ascii="Times New Roman" w:hAnsi="Times New Roman"/>
                <w:bCs/>
                <w:sz w:val="20"/>
                <w:szCs w:val="20"/>
              </w:rPr>
            </w:pPr>
            <w:r w:rsidRPr="00805B2C">
              <w:rPr>
                <w:rFonts w:ascii="Times New Roman" w:hAnsi="Times New Roman"/>
                <w:bCs/>
                <w:sz w:val="20"/>
                <w:szCs w:val="20"/>
              </w:rPr>
              <w:t>Non-intervention</w:t>
            </w:r>
          </w:p>
        </w:tc>
        <w:tc>
          <w:tcPr>
            <w:tcW w:w="759" w:type="dxa"/>
            <w:shd w:val="clear" w:color="auto" w:fill="auto"/>
          </w:tcPr>
          <w:p w14:paraId="48235DB2" w14:textId="7AAD478F" w:rsidR="00AF0DA7" w:rsidRPr="00805B2C" w:rsidRDefault="00634C66" w:rsidP="00306919">
            <w:pPr>
              <w:jc w:val="center"/>
              <w:textAlignment w:val="baseline"/>
              <w:rPr>
                <w:rFonts w:ascii="Times New Roman" w:hAnsi="Times New Roman"/>
                <w:bCs/>
                <w:sz w:val="20"/>
                <w:szCs w:val="20"/>
              </w:rPr>
            </w:pPr>
            <w:r w:rsidRPr="00805B2C">
              <w:rPr>
                <w:rFonts w:ascii="Times New Roman" w:hAnsi="Times New Roman"/>
                <w:bCs/>
                <w:sz w:val="20"/>
                <w:szCs w:val="20"/>
              </w:rPr>
              <w:t>50</w:t>
            </w:r>
          </w:p>
        </w:tc>
        <w:tc>
          <w:tcPr>
            <w:tcW w:w="992" w:type="dxa"/>
            <w:vMerge/>
            <w:shd w:val="clear" w:color="auto" w:fill="auto"/>
          </w:tcPr>
          <w:p w14:paraId="0FCE63D0" w14:textId="77777777" w:rsidR="00AF0DA7" w:rsidRPr="00805B2C" w:rsidRDefault="00AF0DA7" w:rsidP="00306919">
            <w:pPr>
              <w:jc w:val="both"/>
              <w:textAlignment w:val="baseline"/>
              <w:rPr>
                <w:rFonts w:ascii="Times New Roman" w:hAnsi="Times New Roman"/>
                <w:bCs/>
                <w:sz w:val="20"/>
                <w:szCs w:val="20"/>
              </w:rPr>
            </w:pPr>
          </w:p>
        </w:tc>
      </w:tr>
    </w:tbl>
    <w:p w14:paraId="5027EF12" w14:textId="02B8805B" w:rsidR="00D704B2" w:rsidRPr="00805B2C" w:rsidRDefault="009E717D" w:rsidP="00AF0DA7">
      <w:pPr>
        <w:shd w:val="clear" w:color="auto" w:fill="FFFFFF"/>
        <w:jc w:val="both"/>
        <w:textAlignment w:val="baseline"/>
        <w:rPr>
          <w:rFonts w:ascii="Times New Roman" w:hAnsi="Times New Roman"/>
          <w:bCs/>
          <w:color w:val="FF0000"/>
          <w:sz w:val="20"/>
          <w:szCs w:val="20"/>
        </w:rPr>
      </w:pPr>
      <w:r w:rsidRPr="00805B2C">
        <w:rPr>
          <w:rFonts w:ascii="Times New Roman" w:hAnsi="Times New Roman"/>
          <w:bCs/>
          <w:noProof/>
          <w:color w:val="FF0000"/>
          <w:sz w:val="20"/>
          <w:szCs w:val="20"/>
          <w:lang w:val="en-IN" w:eastAsia="en-IN"/>
        </w:rPr>
        <w:drawing>
          <wp:inline distT="0" distB="0" distL="0" distR="0" wp14:anchorId="5EB79418" wp14:editId="7B20CDC4">
            <wp:extent cx="5760720" cy="345630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jpeg"/>
                    <pic:cNvPicPr/>
                  </pic:nvPicPr>
                  <pic:blipFill>
                    <a:blip r:embed="rId9">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55F4D44D" w14:textId="4F07C3CD" w:rsidR="000D3E7F" w:rsidRPr="00805B2C" w:rsidRDefault="00AF0DA7" w:rsidP="000D3E7F">
      <w:pPr>
        <w:shd w:val="clear" w:color="auto" w:fill="FFFFFF"/>
        <w:jc w:val="both"/>
        <w:textAlignment w:val="baseline"/>
        <w:rPr>
          <w:rFonts w:ascii="Times New Roman" w:hAnsi="Times New Roman"/>
          <w:bCs/>
          <w:sz w:val="20"/>
          <w:szCs w:val="20"/>
        </w:rPr>
      </w:pPr>
      <w:r w:rsidRPr="00805B2C">
        <w:rPr>
          <w:rFonts w:ascii="Times New Roman" w:hAnsi="Times New Roman"/>
          <w:b/>
          <w:bCs/>
          <w:sz w:val="20"/>
          <w:szCs w:val="20"/>
        </w:rPr>
        <w:t xml:space="preserve">Figure S5. Temporal and geographic patterns in malaria, before and after adjustments, among children under five. </w:t>
      </w:r>
      <w:r w:rsidRPr="00805B2C">
        <w:rPr>
          <w:rFonts w:ascii="Times New Roman" w:hAnsi="Times New Roman"/>
          <w:bCs/>
          <w:sz w:val="20"/>
          <w:szCs w:val="20"/>
        </w:rPr>
        <w:t>The top two panels show the average monthly cases per 1000 population over time, with colors representing the PIVOT intervention (orange) and non-intervention (teal) Fokontany, (A) before and (B) after adjustments</w:t>
      </w:r>
      <w:r w:rsidRPr="00805B2C">
        <w:rPr>
          <w:rFonts w:ascii="Times New Roman" w:hAnsi="Times New Roman"/>
          <w:sz w:val="20"/>
          <w:szCs w:val="20"/>
        </w:rPr>
        <w:t xml:space="preserve"> </w:t>
      </w:r>
      <w:r w:rsidRPr="00805B2C">
        <w:rPr>
          <w:rFonts w:ascii="Times New Roman" w:hAnsi="Times New Roman"/>
          <w:bCs/>
          <w:sz w:val="20"/>
          <w:szCs w:val="20"/>
        </w:rPr>
        <w:t xml:space="preserve">in the most plausible dataset. The vertical dashed lines indicate the date (October 2014) when user fees were removed from health centers in PIVOT intervention Fokontany. The bottom two panels show the average monthly malaria cases per 1000 population in each Fokontany by distance to the nearest health center, (C) before and (D) after adjustments for health care access. Solid lines are the smoothed conditional means (LOESS method) and grey areas are the 95% confidence interval around the mean. </w:t>
      </w:r>
      <w:r w:rsidR="000D3E7F" w:rsidRPr="00805B2C">
        <w:rPr>
          <w:rFonts w:ascii="Times New Roman" w:hAnsi="Times New Roman"/>
          <w:bCs/>
          <w:sz w:val="20"/>
          <w:szCs w:val="20"/>
        </w:rPr>
        <w:t xml:space="preserve">To improve visualization, </w:t>
      </w:r>
      <w:r w:rsidR="00AB1513" w:rsidRPr="00805B2C">
        <w:rPr>
          <w:rFonts w:ascii="Times New Roman" w:hAnsi="Times New Roman"/>
          <w:bCs/>
          <w:sz w:val="20"/>
          <w:szCs w:val="20"/>
        </w:rPr>
        <w:t xml:space="preserve">1 dot was removed from panel C. </w:t>
      </w:r>
    </w:p>
    <w:p w14:paraId="2F7D9026" w14:textId="77777777" w:rsidR="00AF0DA7" w:rsidRPr="00805B2C" w:rsidRDefault="00AF0DA7" w:rsidP="00AF0DA7">
      <w:pPr>
        <w:shd w:val="clear" w:color="auto" w:fill="FFFFFF"/>
        <w:jc w:val="both"/>
        <w:textAlignment w:val="baseline"/>
        <w:rPr>
          <w:rFonts w:ascii="Times New Roman" w:hAnsi="Times New Roman"/>
          <w:b/>
          <w:bCs/>
          <w:sz w:val="20"/>
          <w:szCs w:val="20"/>
        </w:rPr>
      </w:pPr>
    </w:p>
    <w:p w14:paraId="4FFC6D85" w14:textId="22026CD9" w:rsidR="00873F18" w:rsidRPr="00805B2C" w:rsidRDefault="00873F18" w:rsidP="00AF0DA7">
      <w:pPr>
        <w:shd w:val="clear" w:color="auto" w:fill="FFFFFF"/>
        <w:jc w:val="both"/>
        <w:textAlignment w:val="baseline"/>
        <w:rPr>
          <w:rFonts w:ascii="Times New Roman" w:hAnsi="Times New Roman"/>
          <w:b/>
          <w:bCs/>
          <w:sz w:val="20"/>
          <w:szCs w:val="20"/>
        </w:rPr>
      </w:pPr>
      <w:r w:rsidRPr="00805B2C">
        <w:rPr>
          <w:rFonts w:ascii="Times New Roman" w:hAnsi="Times New Roman"/>
          <w:b/>
          <w:bCs/>
          <w:sz w:val="20"/>
          <w:szCs w:val="20"/>
        </w:rPr>
        <w:br w:type="column"/>
      </w:r>
    </w:p>
    <w:p w14:paraId="7F0FDFC3" w14:textId="04D1D8EF" w:rsidR="00AF0DA7" w:rsidRPr="00805B2C" w:rsidRDefault="00C93B30" w:rsidP="00AF0DA7">
      <w:pPr>
        <w:shd w:val="clear" w:color="auto" w:fill="FFFFFF"/>
        <w:jc w:val="both"/>
        <w:textAlignment w:val="baseline"/>
        <w:rPr>
          <w:rFonts w:ascii="Times New Roman" w:hAnsi="Times New Roman"/>
          <w:bCs/>
          <w:color w:val="FF0000"/>
          <w:sz w:val="20"/>
          <w:szCs w:val="20"/>
        </w:rPr>
      </w:pPr>
      <w:r w:rsidRPr="00805B2C">
        <w:rPr>
          <w:rFonts w:ascii="Times New Roman" w:hAnsi="Times New Roman"/>
          <w:bCs/>
          <w:noProof/>
          <w:color w:val="FF0000"/>
          <w:sz w:val="20"/>
          <w:szCs w:val="20"/>
          <w:lang w:val="en-IN" w:eastAsia="en-IN"/>
        </w:rPr>
        <w:drawing>
          <wp:inline distT="0" distB="0" distL="0" distR="0" wp14:anchorId="1B7921F2" wp14:editId="52994103">
            <wp:extent cx="5635314" cy="2710815"/>
            <wp:effectExtent l="0" t="0" r="381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5-01 at 8.14.07 AM.png"/>
                    <pic:cNvPicPr/>
                  </pic:nvPicPr>
                  <pic:blipFill>
                    <a:blip r:embed="rId10">
                      <a:extLst>
                        <a:ext uri="{28A0092B-C50C-407E-A947-70E740481C1C}">
                          <a14:useLocalDpi xmlns:a14="http://schemas.microsoft.com/office/drawing/2010/main" val="0"/>
                        </a:ext>
                      </a:extLst>
                    </a:blip>
                    <a:stretch>
                      <a:fillRect/>
                    </a:stretch>
                  </pic:blipFill>
                  <pic:spPr>
                    <a:xfrm>
                      <a:off x="0" y="0"/>
                      <a:ext cx="5636432" cy="2711353"/>
                    </a:xfrm>
                    <a:prstGeom prst="rect">
                      <a:avLst/>
                    </a:prstGeom>
                  </pic:spPr>
                </pic:pic>
              </a:graphicData>
            </a:graphic>
          </wp:inline>
        </w:drawing>
      </w:r>
    </w:p>
    <w:p w14:paraId="1F083381" w14:textId="74F401F8" w:rsidR="00AF0DA7" w:rsidRPr="00805B2C" w:rsidRDefault="00873F18" w:rsidP="00AF0DA7">
      <w:pPr>
        <w:shd w:val="clear" w:color="auto" w:fill="FFFFFF"/>
        <w:jc w:val="both"/>
        <w:textAlignment w:val="baseline"/>
        <w:rPr>
          <w:rFonts w:ascii="Times New Roman" w:hAnsi="Times New Roman"/>
          <w:bCs/>
          <w:sz w:val="20"/>
          <w:szCs w:val="20"/>
        </w:rPr>
      </w:pPr>
      <w:r w:rsidRPr="00805B2C">
        <w:rPr>
          <w:rFonts w:ascii="Times New Roman" w:hAnsi="Times New Roman"/>
          <w:bCs/>
          <w:noProof/>
          <w:color w:val="FF0000"/>
          <w:sz w:val="20"/>
          <w:szCs w:val="20"/>
          <w:lang w:val="en-IN" w:eastAsia="en-IN"/>
        </w:rPr>
        <w:drawing>
          <wp:inline distT="0" distB="0" distL="0" distR="0" wp14:anchorId="2FDBAA7F" wp14:editId="07DBF487">
            <wp:extent cx="5760720" cy="3015615"/>
            <wp:effectExtent l="0" t="0" r="508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5-01 at 8.20.54 AM.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015615"/>
                    </a:xfrm>
                    <a:prstGeom prst="rect">
                      <a:avLst/>
                    </a:prstGeom>
                  </pic:spPr>
                </pic:pic>
              </a:graphicData>
            </a:graphic>
          </wp:inline>
        </w:drawing>
      </w:r>
    </w:p>
    <w:p w14:paraId="18AC927D" w14:textId="77777777" w:rsidR="00AF0DA7" w:rsidRPr="00805B2C" w:rsidRDefault="00AF0DA7" w:rsidP="00AF0DA7">
      <w:pPr>
        <w:shd w:val="clear" w:color="auto" w:fill="FFFFFF"/>
        <w:jc w:val="both"/>
        <w:textAlignment w:val="baseline"/>
        <w:rPr>
          <w:rFonts w:ascii="Times New Roman" w:hAnsi="Times New Roman"/>
          <w:bCs/>
          <w:sz w:val="20"/>
          <w:szCs w:val="20"/>
        </w:rPr>
      </w:pPr>
      <w:r w:rsidRPr="00805B2C">
        <w:rPr>
          <w:rFonts w:ascii="Times New Roman" w:hAnsi="Times New Roman"/>
          <w:b/>
          <w:bCs/>
          <w:sz w:val="20"/>
          <w:szCs w:val="20"/>
        </w:rPr>
        <w:t xml:space="preserve">Figure S6: Temporal and spatial dynamics of adjusted monthly malaria incidence among children under five in Ifanadiana, 2014-2017. </w:t>
      </w:r>
      <w:r w:rsidRPr="00805B2C">
        <w:rPr>
          <w:rFonts w:ascii="Times New Roman" w:hAnsi="Times New Roman"/>
          <w:bCs/>
          <w:sz w:val="20"/>
          <w:szCs w:val="20"/>
        </w:rPr>
        <w:t>(A)</w:t>
      </w:r>
      <w:r w:rsidRPr="00805B2C">
        <w:rPr>
          <w:rFonts w:ascii="Times New Roman" w:hAnsi="Times New Roman"/>
          <w:b/>
          <w:bCs/>
          <w:sz w:val="20"/>
          <w:szCs w:val="20"/>
        </w:rPr>
        <w:t xml:space="preserve"> </w:t>
      </w:r>
      <w:r w:rsidRPr="00805B2C">
        <w:rPr>
          <w:rFonts w:ascii="Times New Roman" w:hAnsi="Times New Roman"/>
          <w:bCs/>
          <w:sz w:val="20"/>
          <w:szCs w:val="20"/>
        </w:rPr>
        <w:t>Average number of new cases per 1000 population of all ages per month in the most plausible adjusted dataset (orange) and before adjustment (teal). (B) Geographic distribution of malaria, averaged over all months (left), high season months (December to May; center), and low season months (June to November; right).</w:t>
      </w:r>
      <w:r w:rsidRPr="00805B2C">
        <w:rPr>
          <w:rFonts w:ascii="Times New Roman" w:hAnsi="Times New Roman"/>
          <w:b/>
          <w:bCs/>
          <w:sz w:val="20"/>
          <w:szCs w:val="20"/>
        </w:rPr>
        <w:t xml:space="preserve"> </w:t>
      </w:r>
      <w:r w:rsidRPr="00805B2C">
        <w:rPr>
          <w:rFonts w:ascii="Times New Roman" w:hAnsi="Times New Roman"/>
          <w:bCs/>
          <w:sz w:val="20"/>
          <w:szCs w:val="20"/>
        </w:rPr>
        <w:t xml:space="preserve">Color gradient represents average monthly malaria incidence per 1000 population. </w:t>
      </w:r>
    </w:p>
    <w:p w14:paraId="2F7C88D9" w14:textId="77777777" w:rsidR="00E92083" w:rsidRPr="00805B2C" w:rsidRDefault="00E92083">
      <w:pPr>
        <w:rPr>
          <w:rFonts w:ascii="Times New Roman" w:hAnsi="Times New Roman"/>
          <w:sz w:val="20"/>
          <w:szCs w:val="20"/>
        </w:rPr>
      </w:pPr>
    </w:p>
    <w:sectPr w:rsidR="00E92083" w:rsidRPr="00805B2C" w:rsidSect="00A60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News Gothic MT">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C11B2"/>
    <w:multiLevelType w:val="hybridMultilevel"/>
    <w:tmpl w:val="438CAD74"/>
    <w:lvl w:ilvl="0" w:tplc="7FFA1822">
      <w:start w:val="2"/>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DA7"/>
    <w:rsid w:val="000106B8"/>
    <w:rsid w:val="00012CD0"/>
    <w:rsid w:val="000319F7"/>
    <w:rsid w:val="0005277A"/>
    <w:rsid w:val="00053DD1"/>
    <w:rsid w:val="00087BC6"/>
    <w:rsid w:val="00092298"/>
    <w:rsid w:val="000C28A7"/>
    <w:rsid w:val="000C3E6A"/>
    <w:rsid w:val="000D3E7F"/>
    <w:rsid w:val="001127B1"/>
    <w:rsid w:val="001A5BBC"/>
    <w:rsid w:val="001C5559"/>
    <w:rsid w:val="001C56E6"/>
    <w:rsid w:val="001C5E48"/>
    <w:rsid w:val="001F5092"/>
    <w:rsid w:val="00215986"/>
    <w:rsid w:val="00277BF3"/>
    <w:rsid w:val="002933FE"/>
    <w:rsid w:val="002B6FA9"/>
    <w:rsid w:val="002E7725"/>
    <w:rsid w:val="002F3C6A"/>
    <w:rsid w:val="002F69A2"/>
    <w:rsid w:val="00306919"/>
    <w:rsid w:val="003574B8"/>
    <w:rsid w:val="00366AB0"/>
    <w:rsid w:val="003B024B"/>
    <w:rsid w:val="003D57A6"/>
    <w:rsid w:val="003F7530"/>
    <w:rsid w:val="004223F4"/>
    <w:rsid w:val="00461F9F"/>
    <w:rsid w:val="004775C9"/>
    <w:rsid w:val="00482F9B"/>
    <w:rsid w:val="004D775C"/>
    <w:rsid w:val="004E184E"/>
    <w:rsid w:val="004E329A"/>
    <w:rsid w:val="00502E3A"/>
    <w:rsid w:val="00514535"/>
    <w:rsid w:val="00516CF7"/>
    <w:rsid w:val="0055646F"/>
    <w:rsid w:val="00563E55"/>
    <w:rsid w:val="005B448E"/>
    <w:rsid w:val="005B64E6"/>
    <w:rsid w:val="005D2CCF"/>
    <w:rsid w:val="00615932"/>
    <w:rsid w:val="00633A75"/>
    <w:rsid w:val="00634C66"/>
    <w:rsid w:val="006461C2"/>
    <w:rsid w:val="006528BA"/>
    <w:rsid w:val="00681D05"/>
    <w:rsid w:val="006B19AA"/>
    <w:rsid w:val="006C5F67"/>
    <w:rsid w:val="006C6D02"/>
    <w:rsid w:val="006D6E62"/>
    <w:rsid w:val="00761224"/>
    <w:rsid w:val="0077316E"/>
    <w:rsid w:val="00775C42"/>
    <w:rsid w:val="007A0024"/>
    <w:rsid w:val="007A5614"/>
    <w:rsid w:val="007B2075"/>
    <w:rsid w:val="007B6208"/>
    <w:rsid w:val="007C37D3"/>
    <w:rsid w:val="00805B2C"/>
    <w:rsid w:val="008110C1"/>
    <w:rsid w:val="0082375A"/>
    <w:rsid w:val="00873F18"/>
    <w:rsid w:val="00891F0F"/>
    <w:rsid w:val="008A0487"/>
    <w:rsid w:val="008D0EAC"/>
    <w:rsid w:val="008F5252"/>
    <w:rsid w:val="00927950"/>
    <w:rsid w:val="00947B21"/>
    <w:rsid w:val="009738B8"/>
    <w:rsid w:val="009938BA"/>
    <w:rsid w:val="00997ABA"/>
    <w:rsid w:val="009C2E3F"/>
    <w:rsid w:val="009D3E32"/>
    <w:rsid w:val="009E717D"/>
    <w:rsid w:val="009F2E6B"/>
    <w:rsid w:val="009F45FA"/>
    <w:rsid w:val="00A163CB"/>
    <w:rsid w:val="00A34A25"/>
    <w:rsid w:val="00A60000"/>
    <w:rsid w:val="00A63B6E"/>
    <w:rsid w:val="00A65758"/>
    <w:rsid w:val="00AA169E"/>
    <w:rsid w:val="00AB1513"/>
    <w:rsid w:val="00AC6536"/>
    <w:rsid w:val="00AD1808"/>
    <w:rsid w:val="00AF0DA7"/>
    <w:rsid w:val="00B03901"/>
    <w:rsid w:val="00B10813"/>
    <w:rsid w:val="00B1476D"/>
    <w:rsid w:val="00B35602"/>
    <w:rsid w:val="00B63E50"/>
    <w:rsid w:val="00C93B30"/>
    <w:rsid w:val="00CA5879"/>
    <w:rsid w:val="00CB0020"/>
    <w:rsid w:val="00CD4D6F"/>
    <w:rsid w:val="00CE1DF4"/>
    <w:rsid w:val="00D14189"/>
    <w:rsid w:val="00D43181"/>
    <w:rsid w:val="00D704B2"/>
    <w:rsid w:val="00DB6E34"/>
    <w:rsid w:val="00DC2428"/>
    <w:rsid w:val="00DD3148"/>
    <w:rsid w:val="00DE5EDD"/>
    <w:rsid w:val="00DF249B"/>
    <w:rsid w:val="00DF586D"/>
    <w:rsid w:val="00E10936"/>
    <w:rsid w:val="00E62994"/>
    <w:rsid w:val="00E92083"/>
    <w:rsid w:val="00EE2EAC"/>
    <w:rsid w:val="00F14A55"/>
    <w:rsid w:val="00F20886"/>
    <w:rsid w:val="00F34B51"/>
    <w:rsid w:val="00F4455B"/>
    <w:rsid w:val="00F63605"/>
    <w:rsid w:val="00F65538"/>
    <w:rsid w:val="00F83422"/>
    <w:rsid w:val="00FB3796"/>
    <w:rsid w:val="00FF67A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2C063A"/>
  <w15:docId w15:val="{84099D2D-BA7B-44FE-99C7-63B0D8FE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DA7"/>
    <w:pPr>
      <w:spacing w:after="0" w:line="240" w:lineRule="auto"/>
    </w:pPr>
    <w:rPr>
      <w:rFonts w:ascii="News Gothic MT" w:eastAsia="MS Mincho" w:hAnsi="News Gothic MT"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DA7"/>
    <w:pPr>
      <w:ind w:left="720"/>
      <w:contextualSpacing/>
    </w:pPr>
  </w:style>
  <w:style w:type="character" w:styleId="CommentReference">
    <w:name w:val="annotation reference"/>
    <w:uiPriority w:val="99"/>
    <w:semiHidden/>
    <w:unhideWhenUsed/>
    <w:rsid w:val="00AF0DA7"/>
    <w:rPr>
      <w:sz w:val="18"/>
      <w:szCs w:val="18"/>
    </w:rPr>
  </w:style>
  <w:style w:type="paragraph" w:styleId="CommentText">
    <w:name w:val="annotation text"/>
    <w:basedOn w:val="Normal"/>
    <w:link w:val="CommentTextChar"/>
    <w:uiPriority w:val="99"/>
    <w:unhideWhenUsed/>
    <w:rsid w:val="00AF0DA7"/>
    <w:rPr>
      <w:sz w:val="24"/>
      <w:szCs w:val="24"/>
    </w:rPr>
  </w:style>
  <w:style w:type="character" w:customStyle="1" w:styleId="CommentTextChar">
    <w:name w:val="Comment Text Char"/>
    <w:basedOn w:val="DefaultParagraphFont"/>
    <w:link w:val="CommentText"/>
    <w:uiPriority w:val="99"/>
    <w:rsid w:val="00AF0DA7"/>
    <w:rPr>
      <w:rFonts w:ascii="News Gothic MT" w:eastAsia="MS Mincho" w:hAnsi="News Gothic MT" w:cs="Times New Roman"/>
      <w:sz w:val="24"/>
      <w:szCs w:val="24"/>
      <w:lang w:val="en-US"/>
    </w:rPr>
  </w:style>
  <w:style w:type="paragraph" w:styleId="BalloonText">
    <w:name w:val="Balloon Text"/>
    <w:basedOn w:val="Normal"/>
    <w:link w:val="BalloonTextChar"/>
    <w:uiPriority w:val="99"/>
    <w:semiHidden/>
    <w:unhideWhenUsed/>
    <w:rsid w:val="00AF0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DA7"/>
    <w:rPr>
      <w:rFonts w:ascii="Segoe UI" w:eastAsia="MS Mincho"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7C37D3"/>
    <w:rPr>
      <w:b/>
      <w:bCs/>
      <w:sz w:val="20"/>
      <w:szCs w:val="20"/>
    </w:rPr>
  </w:style>
  <w:style w:type="character" w:customStyle="1" w:styleId="CommentSubjectChar">
    <w:name w:val="Comment Subject Char"/>
    <w:basedOn w:val="CommentTextChar"/>
    <w:link w:val="CommentSubject"/>
    <w:uiPriority w:val="99"/>
    <w:semiHidden/>
    <w:rsid w:val="007C37D3"/>
    <w:rPr>
      <w:rFonts w:ascii="News Gothic MT" w:eastAsia="MS Mincho" w:hAnsi="News Gothic MT"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1276</Words>
  <Characters>7278</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IRD</Company>
  <LinksUpToDate>false</LinksUpToDate>
  <CharactersWithSpaces>8537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Garchitorena</dc:creator>
  <cp:keywords/>
  <dc:description/>
  <cp:lastModifiedBy>Rajalakshmi</cp:lastModifiedBy>
  <cp:revision>8</cp:revision>
  <dcterms:created xsi:type="dcterms:W3CDTF">2020-06-30T07:27:00Z</dcterms:created>
  <dcterms:modified xsi:type="dcterms:W3CDTF">2021-01-21T14:10:00Z</dcterms:modified>
</cp:coreProperties>
</file>