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BDA" w:rsidRPr="003C337E" w:rsidRDefault="00386517" w:rsidP="00A44BDA">
      <w:pPr>
        <w:pStyle w:val="Geenafstand"/>
        <w:spacing w:before="240" w:line="480" w:lineRule="auto"/>
        <w:rPr>
          <w:rFonts w:ascii="Times New Roman" w:hAnsi="Times New Roman" w:cs="Times New Roman"/>
          <w:b/>
          <w:sz w:val="24"/>
          <w:szCs w:val="24"/>
          <w:lang w:val="en-GB"/>
        </w:rPr>
      </w:pPr>
      <w:bookmarkStart w:id="0" w:name="_GoBack"/>
      <w:r>
        <w:rPr>
          <w:rFonts w:ascii="Times New Roman" w:hAnsi="Times New Roman" w:cs="Times New Roman"/>
          <w:b/>
          <w:sz w:val="24"/>
          <w:szCs w:val="24"/>
          <w:lang w:val="en-GB"/>
        </w:rPr>
        <w:t>Additional file 1</w:t>
      </w:r>
      <w:r w:rsidR="00A44BDA">
        <w:rPr>
          <w:rFonts w:ascii="Times New Roman" w:hAnsi="Times New Roman" w:cs="Times New Roman"/>
          <w:b/>
          <w:sz w:val="24"/>
          <w:szCs w:val="24"/>
          <w:lang w:val="en-GB"/>
        </w:rPr>
        <w:t xml:space="preserve">. </w:t>
      </w:r>
      <w:bookmarkEnd w:id="0"/>
      <w:r w:rsidR="00A44BDA">
        <w:rPr>
          <w:rFonts w:ascii="Times New Roman" w:hAnsi="Times New Roman" w:cs="Times New Roman"/>
          <w:sz w:val="24"/>
          <w:szCs w:val="24"/>
          <w:lang w:val="en-GB"/>
        </w:rPr>
        <w:t>Detailed description of the spatial analysis</w:t>
      </w:r>
    </w:p>
    <w:p w:rsidR="00A44BDA" w:rsidRDefault="00A44BDA" w:rsidP="00A44BDA">
      <w:pPr>
        <w:pStyle w:val="Geenafstand"/>
        <w:spacing w:before="240"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For the spatial analysis we started with a general nesting spatial model (for a more detailed description of all available models see Vega and Elhorst</w:t>
      </w:r>
      <w:r>
        <w:rPr>
          <w:rFonts w:ascii="Times New Roman" w:hAnsi="Times New Roman" w:cs="Times New Roman"/>
          <w:sz w:val="24"/>
          <w:szCs w:val="24"/>
          <w:lang w:val="en-GB"/>
        </w:rPr>
        <w:fldChar w:fldCharType="begin" w:fldLock="1"/>
      </w:r>
      <w:r>
        <w:rPr>
          <w:rFonts w:ascii="Times New Roman" w:hAnsi="Times New Roman" w:cs="Times New Roman"/>
          <w:sz w:val="24"/>
          <w:szCs w:val="24"/>
          <w:lang w:val="en-GB"/>
        </w:rPr>
        <w:instrText>ADDIN CSL_CITATION {"citationItems":[{"id":"ITEM-1","itemData":{"DOI":"10.1111/jors.12188","ISSN":"14679787","abstract":"We provide a comprehensive overview of the strengths and weaknesses of different spatial econometric model specifications in terms of spillover effects. Based on this overview, we advocate taking the SLX model as point of departure in case a well-founded theory indicating which model is most appropriate is lacking. In contrast to other spatial econometric models, the SLX model also allows for the spatial weights matrix W to be parameterized and the application of standard econometric techniques to test for endogenous explanatory variables. This starkly contrasts commonly used spatial econometric specification strategies and is a complement to the critique of spatial econometrics raised in a special theme issue of the Journal of Regional Science (Volume 52, Issue 2). To illustrate the pitfalls of the standard spatial econometrics approach and the benefits of our proposed alternative approach in an empirical setting, the Baltagi and Li (2004) cigarette demand model is estimated.","author":[{"dropping-particle":"","family":"Halleck Vega","given":"Solmaria","non-dropping-particle":"","parse-names":false,"suffix":""},{"dropping-particle":"","family":"Elhorst","given":"J. Paul","non-dropping-particle":"","parse-names":false,"suffix":""}],"container-title":"Journal of Regional Science","id":"ITEM-1","issue":"3","issued":{"date-parts":[["2015"]]},"page":"339-363","title":"The slx model","type":"article-journal","volume":"55"},"uris":["http://www.mendeley.com/documents/?uuid=58a79e58-2124-4014-b337-ca89430d882c","http://www.mendeley.com/documents/?uuid=11075cf9-fc66-4c31-af5a-9b26f5a3fce9","http://www.mendeley.com/documents/?uuid=07f702da-8189-4171-85da-4825a8cca91e","http://www.mendeley.com/documents/?uuid=0d7a9011-9760-4793-872a-6722f0574ee7"]}],"mendeley":{"formattedCitation":"&lt;sup&gt;21&lt;/sup&gt;","plainTextFormattedCitation":"21","previouslyFormattedCitation":"&lt;sup&gt;21&lt;/sup&gt;"},"properties":{"noteIndex":0},"schema":"https://github.com/citation-style-language/schema/raw/master/csl-citation.json"}</w:instrText>
      </w:r>
      <w:r>
        <w:rPr>
          <w:rFonts w:ascii="Times New Roman" w:hAnsi="Times New Roman" w:cs="Times New Roman"/>
          <w:sz w:val="24"/>
          <w:szCs w:val="24"/>
          <w:lang w:val="en-GB"/>
        </w:rPr>
        <w:fldChar w:fldCharType="separate"/>
      </w:r>
      <w:r w:rsidRPr="000235E1">
        <w:rPr>
          <w:rFonts w:ascii="Times New Roman" w:hAnsi="Times New Roman" w:cs="Times New Roman"/>
          <w:noProof/>
          <w:sz w:val="24"/>
          <w:szCs w:val="24"/>
          <w:vertAlign w:val="superscript"/>
          <w:lang w:val="en-GB"/>
        </w:rPr>
        <w:t>21</w:t>
      </w:r>
      <w:r>
        <w:rPr>
          <w:rFonts w:ascii="Times New Roman" w:hAnsi="Times New Roman" w:cs="Times New Roman"/>
          <w:sz w:val="24"/>
          <w:szCs w:val="24"/>
          <w:lang w:val="en-GB"/>
        </w:rPr>
        <w:fldChar w:fldCharType="end"/>
      </w:r>
      <w:r>
        <w:rPr>
          <w:rFonts w:ascii="Times New Roman" w:hAnsi="Times New Roman" w:cs="Times New Roman"/>
          <w:sz w:val="24"/>
          <w:szCs w:val="24"/>
          <w:lang w:val="en-GB"/>
        </w:rPr>
        <w:t>). The general nesting spatial model takes the form</w:t>
      </w:r>
      <w:r>
        <w:rPr>
          <w:rFonts w:ascii="Times New Roman" w:hAnsi="Times New Roman" w:cs="Times New Roman"/>
          <w:sz w:val="24"/>
          <w:szCs w:val="24"/>
          <w:lang w:val="en-GB"/>
        </w:rPr>
        <w:br/>
      </w:r>
      <m:oMathPara>
        <m:oMath>
          <m:r>
            <w:rPr>
              <w:rFonts w:ascii="Cambria Math" w:hAnsi="Cambria Math" w:cs="Times New Roman"/>
              <w:sz w:val="24"/>
              <w:szCs w:val="24"/>
              <w:lang w:val="en-GB"/>
            </w:rPr>
            <m:t>Y=ρWY + α + Xβ + WXθ + u,</m:t>
          </m:r>
          <m:r>
            <m:rPr>
              <m:sty m:val="p"/>
            </m:rPr>
            <w:rPr>
              <w:rFonts w:ascii="Cambria Math" w:hAnsi="Cambria Math" w:cs="Times New Roman"/>
              <w:sz w:val="24"/>
              <w:szCs w:val="24"/>
              <w:lang w:val="en-GB"/>
            </w:rPr>
            <w:br/>
          </m:r>
        </m:oMath>
        <m:oMath>
          <m:r>
            <w:rPr>
              <w:rFonts w:ascii="Cambria Math" w:hAnsi="Cambria Math" w:cs="Times New Roman"/>
              <w:sz w:val="24"/>
              <w:szCs w:val="24"/>
              <w:lang w:val="en-GB"/>
            </w:rPr>
            <m:t>u = λWu + ε</m:t>
          </m:r>
          <m:r>
            <m:rPr>
              <m:sty m:val="p"/>
            </m:rPr>
            <w:rPr>
              <w:rFonts w:ascii="Cambria Math" w:hAnsi="Cambria Math" w:cs="Times New Roman"/>
              <w:sz w:val="24"/>
              <w:szCs w:val="24"/>
              <w:lang w:val="en-GB"/>
            </w:rPr>
            <w:br/>
          </m:r>
        </m:oMath>
      </m:oMathPara>
      <w:r>
        <w:rPr>
          <w:rFonts w:ascii="Times New Roman" w:hAnsi="Times New Roman" w:cs="Times New Roman"/>
          <w:sz w:val="24"/>
          <w:szCs w:val="24"/>
          <w:lang w:val="en-GB"/>
        </w:rPr>
        <w:t xml:space="preserve"> where the terms </w:t>
      </w:r>
      <w:r w:rsidRPr="005A6367">
        <w:rPr>
          <w:rFonts w:ascii="Times New Roman" w:hAnsi="Times New Roman" w:cs="Times New Roman"/>
          <w:i/>
          <w:iCs/>
          <w:sz w:val="24"/>
          <w:szCs w:val="24"/>
          <w:lang w:val="en-GB"/>
        </w:rPr>
        <w:t>Y</w:t>
      </w:r>
      <w:r>
        <w:rPr>
          <w:rFonts w:ascii="Times New Roman" w:hAnsi="Times New Roman" w:cs="Times New Roman"/>
          <w:sz w:val="24"/>
          <w:szCs w:val="24"/>
          <w:lang w:val="en-GB"/>
        </w:rPr>
        <w:t xml:space="preserve">, </w:t>
      </w:r>
      <m:oMath>
        <m:r>
          <w:rPr>
            <w:rFonts w:ascii="Cambria Math" w:hAnsi="Cambria Math" w:cs="Times New Roman"/>
            <w:sz w:val="24"/>
            <w:szCs w:val="24"/>
            <w:lang w:val="en-GB"/>
          </w:rPr>
          <m:t>α,</m:t>
        </m:r>
      </m:oMath>
      <w:r>
        <w:rPr>
          <w:rFonts w:ascii="Times New Roman" w:hAnsi="Times New Roman" w:cs="Times New Roman"/>
          <w:sz w:val="24"/>
          <w:szCs w:val="24"/>
          <w:lang w:val="en-GB"/>
        </w:rPr>
        <w:t xml:space="preserve"> </w:t>
      </w:r>
      <m:oMath>
        <m:r>
          <w:rPr>
            <w:rFonts w:ascii="Cambria Math" w:hAnsi="Cambria Math" w:cs="Times New Roman"/>
            <w:sz w:val="24"/>
            <w:szCs w:val="24"/>
            <w:lang w:val="en-GB"/>
          </w:rPr>
          <m:t xml:space="preserve">Xβ, </m:t>
        </m:r>
      </m:oMath>
      <w:r>
        <w:rPr>
          <w:rFonts w:ascii="Times New Roman" w:eastAsiaTheme="minorEastAsia" w:hAnsi="Times New Roman" w:cs="Times New Roman"/>
          <w:sz w:val="24"/>
          <w:szCs w:val="24"/>
          <w:lang w:val="en-GB"/>
        </w:rPr>
        <w:t xml:space="preserve">and </w:t>
      </w:r>
      <m:oMath>
        <m:r>
          <w:rPr>
            <w:rFonts w:ascii="Cambria Math" w:hAnsi="Cambria Math" w:cs="Times New Roman"/>
            <w:sz w:val="24"/>
            <w:szCs w:val="24"/>
            <w:lang w:val="en-GB"/>
          </w:rPr>
          <m:t>ε</m:t>
        </m:r>
      </m:oMath>
      <w:r>
        <w:rPr>
          <w:rFonts w:ascii="Times New Roman" w:eastAsiaTheme="minorEastAsia" w:hAnsi="Times New Roman" w:cs="Times New Roman"/>
          <w:sz w:val="24"/>
          <w:szCs w:val="24"/>
          <w:lang w:val="en-GB"/>
        </w:rPr>
        <w:t xml:space="preserve"> are the conventional terms for the dependent variable, intercept, independent variables and error term. The </w:t>
      </w:r>
      <w:r>
        <w:rPr>
          <w:rFonts w:ascii="Times New Roman" w:eastAsiaTheme="minorEastAsia" w:hAnsi="Times New Roman" w:cs="Times New Roman"/>
          <w:i/>
          <w:iCs/>
          <w:sz w:val="24"/>
          <w:szCs w:val="24"/>
          <w:lang w:val="en-GB"/>
        </w:rPr>
        <w:t>W</w:t>
      </w:r>
      <w:r>
        <w:rPr>
          <w:rFonts w:ascii="Times New Roman" w:eastAsiaTheme="minorEastAsia" w:hAnsi="Times New Roman" w:cs="Times New Roman"/>
          <w:sz w:val="24"/>
          <w:szCs w:val="24"/>
          <w:lang w:val="en-GB"/>
        </w:rPr>
        <w:t xml:space="preserve"> represents a spatial weights matrix which specifies the linkages between neighbours. In its simplest form, the </w:t>
      </w:r>
      <w:r>
        <w:rPr>
          <w:rFonts w:ascii="Times New Roman" w:eastAsiaTheme="minorEastAsia" w:hAnsi="Times New Roman" w:cs="Times New Roman"/>
          <w:i/>
          <w:iCs/>
          <w:sz w:val="24"/>
          <w:szCs w:val="24"/>
          <w:lang w:val="en-GB"/>
        </w:rPr>
        <w:t>W</w:t>
      </w:r>
      <w:r>
        <w:rPr>
          <w:rFonts w:ascii="Times New Roman" w:eastAsiaTheme="minorEastAsia" w:hAnsi="Times New Roman" w:cs="Times New Roman"/>
          <w:sz w:val="24"/>
          <w:szCs w:val="24"/>
          <w:lang w:val="en-GB"/>
        </w:rPr>
        <w:t xml:space="preserve"> takes the value 1 if two observations are neighbours, and 0 if they are not. </w:t>
      </w:r>
      <w:r>
        <w:rPr>
          <w:rFonts w:ascii="Times New Roman" w:hAnsi="Times New Roman" w:cs="Times New Roman"/>
          <w:sz w:val="24"/>
          <w:szCs w:val="24"/>
          <w:lang w:val="en-GB"/>
        </w:rPr>
        <w:t xml:space="preserve">For this study, the spatial weights matrix was constructed using a k-nearest neighbours, with k set at 10, to ensure an equal number of neighbours were included in the calculation of the lagged variable for each case. </w:t>
      </w:r>
      <w:r>
        <w:rPr>
          <w:rFonts w:ascii="Times New Roman" w:eastAsiaTheme="minorEastAsia" w:hAnsi="Times New Roman" w:cs="Times New Roman"/>
          <w:sz w:val="24"/>
          <w:szCs w:val="24"/>
          <w:lang w:val="en-GB"/>
        </w:rPr>
        <w:t xml:space="preserve">The percentage of non-zero weights was 0.558, and the median link distance 0.438 kilometres (min=0km, Q1=0.243km, Q3=0.895km, max=6.768km). The term </w:t>
      </w:r>
      <m:oMath>
        <m:r>
          <w:rPr>
            <w:rFonts w:ascii="Cambria Math" w:hAnsi="Cambria Math" w:cs="Times New Roman"/>
            <w:sz w:val="24"/>
            <w:szCs w:val="24"/>
            <w:lang w:val="en-GB"/>
          </w:rPr>
          <m:t>ρWY</m:t>
        </m:r>
      </m:oMath>
      <w:r>
        <w:rPr>
          <w:rFonts w:ascii="Times New Roman" w:hAnsi="Times New Roman" w:cs="Times New Roman"/>
          <w:sz w:val="24"/>
          <w:szCs w:val="24"/>
          <w:lang w:val="en-GB"/>
        </w:rPr>
        <w:t xml:space="preserve"> measures the spatial autocorrelation in the dependent term. A significant coefficient for </w:t>
      </w:r>
      <m:oMath>
        <m:r>
          <w:rPr>
            <w:rFonts w:ascii="Cambria Math" w:hAnsi="Cambria Math" w:cs="Times New Roman"/>
            <w:sz w:val="24"/>
            <w:szCs w:val="24"/>
            <w:lang w:val="en-GB"/>
          </w:rPr>
          <m:t>ρ</m:t>
        </m:r>
      </m:oMath>
      <w:r>
        <w:rPr>
          <w:rFonts w:ascii="Times New Roman" w:eastAsiaTheme="minorEastAsia" w:hAnsi="Times New Roman" w:cs="Times New Roman"/>
          <w:sz w:val="24"/>
          <w:szCs w:val="24"/>
          <w:lang w:val="en-GB"/>
        </w:rPr>
        <w:t xml:space="preserve"> would indicate that higher local BMI is associated with higher individual BMI. </w:t>
      </w:r>
      <m:oMath>
        <m:r>
          <w:rPr>
            <w:rFonts w:ascii="Cambria Math" w:hAnsi="Cambria Math" w:cs="Times New Roman"/>
            <w:sz w:val="24"/>
            <w:szCs w:val="24"/>
            <w:lang w:val="en-GB"/>
          </w:rPr>
          <m:t>WXθ</m:t>
        </m:r>
      </m:oMath>
      <w:r>
        <w:rPr>
          <w:rFonts w:ascii="Times New Roman" w:eastAsiaTheme="minorEastAsia" w:hAnsi="Times New Roman" w:cs="Times New Roman"/>
          <w:sz w:val="24"/>
          <w:szCs w:val="24"/>
          <w:lang w:val="en-GB"/>
        </w:rPr>
        <w:t xml:space="preserve"> measures the spatial </w:t>
      </w:r>
      <w:proofErr w:type="spellStart"/>
      <w:r>
        <w:rPr>
          <w:rFonts w:ascii="Times New Roman" w:eastAsiaTheme="minorEastAsia" w:hAnsi="Times New Roman" w:cs="Times New Roman"/>
          <w:sz w:val="24"/>
          <w:szCs w:val="24"/>
          <w:lang w:val="en-GB"/>
        </w:rPr>
        <w:t>spillover</w:t>
      </w:r>
      <w:proofErr w:type="spellEnd"/>
      <w:r>
        <w:rPr>
          <w:rFonts w:ascii="Times New Roman" w:eastAsiaTheme="minorEastAsia" w:hAnsi="Times New Roman" w:cs="Times New Roman"/>
          <w:sz w:val="24"/>
          <w:szCs w:val="24"/>
          <w:lang w:val="en-GB"/>
        </w:rPr>
        <w:t xml:space="preserve"> effect of neighbouring independent variables on the individual. Finally, </w:t>
      </w:r>
      <m:oMath>
        <m:r>
          <w:rPr>
            <w:rFonts w:ascii="Cambria Math" w:hAnsi="Cambria Math" w:cs="Times New Roman"/>
            <w:sz w:val="24"/>
            <w:szCs w:val="24"/>
            <w:lang w:val="en-GB"/>
          </w:rPr>
          <m:t>λWu</m:t>
        </m:r>
      </m:oMath>
      <w:r>
        <w:rPr>
          <w:rFonts w:ascii="Times New Roman" w:eastAsiaTheme="minorEastAsia" w:hAnsi="Times New Roman" w:cs="Times New Roman"/>
          <w:sz w:val="24"/>
          <w:szCs w:val="24"/>
          <w:lang w:val="en-GB"/>
        </w:rPr>
        <w:t xml:space="preserve"> measures the spatial autocorrelation of the error term. Unobserved processes, consigned to the error term, may display spatial autocorrelation. Ignoring this leads to inefficient estimation and larger standard errors for the coefficients. If all spatial coefficients are constrained to 0, the model defaults back to a standard OLS. We follow convention by first estimating the </w:t>
      </w:r>
      <w:r>
        <w:rPr>
          <w:rFonts w:ascii="Times New Roman" w:hAnsi="Times New Roman" w:cs="Times New Roman"/>
          <w:sz w:val="24"/>
          <w:szCs w:val="24"/>
          <w:lang w:val="en-GB"/>
        </w:rPr>
        <w:t>general nesting spatial</w:t>
      </w:r>
      <w:r>
        <w:rPr>
          <w:rFonts w:ascii="Times New Roman" w:eastAsiaTheme="minorEastAsia" w:hAnsi="Times New Roman" w:cs="Times New Roman"/>
          <w:sz w:val="24"/>
          <w:szCs w:val="24"/>
          <w:lang w:val="en-GB"/>
        </w:rPr>
        <w:t xml:space="preserve"> model, including all spatial coefficients, and subsequently constrain insignificant spatial coefficients to 0. From the </w:t>
      </w:r>
      <w:r>
        <w:rPr>
          <w:rFonts w:ascii="Times New Roman" w:hAnsi="Times New Roman" w:cs="Times New Roman"/>
          <w:sz w:val="24"/>
          <w:szCs w:val="24"/>
          <w:lang w:val="en-GB"/>
        </w:rPr>
        <w:t xml:space="preserve">general nesting spatial </w:t>
      </w:r>
      <w:r>
        <w:rPr>
          <w:rFonts w:ascii="Times New Roman" w:eastAsiaTheme="minorEastAsia" w:hAnsi="Times New Roman" w:cs="Times New Roman"/>
          <w:sz w:val="24"/>
          <w:szCs w:val="24"/>
          <w:lang w:val="en-GB"/>
        </w:rPr>
        <w:t>we fit a</w:t>
      </w:r>
      <w:r>
        <w:rPr>
          <w:rFonts w:ascii="Times New Roman" w:hAnsi="Times New Roman" w:cs="Times New Roman"/>
          <w:sz w:val="24"/>
          <w:szCs w:val="24"/>
          <w:lang w:val="en-GB"/>
        </w:rPr>
        <w:t xml:space="preserve"> spatial autoregressive combined (</w:t>
      </w:r>
      <m:oMath>
        <m:r>
          <w:rPr>
            <w:rFonts w:ascii="Cambria Math" w:hAnsi="Cambria Math" w:cs="Times New Roman"/>
            <w:sz w:val="24"/>
            <w:szCs w:val="24"/>
            <w:lang w:val="en-GB"/>
          </w:rPr>
          <m:t>θ=0</m:t>
        </m:r>
      </m:oMath>
      <w:r>
        <w:rPr>
          <w:rFonts w:ascii="Times New Roman" w:hAnsi="Times New Roman" w:cs="Times New Roman"/>
          <w:sz w:val="24"/>
          <w:szCs w:val="24"/>
          <w:lang w:val="en-GB"/>
        </w:rPr>
        <w:t>) model, a spatial durbin error (</w:t>
      </w:r>
      <m:oMath>
        <m:r>
          <w:rPr>
            <w:rFonts w:ascii="Cambria Math" w:hAnsi="Cambria Math" w:cs="Times New Roman"/>
            <w:sz w:val="24"/>
            <w:szCs w:val="24"/>
            <w:lang w:val="en-GB"/>
          </w:rPr>
          <m:t>ρ=0</m:t>
        </m:r>
      </m:oMath>
      <w:r>
        <w:rPr>
          <w:rFonts w:ascii="Times New Roman" w:hAnsi="Times New Roman" w:cs="Times New Roman"/>
          <w:sz w:val="24"/>
          <w:szCs w:val="24"/>
          <w:lang w:val="en-GB"/>
        </w:rPr>
        <w:t xml:space="preserve">) model and spatial error </w:t>
      </w:r>
      <w:r>
        <w:rPr>
          <w:rFonts w:ascii="Times New Roman" w:hAnsi="Times New Roman" w:cs="Times New Roman"/>
          <w:sz w:val="24"/>
          <w:szCs w:val="24"/>
          <w:lang w:val="en-GB"/>
        </w:rPr>
        <w:lastRenderedPageBreak/>
        <w:t>(</w:t>
      </w:r>
      <m:oMath>
        <m:r>
          <w:rPr>
            <w:rFonts w:ascii="Cambria Math" w:hAnsi="Cambria Math" w:cs="Times New Roman"/>
            <w:sz w:val="24"/>
            <w:szCs w:val="24"/>
            <w:lang w:val="en-GB"/>
          </w:rPr>
          <m:t>θ=0 and ρ =0</m:t>
        </m:r>
      </m:oMath>
      <w:r>
        <w:rPr>
          <w:rFonts w:ascii="Times New Roman" w:hAnsi="Times New Roman" w:cs="Times New Roman"/>
          <w:sz w:val="24"/>
          <w:szCs w:val="24"/>
          <w:lang w:val="en-GB"/>
        </w:rPr>
        <w:t xml:space="preserve">) model. </w:t>
      </w:r>
      <w:r w:rsidRPr="004755CF">
        <w:rPr>
          <w:rFonts w:ascii="Times New Roman" w:hAnsi="Times New Roman" w:cs="Times New Roman"/>
          <w:sz w:val="24"/>
          <w:szCs w:val="24"/>
          <w:lang w:val="en-GB"/>
        </w:rPr>
        <w:t>All regression models were performed</w:t>
      </w:r>
      <w:r>
        <w:rPr>
          <w:rFonts w:ascii="Times New Roman" w:hAnsi="Times New Roman" w:cs="Times New Roman"/>
          <w:sz w:val="24"/>
          <w:szCs w:val="24"/>
          <w:lang w:val="en-GB"/>
        </w:rPr>
        <w:t xml:space="preserve"> using </w:t>
      </w:r>
      <w:proofErr w:type="spellStart"/>
      <w:r>
        <w:rPr>
          <w:rFonts w:ascii="Times New Roman" w:hAnsi="Times New Roman" w:cs="Times New Roman"/>
          <w:i/>
          <w:iCs/>
          <w:sz w:val="24"/>
          <w:szCs w:val="24"/>
          <w:lang w:val="en-GB"/>
        </w:rPr>
        <w:t>spatialreg</w:t>
      </w:r>
      <w:proofErr w:type="spellEnd"/>
      <w:r w:rsidRPr="004755CF">
        <w:rPr>
          <w:rFonts w:ascii="Times New Roman" w:hAnsi="Times New Roman" w:cs="Times New Roman"/>
          <w:sz w:val="24"/>
          <w:szCs w:val="24"/>
          <w:lang w:val="en-GB"/>
        </w:rPr>
        <w:t xml:space="preserve"> in each imputed dataset separately, and combined using Rubin’s rules</w:t>
      </w:r>
      <w:r>
        <w:rPr>
          <w:rFonts w:ascii="Times New Roman" w:hAnsi="Times New Roman" w:cs="Times New Roman"/>
          <w:sz w:val="24"/>
          <w:szCs w:val="24"/>
          <w:lang w:val="en-GB"/>
        </w:rPr>
        <w:t xml:space="preserve"> </w:t>
      </w:r>
      <w:r>
        <w:rPr>
          <w:rFonts w:ascii="Times New Roman" w:hAnsi="Times New Roman" w:cs="Times New Roman"/>
          <w:sz w:val="24"/>
          <w:szCs w:val="24"/>
          <w:lang w:val="en-GB"/>
        </w:rPr>
        <w:fldChar w:fldCharType="begin" w:fldLock="1"/>
      </w:r>
      <w:r>
        <w:rPr>
          <w:rFonts w:ascii="Times New Roman" w:hAnsi="Times New Roman" w:cs="Times New Roman"/>
          <w:sz w:val="24"/>
          <w:szCs w:val="24"/>
          <w:lang w:val="en-GB"/>
        </w:rPr>
        <w:instrText>ADDIN CSL_CITATION {"citationItems":[{"id":"ITEM-1","itemData":{"DOI":"10.1007/s11749-018-0599-x","ISSN":"1133-0686","abstract":"Functions to calculate measures of spatial association, especially measures of spatial autocorrelation, have been made available in many software applications. Measures may be global, applying to the whole data set under consideration, or local, applying to each observation in the data set. Methods of statistical inference may also be provided, but these will, like the measures themselves, depend on the support of the observations, chosen assumptions, and the way in which spatial association is represented; spatial weights are often used as a representational technique. In addition, assumptions may be made about the underlying mean model, and about error distributions. Different software implementations may choose to expose these choices to the analyst, but the sets of choices available may vary between these implementations, as may default settings. This comparison will consider the implementations of global Moran’s I, Getis–Ord G and Geary’s C, local \n                  \n                    \n                  \n                  $$I_i$$\n                  \n                    \n                  \n                 and \n                  \n                    \n                  \n                  $$G_i$$\n                  \n                    \n                  \n                , available in a range of software including Crimestat, GeoDa, ArcGIS, PySAL and R contributed packages.","author":[{"dropping-particle":"","family":"Bivand","given":"Roger S.","non-dropping-particle":"","parse-names":false,"suffix":""},{"dropping-particle":"","family":"Wong","given":"David W. S.","non-dropping-particle":"","parse-names":false,"suffix":""}],"container-title":"TEST","id":"ITEM-1","issue":"3","issued":{"date-parts":[["2018","9","27"]]},"page":"716-748","publisher":"Springer","title":"Comparing implementations of global and local indicators of spatial association","type":"article-journal","volume":"27"},"uris":["http://www.mendeley.com/documents/?uuid=0a31e56d-40fa-3ff8-9754-c83532c475c3"]},{"id":"ITEM-2","itemData":{"DOI":"10.1111/gean.12008","ISSN":"00167363","author":[{"dropping-particle":"","family":"Bivand","given":"Roger","non-dropping-particle":"","parse-names":false,"suffix":""},{"dropping-particle":"","family":"Hauke","given":"Jan","non-dropping-particle":"","parse-names":false,"suffix":""},{"dropping-particle":"","family":"Kossowski","given":"Tomasz","non-dropping-particle":"","parse-names":false,"suffix":""}],"container-title":"Geographical Analysis","id":"ITEM-2","issue":"2","issued":{"date-parts":[["2013","4","1"]]},"page":"150-179","publisher":"John Wiley &amp; Sons, Ltd","title":"Computing the Jacobian in Gaussian Spatial Autoregressive Models: An Illustrated Comparison of Available Methods","type":"article-journal","volume":"45"},"uris":["http://www.mendeley.com/documents/?uuid=cb03e8ef-c094-3550-90c6-b02165431995"]},{"id":"ITEM-3","itemData":{"ISBN":"9781461476177","abstract":"2nd ed. Applied Spatial Data Analysis with R, Second Edition, is divided into two basic parts, the first presenting R packages, functions, classes and methods for handling spatial data. This part is of interest to users who need to access and visualise spatial data. Data import and export for many file formats for spatial data are covered in detail, as is the interface between R and the open source GRASS GIS and the handling of spatio-temporal data. The second part showcases more specialised kinds of spatial data analysis, including spatial point pattern analysis, interpolation and geostatistics, areal data analysis and disease mapping. The coverage of methods of spatial data analysis ranges from standard techniques to new developments, and the examples used are largely taken from the spatial statistics literature. All the examples can be run using R contributed packages available from the CRAN website, with code and additional data sets from the book's own website. Compared to the first edition, the second edition covers the more systematic approach towards handling spatial data in R, as well as a number of important and widely used CRAN packages that have appeared since the first edition. This book will be of interest to researchers who intend to use R to handle, visualise, and analyse spatial data. It will also be of interest to spatial data analysts who do not use R, but who are interested in practical aspects of implementing software for spatial data analysis. It is a suitable companion book for introductory spatial statistics courses and for applied methods courses in a wide range of subjects using spatial data, including human and physical geography, geographical information science and geoinformatics, the environmental sciences, ecology, public health and disease control, economics, public administration and political science. The book has a website where complete code examples, data sets, and other support material may be found: http://www.asdar-book.org. The authors have taken part in writing and maintaining software for spatial data handling and analysis with R in concert since 2003. Hello World: Introducing Spatial Data -- Handling Spatial Data in R. Classes for Spatial Data in R -- Visualising Spatial Data -- Spatial Data Import and Export -- Further Methods for Handling Spatial Data -- Spatio-Temporal Data -- Analysing Spatial Data. Spatial Point Pattern Analysis -- Interpolation and Geostatistics -- Modelling Areal Data -- Disease Mapping.","author":[{"dropping-particle":"","family":"Bivand","given":"Roger.","non-dropping-particle":"","parse-names":false,"suffix":""},{"dropping-particle":"","family":"Pebesma","given":"Edzer J.","non-dropping-particle":"","parse-names":false,"suffix":""},{"dropping-particle":"","family":"Gómez-Rubio","given":"Virgilio.","non-dropping-particle":"","parse-names":false,"suffix":""}],"id":"ITEM-3","issued":{"date-parts":[["2013"]]},"number-of-pages":"405","publisher":"Springer","title":"Applied spatial data analysis with R","type":"book"},"uris":["http://www.mendeley.com/documents/?uuid=1eba43d2-1e9e-3ec7-9b8b-f8fe5b243618"]}],"mendeley":{"formattedCitation":"&lt;sup&gt;38–40&lt;/sup&gt;","plainTextFormattedCitation":"38–40","previouslyFormattedCitation":"&lt;sup&gt;38–40&lt;/sup&gt;"},"properties":{"noteIndex":0},"schema":"https://github.com/citation-style-language/schema/raw/master/csl-citation.json"}</w:instrText>
      </w:r>
      <w:r>
        <w:rPr>
          <w:rFonts w:ascii="Times New Roman" w:hAnsi="Times New Roman" w:cs="Times New Roman"/>
          <w:sz w:val="24"/>
          <w:szCs w:val="24"/>
          <w:lang w:val="en-GB"/>
        </w:rPr>
        <w:fldChar w:fldCharType="separate"/>
      </w:r>
      <w:r w:rsidRPr="000235E1">
        <w:rPr>
          <w:rFonts w:ascii="Times New Roman" w:hAnsi="Times New Roman" w:cs="Times New Roman"/>
          <w:noProof/>
          <w:sz w:val="24"/>
          <w:szCs w:val="24"/>
          <w:vertAlign w:val="superscript"/>
          <w:lang w:val="en-GB"/>
        </w:rPr>
        <w:t>38–40</w:t>
      </w:r>
      <w:r>
        <w:rPr>
          <w:rFonts w:ascii="Times New Roman" w:hAnsi="Times New Roman" w:cs="Times New Roman"/>
          <w:sz w:val="24"/>
          <w:szCs w:val="24"/>
          <w:lang w:val="en-GB"/>
        </w:rPr>
        <w:fldChar w:fldCharType="end"/>
      </w:r>
      <w:r w:rsidRPr="004755CF">
        <w:rPr>
          <w:rFonts w:ascii="Times New Roman" w:hAnsi="Times New Roman" w:cs="Times New Roman"/>
          <w:sz w:val="24"/>
          <w:szCs w:val="24"/>
          <w:lang w:val="en-GB"/>
        </w:rPr>
        <w:t xml:space="preserve">. </w:t>
      </w:r>
      <w:r>
        <w:rPr>
          <w:rFonts w:ascii="Times New Roman" w:hAnsi="Times New Roman" w:cs="Times New Roman"/>
          <w:sz w:val="24"/>
          <w:szCs w:val="24"/>
          <w:lang w:val="en-GB"/>
        </w:rPr>
        <w:t>As sensitivity analyses, we also performed the analyse</w:t>
      </w:r>
      <w:r w:rsidRPr="004755CF">
        <w:rPr>
          <w:rFonts w:ascii="Times New Roman" w:hAnsi="Times New Roman" w:cs="Times New Roman"/>
          <w:sz w:val="24"/>
          <w:szCs w:val="24"/>
          <w:lang w:val="en-GB"/>
        </w:rPr>
        <w:t xml:space="preserve">s </w:t>
      </w:r>
      <w:r>
        <w:rPr>
          <w:rFonts w:ascii="Times New Roman" w:hAnsi="Times New Roman" w:cs="Times New Roman"/>
          <w:sz w:val="24"/>
          <w:szCs w:val="24"/>
          <w:lang w:val="en-GB"/>
        </w:rPr>
        <w:t xml:space="preserve">with one pattern at a time and performed the analyses </w:t>
      </w:r>
      <w:r w:rsidRPr="004755CF">
        <w:rPr>
          <w:rFonts w:ascii="Times New Roman" w:hAnsi="Times New Roman" w:cs="Times New Roman"/>
          <w:sz w:val="24"/>
          <w:szCs w:val="24"/>
          <w:lang w:val="en-GB"/>
        </w:rPr>
        <w:t xml:space="preserve">on the subset of complete cases. </w:t>
      </w:r>
    </w:p>
    <w:p w:rsidR="0074507E" w:rsidRDefault="0074507E"/>
    <w:sectPr w:rsidR="007450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BDA"/>
    <w:rsid w:val="00386517"/>
    <w:rsid w:val="0074507E"/>
    <w:rsid w:val="00A44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44BDA"/>
    <w:pPr>
      <w:spacing w:after="0" w:line="240" w:lineRule="auto"/>
    </w:pPr>
    <w:rPr>
      <w:lang w:val="nl-NL"/>
    </w:rPr>
  </w:style>
  <w:style w:type="character" w:customStyle="1" w:styleId="GeenafstandChar">
    <w:name w:val="Geen afstand Char"/>
    <w:basedOn w:val="Standaardalinea-lettertype"/>
    <w:link w:val="Geenafstand"/>
    <w:uiPriority w:val="1"/>
    <w:rsid w:val="00A44BDA"/>
    <w:rPr>
      <w:lang w:val="nl-NL"/>
    </w:rPr>
  </w:style>
  <w:style w:type="paragraph" w:styleId="Ballontekst">
    <w:name w:val="Balloon Text"/>
    <w:basedOn w:val="Standaard"/>
    <w:link w:val="BallontekstChar"/>
    <w:uiPriority w:val="99"/>
    <w:semiHidden/>
    <w:unhideWhenUsed/>
    <w:rsid w:val="00A44BD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4B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44BDA"/>
    <w:pPr>
      <w:spacing w:after="0" w:line="240" w:lineRule="auto"/>
    </w:pPr>
    <w:rPr>
      <w:lang w:val="nl-NL"/>
    </w:rPr>
  </w:style>
  <w:style w:type="character" w:customStyle="1" w:styleId="GeenafstandChar">
    <w:name w:val="Geen afstand Char"/>
    <w:basedOn w:val="Standaardalinea-lettertype"/>
    <w:link w:val="Geenafstand"/>
    <w:uiPriority w:val="1"/>
    <w:rsid w:val="00A44BDA"/>
    <w:rPr>
      <w:lang w:val="nl-NL"/>
    </w:rPr>
  </w:style>
  <w:style w:type="paragraph" w:styleId="Ballontekst">
    <w:name w:val="Balloon Text"/>
    <w:basedOn w:val="Standaard"/>
    <w:link w:val="BallontekstChar"/>
    <w:uiPriority w:val="99"/>
    <w:semiHidden/>
    <w:unhideWhenUsed/>
    <w:rsid w:val="00A44BD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4B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1623</Words>
  <Characters>9255</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Universitair Medisch Centrum Groningen</Company>
  <LinksUpToDate>false</LinksUpToDate>
  <CharactersWithSpaces>10857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Wiersma, R (epi)</dc:creator>
  <cp:lastModifiedBy>Wiersma, R (epi)</cp:lastModifiedBy>
  <cp:revision>2</cp:revision>
  <dcterms:created xsi:type="dcterms:W3CDTF">2021-10-07T11:44:00Z</dcterms:created>
  <dcterms:modified xsi:type="dcterms:W3CDTF">2021-10-21T10:38:00Z</dcterms:modified>
</cp:coreProperties>
</file>