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060" w:rsidRPr="00831060" w:rsidRDefault="00831060" w:rsidP="00831060">
      <w:pPr>
        <w:spacing w:before="160" w:after="80"/>
        <w:rPr>
          <w:color w:val="000000" w:themeColor="text1"/>
        </w:rPr>
      </w:pPr>
      <w:bookmarkStart w:id="0" w:name="_GoBack"/>
      <w:r w:rsidRPr="008310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S1. Threshold sensitivity analysis: community structure stability across three </w:t>
      </w:r>
      <w:proofErr w:type="spellStart"/>
      <w:r w:rsidRPr="008310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sparsification</w:t>
      </w:r>
      <w:proofErr w:type="spellEnd"/>
      <w:r w:rsidRPr="008310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thresholds.</w:t>
      </w:r>
    </w:p>
    <w:p w:rsidR="00831060" w:rsidRPr="00831060" w:rsidRDefault="00831060" w:rsidP="00831060">
      <w:pPr>
        <w:spacing w:before="40" w:after="80"/>
        <w:rPr>
          <w:color w:val="000000" w:themeColor="text1"/>
        </w:rPr>
      </w:pPr>
      <w:r w:rsidRPr="00831060">
        <w:rPr>
          <w:rFonts w:ascii="Times New Roman" w:hAnsi="Times New Roman" w:cs="Times New Roman"/>
          <w:color w:val="000000" w:themeColor="text1"/>
        </w:rPr>
        <w:t>Threshold percentages applied per model run to all 666 eligible district pairs; N edges = pairs with selection frequency &gt; 0.5 across 23 converged runs. N major communities excludes the peripheral Isolation group.  Adjusted Rand Index (ARI) vs. 30% reference.</w:t>
      </w:r>
    </w:p>
    <w:tbl>
      <w:tblPr>
        <w:tblStyle w:val="TableGrid"/>
        <w:tblW w:w="10200" w:type="dxa"/>
        <w:tblInd w:w="-780" w:type="dxa"/>
        <w:tblLayout w:type="fixed"/>
        <w:tblLook w:val="0400" w:firstRow="0" w:lastRow="0" w:firstColumn="0" w:lastColumn="0" w:noHBand="0" w:noVBand="1"/>
      </w:tblPr>
      <w:tblGrid>
        <w:gridCol w:w="1400"/>
        <w:gridCol w:w="1118"/>
        <w:gridCol w:w="1701"/>
        <w:gridCol w:w="1985"/>
        <w:gridCol w:w="2296"/>
        <w:gridCol w:w="1700"/>
      </w:tblGrid>
      <w:tr w:rsidR="00831060" w:rsidRPr="00831060" w:rsidTr="0060157D">
        <w:trPr>
          <w:trHeight w:val="453"/>
        </w:trPr>
        <w:tc>
          <w:tcPr>
            <w:tcW w:w="14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Threshold</w:t>
            </w:r>
          </w:p>
        </w:tc>
        <w:tc>
          <w:tcPr>
            <w:tcW w:w="1118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edges</w:t>
            </w:r>
          </w:p>
        </w:tc>
        <w:tc>
          <w:tcPr>
            <w:tcW w:w="1701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Expansion (%)</w:t>
            </w:r>
          </w:p>
        </w:tc>
        <w:tc>
          <w:tcPr>
            <w:tcW w:w="1985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Relocation (%)</w:t>
            </w:r>
          </w:p>
        </w:tc>
        <w:tc>
          <w:tcPr>
            <w:tcW w:w="229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major communities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ARI vs 30%</w:t>
            </w:r>
          </w:p>
        </w:tc>
      </w:tr>
      <w:tr w:rsidR="00831060" w:rsidRPr="00831060" w:rsidTr="0060157D">
        <w:trPr>
          <w:trHeight w:val="345"/>
        </w:trPr>
        <w:tc>
          <w:tcPr>
            <w:tcW w:w="14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1118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701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(43.6%)</w:t>
            </w:r>
          </w:p>
        </w:tc>
        <w:tc>
          <w:tcPr>
            <w:tcW w:w="1985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 (56.4%)</w:t>
            </w:r>
          </w:p>
        </w:tc>
        <w:tc>
          <w:tcPr>
            <w:tcW w:w="229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0.847</w:t>
            </w:r>
          </w:p>
        </w:tc>
      </w:tr>
      <w:tr w:rsidR="00831060" w:rsidRPr="00831060" w:rsidTr="0060157D">
        <w:trPr>
          <w:trHeight w:val="345"/>
        </w:trPr>
        <w:tc>
          <w:tcPr>
            <w:tcW w:w="14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30%</w:t>
            </w:r>
          </w:p>
        </w:tc>
        <w:tc>
          <w:tcPr>
            <w:tcW w:w="1118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701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(35.9%)</w:t>
            </w:r>
          </w:p>
        </w:tc>
        <w:tc>
          <w:tcPr>
            <w:tcW w:w="1985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 (64.1%)</w:t>
            </w:r>
          </w:p>
        </w:tc>
        <w:tc>
          <w:tcPr>
            <w:tcW w:w="229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 (ref)</w:t>
            </w:r>
          </w:p>
        </w:tc>
      </w:tr>
      <w:tr w:rsidR="00831060" w:rsidRPr="00831060" w:rsidTr="0060157D">
        <w:trPr>
          <w:trHeight w:val="345"/>
        </w:trPr>
        <w:tc>
          <w:tcPr>
            <w:tcW w:w="14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40%</w:t>
            </w:r>
          </w:p>
        </w:tc>
        <w:tc>
          <w:tcPr>
            <w:tcW w:w="1118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701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(28.5%)</w:t>
            </w:r>
          </w:p>
        </w:tc>
        <w:tc>
          <w:tcPr>
            <w:tcW w:w="1985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 (71.5%)</w:t>
            </w:r>
          </w:p>
        </w:tc>
        <w:tc>
          <w:tcPr>
            <w:tcW w:w="229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</w:tbl>
    <w:p w:rsidR="00831060" w:rsidRPr="00831060" w:rsidRDefault="00831060" w:rsidP="00831060">
      <w:pPr>
        <w:spacing w:before="160" w:after="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31060" w:rsidRPr="00831060" w:rsidRDefault="00831060" w:rsidP="00831060">
      <w:pPr>
        <w:spacing w:before="160" w:after="80"/>
        <w:rPr>
          <w:color w:val="000000" w:themeColor="text1"/>
        </w:rPr>
      </w:pPr>
      <w:r w:rsidRPr="008310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S2. Simulation validation metrics: Pearson and Spearman correlation coefficients across five diffusion scenarios.</w:t>
      </w:r>
    </w:p>
    <w:p w:rsidR="00831060" w:rsidRPr="00831060" w:rsidRDefault="00831060" w:rsidP="00831060">
      <w:pPr>
        <w:spacing w:before="40" w:after="80"/>
        <w:rPr>
          <w:color w:val="000000" w:themeColor="text1"/>
        </w:rPr>
      </w:pPr>
      <w:r w:rsidRPr="00831060">
        <w:rPr>
          <w:rFonts w:ascii="Times New Roman" w:hAnsi="Times New Roman" w:cs="Times New Roman"/>
          <w:color w:val="000000" w:themeColor="text1"/>
        </w:rPr>
        <w:t xml:space="preserve">Pearson’s r values are as originally reported (Figure 6). Spearman’s </w:t>
      </w:r>
      <w:r w:rsidRPr="00831060">
        <w:rPr>
          <w:rStyle w:val="mord"/>
          <w:b/>
          <w:bCs/>
          <w:color w:val="000000" w:themeColor="text1"/>
        </w:rPr>
        <w:t>ρ</w:t>
      </w:r>
      <w:r w:rsidRPr="00831060">
        <w:rPr>
          <w:rFonts w:ascii="Times New Roman" w:hAnsi="Times New Roman" w:cs="Times New Roman"/>
          <w:color w:val="000000" w:themeColor="text1"/>
        </w:rPr>
        <w:t xml:space="preserve"> values are newly computed as a rank-based complement. True links (sel. freq.) and Non-links (sel. freq.) report mean selection frequency for true edges and non-edges across 50 runs.</w:t>
      </w:r>
    </w:p>
    <w:tbl>
      <w:tblPr>
        <w:tblStyle w:val="TableGrid"/>
        <w:tblW w:w="10559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134"/>
        <w:gridCol w:w="1560"/>
        <w:gridCol w:w="1559"/>
        <w:gridCol w:w="1276"/>
        <w:gridCol w:w="1630"/>
        <w:gridCol w:w="1700"/>
        <w:gridCol w:w="1700"/>
      </w:tblGrid>
      <w:tr w:rsidR="00831060" w:rsidRPr="00831060" w:rsidTr="0060157D">
        <w:tc>
          <w:tcPr>
            <w:tcW w:w="1134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Scenario</w:t>
            </w:r>
          </w:p>
        </w:tc>
        <w:tc>
          <w:tcPr>
            <w:tcW w:w="156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Expansion (%)</w:t>
            </w:r>
          </w:p>
        </w:tc>
        <w:tc>
          <w:tcPr>
            <w:tcW w:w="155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Relocation (%)</w:t>
            </w:r>
          </w:p>
        </w:tc>
        <w:tc>
          <w:tcPr>
            <w:tcW w:w="127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Pearson’s r </w:t>
            </w:r>
          </w:p>
        </w:tc>
        <w:tc>
          <w:tcPr>
            <w:tcW w:w="163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Spearman’s </w:t>
            </w:r>
            <w:r w:rsidRPr="00831060">
              <w:rPr>
                <w:rStyle w:val="mord"/>
                <w:b/>
                <w:bCs/>
                <w:color w:val="000000" w:themeColor="text1"/>
              </w:rPr>
              <w:t>ρ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True links</w:t>
            </w:r>
          </w:p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(sel. freq.)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Non-links</w:t>
            </w:r>
          </w:p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(sel. freq.)</w:t>
            </w:r>
          </w:p>
        </w:tc>
      </w:tr>
      <w:tr w:rsidR="00831060" w:rsidRPr="00831060" w:rsidTr="0060157D">
        <w:trPr>
          <w:trHeight w:val="311"/>
        </w:trPr>
        <w:tc>
          <w:tcPr>
            <w:tcW w:w="1134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(a)</w:t>
            </w:r>
          </w:p>
        </w:tc>
        <w:tc>
          <w:tcPr>
            <w:tcW w:w="156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7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0.844</w:t>
            </w:r>
          </w:p>
        </w:tc>
        <w:tc>
          <w:tcPr>
            <w:tcW w:w="163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0.737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0.855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0.154</w:t>
            </w:r>
          </w:p>
        </w:tc>
      </w:tr>
      <w:tr w:rsidR="00831060" w:rsidRPr="00831060" w:rsidTr="0060157D">
        <w:trPr>
          <w:trHeight w:val="311"/>
        </w:trPr>
        <w:tc>
          <w:tcPr>
            <w:tcW w:w="1134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(b)</w:t>
            </w:r>
          </w:p>
        </w:tc>
        <w:tc>
          <w:tcPr>
            <w:tcW w:w="156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55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127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0.955</w:t>
            </w:r>
          </w:p>
        </w:tc>
        <w:tc>
          <w:tcPr>
            <w:tcW w:w="163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0.755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831060" w:rsidRPr="00831060" w:rsidTr="0060157D">
        <w:trPr>
          <w:trHeight w:val="311"/>
        </w:trPr>
        <w:tc>
          <w:tcPr>
            <w:tcW w:w="1134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(c)</w:t>
            </w:r>
          </w:p>
        </w:tc>
        <w:tc>
          <w:tcPr>
            <w:tcW w:w="156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55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7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0.949</w:t>
            </w:r>
          </w:p>
        </w:tc>
        <w:tc>
          <w:tcPr>
            <w:tcW w:w="163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0.718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0.778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0.177</w:t>
            </w:r>
          </w:p>
        </w:tc>
      </w:tr>
      <w:tr w:rsidR="00831060" w:rsidRPr="00831060" w:rsidTr="0060157D">
        <w:trPr>
          <w:trHeight w:val="311"/>
        </w:trPr>
        <w:tc>
          <w:tcPr>
            <w:tcW w:w="1134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(d)</w:t>
            </w:r>
          </w:p>
        </w:tc>
        <w:tc>
          <w:tcPr>
            <w:tcW w:w="156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155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7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0.976</w:t>
            </w:r>
          </w:p>
        </w:tc>
        <w:tc>
          <w:tcPr>
            <w:tcW w:w="163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0.730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0.855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0.150</w:t>
            </w:r>
          </w:p>
        </w:tc>
      </w:tr>
      <w:tr w:rsidR="00831060" w:rsidRPr="00831060" w:rsidTr="0060157D">
        <w:trPr>
          <w:trHeight w:val="311"/>
        </w:trPr>
        <w:tc>
          <w:tcPr>
            <w:tcW w:w="1134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(e)</w:t>
            </w:r>
          </w:p>
        </w:tc>
        <w:tc>
          <w:tcPr>
            <w:tcW w:w="156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55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6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0.930</w:t>
            </w:r>
          </w:p>
        </w:tc>
        <w:tc>
          <w:tcPr>
            <w:tcW w:w="163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0.730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0.745</w:t>
            </w:r>
          </w:p>
        </w:tc>
        <w:tc>
          <w:tcPr>
            <w:tcW w:w="170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0.187</w:t>
            </w:r>
          </w:p>
        </w:tc>
      </w:tr>
    </w:tbl>
    <w:p w:rsidR="00831060" w:rsidRPr="00831060" w:rsidRDefault="00831060" w:rsidP="00831060">
      <w:pPr>
        <w:spacing w:before="80" w:after="80"/>
        <w:rPr>
          <w:color w:val="000000" w:themeColor="text1"/>
        </w:rPr>
      </w:pPr>
    </w:p>
    <w:p w:rsidR="00831060" w:rsidRPr="00831060" w:rsidRDefault="00831060" w:rsidP="00831060">
      <w:pPr>
        <w:spacing w:before="160" w:after="80"/>
        <w:rPr>
          <w:color w:val="000000" w:themeColor="text1"/>
        </w:rPr>
      </w:pPr>
      <w:r w:rsidRPr="008310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S3. Model goodness-of-fit statistics for the empirical 2015 Tainan application.</w:t>
      </w:r>
    </w:p>
    <w:p w:rsidR="00831060" w:rsidRPr="00831060" w:rsidRDefault="00831060" w:rsidP="00831060">
      <w:pPr>
        <w:spacing w:before="40" w:after="80"/>
        <w:rPr>
          <w:color w:val="000000" w:themeColor="text1"/>
        </w:rPr>
      </w:pPr>
      <w:r w:rsidRPr="00831060">
        <w:rPr>
          <w:rFonts w:ascii="Times New Roman" w:hAnsi="Times New Roman" w:cs="Times New Roman"/>
          <w:color w:val="000000" w:themeColor="text1"/>
        </w:rPr>
        <w:t>Computed using the representative converged chain selected by median DIC among the 23 converged runs (DIC = 3757.0), comparing observed counts with posterior fitted means.</w:t>
      </w:r>
    </w:p>
    <w:tbl>
      <w:tblPr>
        <w:tblStyle w:val="TableGrid"/>
        <w:tblW w:w="10001" w:type="dxa"/>
        <w:tblInd w:w="-601" w:type="dxa"/>
        <w:tblLayout w:type="fixed"/>
        <w:tblLook w:val="0400" w:firstRow="0" w:lastRow="0" w:firstColumn="0" w:lastColumn="0" w:noHBand="0" w:noVBand="1"/>
      </w:tblPr>
      <w:tblGrid>
        <w:gridCol w:w="2552"/>
        <w:gridCol w:w="2410"/>
        <w:gridCol w:w="5039"/>
      </w:tblGrid>
      <w:tr w:rsidR="00831060" w:rsidRPr="00831060" w:rsidTr="0060157D">
        <w:trPr>
          <w:trHeight w:val="379"/>
        </w:trPr>
        <w:tc>
          <w:tcPr>
            <w:tcW w:w="2552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Metric</w:t>
            </w:r>
          </w:p>
        </w:tc>
        <w:tc>
          <w:tcPr>
            <w:tcW w:w="241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5039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Interpretation</w:t>
            </w:r>
          </w:p>
        </w:tc>
      </w:tr>
      <w:tr w:rsidR="00831060" w:rsidRPr="00831060" w:rsidTr="0060157D">
        <w:trPr>
          <w:trHeight w:val="460"/>
        </w:trPr>
        <w:tc>
          <w:tcPr>
            <w:tcW w:w="2552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RMSE</w:t>
            </w:r>
            <w:r w:rsidRPr="00831060">
              <w:rPr>
                <w:rFonts w:ascii="PMingLiU" w:eastAsia="PMingLiU" w:hAnsi="PMingLiU" w:cs="Times New Roman" w:hint="eastAsia"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(raw)</w:t>
            </w:r>
          </w:p>
        </w:tc>
        <w:tc>
          <w:tcPr>
            <w:tcW w:w="241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 cases/district-week</w:t>
            </w:r>
          </w:p>
        </w:tc>
        <w:tc>
          <w:tcPr>
            <w:tcW w:w="5039" w:type="dxa"/>
            <w:vAlign w:val="center"/>
          </w:tcPr>
          <w:p w:rsidR="00831060" w:rsidRPr="00831060" w:rsidRDefault="00831060" w:rsidP="0060157D">
            <w:pPr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Root mean squared fitting error on the original count scale</w:t>
            </w:r>
          </w:p>
        </w:tc>
      </w:tr>
      <w:tr w:rsidR="00831060" w:rsidRPr="00831060" w:rsidTr="0060157D">
        <w:trPr>
          <w:trHeight w:val="460"/>
        </w:trPr>
        <w:tc>
          <w:tcPr>
            <w:tcW w:w="2552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MAE</w:t>
            </w:r>
            <w:r w:rsidRPr="00831060">
              <w:rPr>
                <w:rFonts w:ascii="PMingLiU" w:eastAsia="PMingLiU" w:hAnsi="PMingLiU" w:cs="Times New Roman" w:hint="eastAsia"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(raw)</w:t>
            </w:r>
          </w:p>
        </w:tc>
        <w:tc>
          <w:tcPr>
            <w:tcW w:w="241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 cases/district-week</w:t>
            </w:r>
          </w:p>
        </w:tc>
        <w:tc>
          <w:tcPr>
            <w:tcW w:w="5039" w:type="dxa"/>
            <w:vAlign w:val="center"/>
          </w:tcPr>
          <w:p w:rsidR="00831060" w:rsidRPr="00831060" w:rsidRDefault="00831060" w:rsidP="0060157D">
            <w:pPr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absolute fitting error on the original count scale</w:t>
            </w:r>
          </w:p>
        </w:tc>
      </w:tr>
      <w:tr w:rsidR="00831060" w:rsidRPr="00831060" w:rsidTr="0060157D">
        <w:trPr>
          <w:trHeight w:val="460"/>
        </w:trPr>
        <w:tc>
          <w:tcPr>
            <w:tcW w:w="2552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RMSE (log1p scale)</w:t>
            </w:r>
          </w:p>
        </w:tc>
        <w:tc>
          <w:tcPr>
            <w:tcW w:w="241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0.181</w:t>
            </w:r>
          </w:p>
        </w:tc>
        <w:tc>
          <w:tcPr>
            <w:tcW w:w="5039" w:type="dxa"/>
            <w:vAlign w:val="center"/>
          </w:tcPr>
          <w:p w:rsidR="00831060" w:rsidRPr="00831060" w:rsidRDefault="00831060" w:rsidP="0060157D">
            <w:pPr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Error after log1p transformation, reducing influence of extreme peaks and zeros</w:t>
            </w:r>
          </w:p>
        </w:tc>
      </w:tr>
      <w:tr w:rsidR="00831060" w:rsidRPr="00831060" w:rsidTr="0060157D">
        <w:trPr>
          <w:trHeight w:val="460"/>
        </w:trPr>
        <w:tc>
          <w:tcPr>
            <w:tcW w:w="2552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Pearson’s R (log1p scale)</w:t>
            </w:r>
          </w:p>
        </w:tc>
        <w:tc>
          <w:tcPr>
            <w:tcW w:w="241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0.995</w:t>
            </w:r>
          </w:p>
        </w:tc>
        <w:tc>
          <w:tcPr>
            <w:tcW w:w="5039" w:type="dxa"/>
            <w:vAlign w:val="center"/>
          </w:tcPr>
          <w:p w:rsidR="00831060" w:rsidRPr="00831060" w:rsidRDefault="00831060" w:rsidP="0060157D">
            <w:pPr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In-sample agreement between observed and fitted log-transformed counts</w:t>
            </w:r>
          </w:p>
        </w:tc>
      </w:tr>
      <w:tr w:rsidR="00831060" w:rsidRPr="00831060" w:rsidTr="0060157D">
        <w:trPr>
          <w:trHeight w:val="460"/>
        </w:trPr>
        <w:tc>
          <w:tcPr>
            <w:tcW w:w="2552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Variance ratio</w:t>
            </w:r>
            <w:r w:rsidRPr="0083106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(fitted/</w:t>
            </w:r>
            <w:proofErr w:type="spellStart"/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</w:t>
            </w:r>
            <w:proofErr w:type="spellEnd"/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:rsidR="00831060" w:rsidRPr="00831060" w:rsidRDefault="00831060" w:rsidP="0060157D">
            <w:pPr>
              <w:jc w:val="both"/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0.9997</w:t>
            </w:r>
          </w:p>
        </w:tc>
        <w:tc>
          <w:tcPr>
            <w:tcW w:w="5039" w:type="dxa"/>
            <w:vAlign w:val="center"/>
          </w:tcPr>
          <w:p w:rsidR="00831060" w:rsidRPr="00831060" w:rsidRDefault="00831060" w:rsidP="0060157D">
            <w:pPr>
              <w:rPr>
                <w:color w:val="000000" w:themeColor="text1"/>
              </w:rPr>
            </w:pPr>
            <w:r w:rsidRPr="008310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Check of variance reproduction</w:t>
            </w:r>
          </w:p>
        </w:tc>
      </w:tr>
    </w:tbl>
    <w:p w:rsidR="00831060" w:rsidRPr="00831060" w:rsidRDefault="00831060" w:rsidP="00831060">
      <w:pPr>
        <w:rPr>
          <w:rFonts w:eastAsia="PMingLiU"/>
          <w:b/>
          <w:color w:val="000000" w:themeColor="text1"/>
          <w:lang w:eastAsia="zh-TW"/>
        </w:rPr>
      </w:pPr>
    </w:p>
    <w:bookmarkEnd w:id="0"/>
    <w:p w:rsidR="00CE4574" w:rsidRPr="00831060" w:rsidRDefault="00CE4574">
      <w:pPr>
        <w:rPr>
          <w:color w:val="000000" w:themeColor="text1"/>
        </w:rPr>
      </w:pPr>
    </w:p>
    <w:sectPr w:rsidR="00CE4574" w:rsidRPr="00831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060"/>
    <w:rsid w:val="00831060"/>
    <w:rsid w:val="00CE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CBD241-D755-4DC5-9077-54245981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06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06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DefaultParagraphFont"/>
    <w:rsid w:val="00831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M</dc:creator>
  <cp:keywords/>
  <dc:description/>
  <cp:lastModifiedBy>Banu M</cp:lastModifiedBy>
  <cp:revision>1</cp:revision>
  <dcterms:created xsi:type="dcterms:W3CDTF">2026-08-08T09:52:00Z</dcterms:created>
  <dcterms:modified xsi:type="dcterms:W3CDTF">2026-08-08T09:53:00Z</dcterms:modified>
</cp:coreProperties>
</file>