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39F06" w14:textId="0AF3669F" w:rsidR="00382A05" w:rsidRPr="004033CE" w:rsidRDefault="00382A05" w:rsidP="00382A05">
      <w:pPr>
        <w:jc w:val="center"/>
        <w:rPr>
          <w:rFonts w:ascii="Times New Roman" w:hAnsi="Times New Roman" w:cs="Times New Roman"/>
          <w:b/>
          <w:bCs/>
          <w:sz w:val="22"/>
          <w:szCs w:val="22"/>
          <w:u w:val="single"/>
        </w:rPr>
      </w:pPr>
      <w:r w:rsidRPr="004033CE">
        <w:rPr>
          <w:rFonts w:ascii="Times New Roman" w:hAnsi="Times New Roman" w:cs="Times New Roman"/>
          <w:b/>
          <w:bCs/>
          <w:sz w:val="22"/>
          <w:szCs w:val="22"/>
          <w:u w:val="single"/>
        </w:rPr>
        <w:t>Supplementary File</w:t>
      </w:r>
    </w:p>
    <w:p w14:paraId="491D976B" w14:textId="05CF81F0" w:rsidR="00C6225E" w:rsidRPr="004033CE" w:rsidRDefault="00B625C1">
      <w:pPr>
        <w:rPr>
          <w:rFonts w:ascii="Times New Roman" w:hAnsi="Times New Roman" w:cs="Times New Roman"/>
          <w:b/>
          <w:bCs/>
          <w:sz w:val="22"/>
          <w:szCs w:val="22"/>
          <w:u w:val="single"/>
        </w:rPr>
      </w:pPr>
      <w:r w:rsidRPr="004033CE">
        <w:rPr>
          <w:rFonts w:ascii="Times New Roman" w:hAnsi="Times New Roman" w:cs="Times New Roman"/>
          <w:b/>
          <w:bCs/>
          <w:sz w:val="22"/>
          <w:szCs w:val="22"/>
          <w:u w:val="single"/>
        </w:rPr>
        <w:t xml:space="preserve">S1: </w:t>
      </w:r>
      <w:r w:rsidR="00C6225E" w:rsidRPr="004033CE">
        <w:rPr>
          <w:rFonts w:ascii="Times New Roman" w:hAnsi="Times New Roman" w:cs="Times New Roman"/>
          <w:b/>
          <w:bCs/>
          <w:sz w:val="22"/>
          <w:szCs w:val="22"/>
          <w:u w:val="single"/>
        </w:rPr>
        <w:t>Rationale behind indicators</w:t>
      </w:r>
    </w:p>
    <w:p w14:paraId="4B01AC49" w14:textId="343750A5" w:rsidR="00101B97" w:rsidRPr="004033CE" w:rsidRDefault="00101B97">
      <w:pPr>
        <w:rPr>
          <w:rFonts w:ascii="Times New Roman" w:hAnsi="Times New Roman" w:cs="Times New Roman"/>
          <w:sz w:val="22"/>
          <w:szCs w:val="22"/>
        </w:rPr>
      </w:pPr>
      <w:r w:rsidRPr="004033CE">
        <w:rPr>
          <w:rFonts w:ascii="Times New Roman" w:hAnsi="Times New Roman" w:cs="Times New Roman"/>
          <w:sz w:val="22"/>
          <w:szCs w:val="22"/>
        </w:rPr>
        <w:t>The following table describes the rationale behind selecting each indicator for the construction of the vulnerability index for CVDs in India.</w:t>
      </w:r>
    </w:p>
    <w:p w14:paraId="1351AD97" w14:textId="411D7B22" w:rsidR="00101B97" w:rsidRPr="004033CE" w:rsidRDefault="00101B97">
      <w:pPr>
        <w:rPr>
          <w:rFonts w:ascii="Times New Roman" w:hAnsi="Times New Roman" w:cs="Times New Roman"/>
          <w:b/>
          <w:bCs/>
          <w:sz w:val="22"/>
          <w:szCs w:val="22"/>
        </w:rPr>
      </w:pPr>
      <w:r w:rsidRPr="004033CE">
        <w:rPr>
          <w:rFonts w:ascii="Times New Roman" w:hAnsi="Times New Roman" w:cs="Times New Roman"/>
          <w:b/>
          <w:bCs/>
          <w:sz w:val="22"/>
          <w:szCs w:val="22"/>
        </w:rPr>
        <w:t xml:space="preserve">Table </w:t>
      </w:r>
      <w:r w:rsidR="00616325" w:rsidRPr="004033CE">
        <w:rPr>
          <w:rFonts w:ascii="Times New Roman" w:hAnsi="Times New Roman" w:cs="Times New Roman"/>
          <w:b/>
          <w:bCs/>
          <w:sz w:val="22"/>
          <w:szCs w:val="22"/>
        </w:rPr>
        <w:t>S</w:t>
      </w:r>
      <w:r w:rsidRPr="004033CE">
        <w:rPr>
          <w:rFonts w:ascii="Times New Roman" w:hAnsi="Times New Roman" w:cs="Times New Roman"/>
          <w:b/>
          <w:bCs/>
          <w:sz w:val="22"/>
          <w:szCs w:val="22"/>
        </w:rPr>
        <w:t>1: Indicators and rationale behind each indicator.</w:t>
      </w:r>
    </w:p>
    <w:tbl>
      <w:tblPr>
        <w:tblStyle w:val="TableGrid"/>
        <w:tblW w:w="0" w:type="auto"/>
        <w:tblInd w:w="-5" w:type="dxa"/>
        <w:tblLook w:val="04A0" w:firstRow="1" w:lastRow="0" w:firstColumn="1" w:lastColumn="0" w:noHBand="0" w:noVBand="1"/>
      </w:tblPr>
      <w:tblGrid>
        <w:gridCol w:w="1755"/>
        <w:gridCol w:w="1858"/>
        <w:gridCol w:w="5292"/>
      </w:tblGrid>
      <w:tr w:rsidR="00382A05" w:rsidRPr="004033CE" w14:paraId="0DE8D15C" w14:textId="77777777" w:rsidTr="00101B97">
        <w:tc>
          <w:tcPr>
            <w:tcW w:w="1755" w:type="dxa"/>
            <w:tcBorders>
              <w:top w:val="single" w:sz="4" w:space="0" w:color="auto"/>
            </w:tcBorders>
          </w:tcPr>
          <w:p w14:paraId="18F020C1" w14:textId="257FC269" w:rsidR="00382A05" w:rsidRPr="004033CE" w:rsidRDefault="00382A05" w:rsidP="00101B97">
            <w:pPr>
              <w:rPr>
                <w:rFonts w:ascii="Times New Roman" w:hAnsi="Times New Roman" w:cs="Times New Roman"/>
                <w:b/>
                <w:bCs/>
              </w:rPr>
            </w:pPr>
            <w:r w:rsidRPr="004033CE">
              <w:rPr>
                <w:rFonts w:ascii="Times New Roman" w:hAnsi="Times New Roman" w:cs="Times New Roman"/>
                <w:b/>
                <w:bCs/>
              </w:rPr>
              <w:t>Indicator</w:t>
            </w:r>
          </w:p>
        </w:tc>
        <w:tc>
          <w:tcPr>
            <w:tcW w:w="1858" w:type="dxa"/>
            <w:tcBorders>
              <w:top w:val="single" w:sz="4" w:space="0" w:color="auto"/>
            </w:tcBorders>
          </w:tcPr>
          <w:p w14:paraId="4F254103" w14:textId="77777777" w:rsidR="00382A05" w:rsidRPr="004033CE" w:rsidRDefault="00382A05" w:rsidP="00101B97">
            <w:pPr>
              <w:rPr>
                <w:rFonts w:ascii="Times New Roman" w:hAnsi="Times New Roman" w:cs="Times New Roman"/>
                <w:b/>
                <w:bCs/>
              </w:rPr>
            </w:pPr>
            <w:r w:rsidRPr="004033CE">
              <w:rPr>
                <w:rFonts w:ascii="Times New Roman" w:hAnsi="Times New Roman" w:cs="Times New Roman"/>
                <w:b/>
                <w:bCs/>
              </w:rPr>
              <w:t>Construction</w:t>
            </w:r>
          </w:p>
        </w:tc>
        <w:tc>
          <w:tcPr>
            <w:tcW w:w="5292" w:type="dxa"/>
            <w:tcBorders>
              <w:top w:val="single" w:sz="4" w:space="0" w:color="auto"/>
            </w:tcBorders>
          </w:tcPr>
          <w:p w14:paraId="633BF311" w14:textId="77777777" w:rsidR="00382A05" w:rsidRPr="004033CE" w:rsidRDefault="00382A05" w:rsidP="00101B97">
            <w:pPr>
              <w:rPr>
                <w:rFonts w:ascii="Times New Roman" w:hAnsi="Times New Roman" w:cs="Times New Roman"/>
                <w:b/>
                <w:bCs/>
              </w:rPr>
            </w:pPr>
            <w:r w:rsidRPr="004033CE">
              <w:rPr>
                <w:rFonts w:ascii="Times New Roman" w:hAnsi="Times New Roman" w:cs="Times New Roman"/>
                <w:b/>
                <w:bCs/>
              </w:rPr>
              <w:t>Rationale</w:t>
            </w:r>
          </w:p>
        </w:tc>
      </w:tr>
      <w:tr w:rsidR="00382A05" w:rsidRPr="004033CE" w14:paraId="1EA2F5FD" w14:textId="77777777" w:rsidTr="00101B97">
        <w:tc>
          <w:tcPr>
            <w:tcW w:w="8905" w:type="dxa"/>
            <w:gridSpan w:val="3"/>
            <w:tcBorders>
              <w:top w:val="single" w:sz="4" w:space="0" w:color="auto"/>
            </w:tcBorders>
          </w:tcPr>
          <w:p w14:paraId="37B46567" w14:textId="77777777" w:rsidR="00382A05" w:rsidRPr="004033CE" w:rsidRDefault="00382A05" w:rsidP="00101B97">
            <w:pPr>
              <w:rPr>
                <w:rFonts w:ascii="Times New Roman" w:hAnsi="Times New Roman" w:cs="Times New Roman"/>
              </w:rPr>
            </w:pPr>
            <w:r w:rsidRPr="004033CE">
              <w:rPr>
                <w:rFonts w:ascii="Times New Roman" w:hAnsi="Times New Roman" w:cs="Times New Roman"/>
                <w:b/>
                <w:bCs/>
              </w:rPr>
              <w:t>Socioeconomic Domain</w:t>
            </w:r>
          </w:p>
        </w:tc>
      </w:tr>
      <w:tr w:rsidR="00382A05" w:rsidRPr="004033CE" w14:paraId="5583388C" w14:textId="77777777" w:rsidTr="00101B97">
        <w:tc>
          <w:tcPr>
            <w:tcW w:w="1755" w:type="dxa"/>
            <w:tcBorders>
              <w:top w:val="single" w:sz="4" w:space="0" w:color="auto"/>
            </w:tcBorders>
          </w:tcPr>
          <w:p w14:paraId="6CC3AF04"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Urbanisation</w:t>
            </w:r>
          </w:p>
        </w:tc>
        <w:tc>
          <w:tcPr>
            <w:tcW w:w="1858" w:type="dxa"/>
            <w:tcBorders>
              <w:top w:val="single" w:sz="4" w:space="0" w:color="auto"/>
            </w:tcBorders>
          </w:tcPr>
          <w:p w14:paraId="2A1E30EE"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households in urban areas among the total number of households</w:t>
            </w:r>
          </w:p>
        </w:tc>
        <w:tc>
          <w:tcPr>
            <w:tcW w:w="5292" w:type="dxa"/>
            <w:tcBorders>
              <w:top w:val="single" w:sz="4" w:space="0" w:color="auto"/>
            </w:tcBorders>
          </w:tcPr>
          <w:p w14:paraId="6347D354"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Urbanisation is associated with increased cardiovascular risks among various populations. Urban setting exposes individuals to a wide range of risk factors, starting from sedentary lifestyle, unhealthy dietary patterns, to high levels of outdoor pollution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{"citationID":"9YvY6Prk","properties":{"formattedCitation":"(Flies et al., 2019)","plainCitation":"(Flies et al., 2019)","noteIndex":0},"citationItems":[{"id":387,"uris":["http://zotero.org/users/local/no4ht0wh/items/JKLABX66"],"itemData":{"id":387,"type":"article-journal","container-title":"Environment international","note":"publisher: Elsevier","page":"105187","source":"Google Scholar","title":"Urban-associated diseases: Candidate diseases, environmental risk factors, and a path forward","title-short":"Urban-associated diseases","volume":"133","author":[{"family":"Flies","given":"Emily J."},{"family":"Mavoa","given":"Suzanne"},{"family":"Zosky","given":"Graeme R."},{"family":"Mantzioris","given":"Evangeline"},{"family":"Williams","given":"Craig"},{"family":"Eri","given":"Rajaraman"},{"family":"Brook","given":"Barry W."},{"family":"Buettel","given":"Jessie C."}],"issued":{"date-parts":[["2019"]]}}}],"schema":"https://github.com/citation-style-language/schema/raw/master/csl-citation.json"}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(Flies et al., 2019)</w:t>
            </w:r>
            <w:r w:rsidRPr="004033CE">
              <w:rPr>
                <w:rFonts w:ascii="Times New Roman" w:hAnsi="Times New Roman" w:cs="Times New Roman"/>
              </w:rPr>
              <w:fldChar w:fldCharType="end"/>
            </w:r>
            <w:r w:rsidRPr="004033CE">
              <w:rPr>
                <w:rFonts w:ascii="Times New Roman" w:hAnsi="Times New Roman" w:cs="Times New Roman"/>
              </w:rPr>
              <w:t xml:space="preserve">. Additionally, urban environments can foster chronic stress due to overcrowding, work pressure, and lack of green spaces, which can contribute to the development or worsening of hypertension, obesity and other CVD-related conditions. Several existing studies on developing countries have uncovered that the incidence rates of CVD risk factors are likely influenced by changes in lifestyle brought on by urbanisation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{"citationID":"7iwR3WnQ","properties":{"formattedCitation":"(Armstrong et al., 2023; Huffman et al., 2011; Sajid et al., 2020; Teo &amp; Rafiq, 2021)","plainCitation":"(Armstrong et al., 2023; Huffman et al., 2011; Sajid et al., 2020; Teo &amp; Rafiq, 2021)","noteIndex":0},"citationItems":[{"id":136,"uris":["http://zotero.org/users/local/no4ht0wh/items/USWT527T"],"itemData":{"id":136,"type":"article-journal","container-title":"Communications Medicine","issue":"1","note":"publisher: Nature Publishing Group UK London","page":"17","source":"Google Scholar","title":"Urbanization and cardiovascular health among Indigenous groups in Brazil","volume":"3","author":[{"family":"Armstrong","given":"Anderson da Costa"},{"family":"Souza","given":"Carlos Dornels Freire","non-dropping-particle":"de"},{"family":"Santos","given":"Juracy Marques","dropping-particle":"dos"},{"family":"Carmo","given":"Rodrigo Feliciano","dropping-particle":"do"},{"family":"Armstrong","given":"Dinani Matoso Fialho de Oliveira"},{"family":"Pereira","given":"Vanessa Cardoso"},{"family":"Ladeia","given":"Ana Marice"},{"family":"Correia","given":"Luis Claudio Lemos"},{"family":"Barral-Netto","given":"Manoel"},{"family":"Lima","given":"Joao Augusto Costa"}],"issued":{"date-parts":[["2023"]]}}},{"id":134,"uris":["http://zotero.org/users/local/no4ht0wh/items/DXQBSHLF"],"itemData":{"id":134,"type":"article-journal","container-title":"Journal of the American College of Cardiology","DOI":"10.1016/j.jacc.2010.09.083","ISSN":"07351097","issue":"17","journalAbbreviation":"Journal of the American College of Cardiology","language":"en","license":"https://www.elsevier.com/tdm/userlicense/1.0/","page":"1765-1774","source":"DOI.org (Crossref)","title":"Incidence of Cardiovascular Risk Factors in an Indian Urban Cohort","volume":"57","author":[{"family":"Huffman","given":"Mark D."},{"family":"Prabhakaran","given":"Dorairaj"},{"family":"Osmond","given":"Clive"},{"family":"Fall","given":"Caroline H.D."},{"family":"Tandon","given":"Nikhil"},{"family":"Lakshmy","given":"Ramakrishnan"},{"family":"Ramji","given":"Siddharth"},{"family":"Khalil","given":"Anita"},{"family":"Gera","given":"Tarun"},{"family":"Prabhakaran","given":"Poornima"},{"family":"Biswas","given":"S.K. Dey"},{"family":"Reddy","given":"K. Srinath"},{"family":"Bhargava","given":"Santosh K."},{"family":"Sachdev","given":"Harshpal S."}],"issued":{"date-parts":[["2011",4]]}}},{"id":132,"uris":["http://zotero.org/users/local/no4ht0wh/items/4MBQEMDB"],"itemData":{"id":132,"type":"article-journal","abstract":"Background\n              Modifiable risk factors are associated with cardiovascular mortality (CVM) which is a leading form of global mortality. However, diverse nature of urbanization and its objective measurement can modify their relationship. This study aims to investigate the moderating role of urbanization in the relationship of combined exposure (CE) of modifiable risk factors and CVM.\n            \n            \n              Design and methods\n              This is the first comprehensive study which considers different forms of urbanization to gauge its manifold impact. Therefore, in addition to existing original quantitative form and traditional two categories of urbanization, a new form consisted of four levels of urbanization was duly introduced. This study used data of 129 countries mainly retrieved from a WHO report, Non-Communicable Diseases Country Profile 2014. Factor scores obtained through confirmatory factor analysis were used to compute the CE. Age-income adjusted regression model for CVM was tested as a baseline with three bootstrap regression models developed for the three forms of urbanization.\n            \n            \n              Results\n              Results revealed that the CE and CVM baseline relationship was significantly moderated through the original quantitative form of urbanization. Contrarily, the two traditional categories of urbanization could not capture the moderating impact. However, the four levels of urbanization were objectively estimated the urbanization impact and subsequently indicated that the CE was more alarming in causing the CVM in levels 2 and 3 urbanized countries, mainly from low-middle-income countries.\n            \n            \n              Conclusion\n              This study concluded that the urbanization is a strong moderator and it could be gauged effectively through four levels whereas sufficiency of two traditional categories of urbanization is questionable.","container-title":"Journal of Public Health Research","DOI":"10.4081/jphr.2020.1893","ISSN":"2279-9036, 2279-9036","issue":"4","journalAbbreviation":"Journal of Public Health Research","language":"en","page":"jphr.2020.1893","source":"DOI.org (Crossref)","title":"Modifiable Risk Factors and Overall Cardiovascular Mortality: Moderation of Urbanization","title-short":"Modifiable Risk Factors and Overall Cardiovascular Mortality","volume":"9","author":[{"family":"Sajid","given":"Mirza Rizwan"},{"family":"Muhammad","given":"Noryanti"},{"family":"Zakaria","given":"Roslinazairimah"},{"family":"Bukhari","given":"Syed Ahmad Chan"}],"issued":{"date-parts":[["2020",10,14]]}}},{"id":138,"uris":["http://zotero.org/users/local/no4ht0wh/items/MPMBV8VY"],"itemData":{"id":138,"type":"article-journal","container-title":"Canadian Journal of Cardiology","issue":"5","note":"publisher: Elsevier","page":"733–743","source":"Google Scholar","title":"Cardiovascular risk factors and prevention: a perspective from developing countries","title-short":"Cardiovascular risk factors and prevention","volume":"37","author":[{"family":"Teo","given":"Koon K."},{"family":"Rafiq","given":"Talha"}],"issued":{"date-parts":[["2021"]]}}}],"schema":"https://github.com/citation-style-language/schema/raw/master/csl-citation.json"}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(Armstrong et al., 2023; Huffman et al., 2011; Sajid et al., 2020; Teo &amp; Rafiq, 2021)</w:t>
            </w:r>
            <w:r w:rsidRPr="004033CE">
              <w:rPr>
                <w:rFonts w:ascii="Times New Roman" w:hAnsi="Times New Roman" w:cs="Times New Roman"/>
              </w:rPr>
              <w:fldChar w:fldCharType="end"/>
            </w:r>
            <w:r w:rsidRPr="004033CE">
              <w:rPr>
                <w:rFonts w:ascii="Times New Roman" w:hAnsi="Times New Roman" w:cs="Times New Roman"/>
              </w:rPr>
              <w:t xml:space="preserve">. Urbanisation is also seen as a double-edged phenomenon when it comes to such lifestyle diseases. Although urban areas have improved and a high concentration of medical facilities, not everyone has easy access to medical treatment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{"citationID":"juRNYGIs","properties":{"formattedCitation":"(Salvi et al., 2015)","plainCitation":"(Salvi et al., 2015)","noteIndex":0},"citationItems":[{"id":144,"uris":["http://zotero.org/users/local/no4ht0wh/items/26E4DYAP"],"itemData":{"id":144,"type":"article-journal","container-title":"The Lancet Global Health","issue":"12","note":"publisher: Elsevier","page":"e776–e784","source":"Google Scholar","title":"Symptoms and medical conditions in 204 912 patients visiting primary health-care practitioners in India: a 1-day point prevalence study (the POSEIDON study)","title-short":"Symptoms and medical conditions in 204 912 patients visiting primary health-care practitioners in India","volume":"3","author":[{"family":"Salvi","given":"Sundeep"},{"family":"Apte","given":"Komalkirti"},{"family":"Madas","given":"Sapna"},{"family":"Barne","given":"Monica"},{"family":"Chhowala","given":"Sushmeeta"},{"family":"Sethi","given":"Tavpritesh"},{"family":"Aggarwal","given":"Kunal"},{"family":"Agrawal","given":"Anurag"},{"family":"Gogtay","given":"Jaideep"}],"issued":{"date-parts":[["2015"]]}}}],"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(Salvi et al., 2015)</w:t>
            </w:r>
            <w:r w:rsidRPr="004033CE">
              <w:rPr>
                <w:rFonts w:ascii="Times New Roman" w:hAnsi="Times New Roman" w:cs="Times New Roman"/>
              </w:rPr>
              <w:fldChar w:fldCharType="end"/>
            </w:r>
            <w:r w:rsidRPr="004033CE">
              <w:rPr>
                <w:rFonts w:ascii="Times New Roman" w:hAnsi="Times New Roman" w:cs="Times New Roman"/>
              </w:rPr>
              <w:t xml:space="preserve">. Moreover, a study has reported that 37% of doctors in the country had minimal or no medical training, with the proportion being higher in rural areas (63%) than in urban (20%)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{"citationID":"BLiOAZT9","properties":{"formattedCitation":"(Rao et al., 2012)","plainCitation":"(Rao et al., 2012)","noteIndex":0},"citationItems":[{"id":146,"uris":["http://zotero.org/users/local/no4ht0wh/items/8NUUHDUC"],"itemData":{"id":146,"type":"article-journal","container-title":"Human Resources for Health","DOI":"10.1186/1478-4491-10-19","ISSN":"1478-4491","issue":"1","journalAbbreviation":"Hum Resour Health","language":"en","license":"http://creativecommons.org/licenses/by/2.0","page":"19","source":"DOI.org (Crossref)","title":"So many, yet few: Human resources for health in India","title-short":"So many, yet few","volume":"10","author":[{"family":"Rao","given":"Krishna D"},{"family":"Bhatnagar","given":"Aarushi"},{"family":"Berman","given":"Peter"}],"issued":{"date-parts":[["2012",12]]}}}],"schema":"https://github.com/citation-style-language/schema/raw/master/csl-citation.json"}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(Rao et al., 2012)</w:t>
            </w:r>
            <w:r w:rsidRPr="004033CE">
              <w:rPr>
                <w:rFonts w:ascii="Times New Roman" w:hAnsi="Times New Roman" w:cs="Times New Roman"/>
              </w:rPr>
              <w:fldChar w:fldCharType="end"/>
            </w:r>
            <w:r w:rsidRPr="004033CE">
              <w:rPr>
                <w:rFonts w:ascii="Times New Roman" w:hAnsi="Times New Roman" w:cs="Times New Roman"/>
              </w:rPr>
              <w:t>. Therefore, including urbanisation as an indicator while developing a CVD vulnerability index is imperative.</w:t>
            </w:r>
          </w:p>
        </w:tc>
      </w:tr>
      <w:tr w:rsidR="00382A05" w:rsidRPr="004033CE" w14:paraId="47F4AD75" w14:textId="77777777" w:rsidTr="00101B97">
        <w:tc>
          <w:tcPr>
            <w:tcW w:w="1755" w:type="dxa"/>
            <w:tcBorders>
              <w:top w:val="single" w:sz="4" w:space="0" w:color="auto"/>
            </w:tcBorders>
          </w:tcPr>
          <w:p w14:paraId="261D3671"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Higher Education</w:t>
            </w:r>
          </w:p>
        </w:tc>
        <w:tc>
          <w:tcPr>
            <w:tcW w:w="1858" w:type="dxa"/>
            <w:tcBorders>
              <w:top w:val="single" w:sz="4" w:space="0" w:color="auto"/>
            </w:tcBorders>
          </w:tcPr>
          <w:p w14:paraId="49BE4FE3"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adults who have higher education (above secondary) among the total population</w:t>
            </w:r>
          </w:p>
        </w:tc>
        <w:tc>
          <w:tcPr>
            <w:tcW w:w="5292" w:type="dxa"/>
            <w:tcBorders>
              <w:top w:val="single" w:sz="4" w:space="0" w:color="auto"/>
            </w:tcBorders>
          </w:tcPr>
          <w:p w14:paraId="250B9234"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The indicator of higher education is inversely related to vulnerability, where the higher the proportion of people with higher education, the lower the vulnerability. Highly educated people are more likely to understand health-related information, identify symptoms and follow treatment plans, which may result in better control of risk factors and early diagnosis. Higher education is linked to a decreased risk of various CVDs, including heart disease, stroke, and type 2 diabetes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{"citationID":"ZAELcSp4","properties":{"formattedCitation":"(Hu et al., 2024)","plainCitation":"(Hu et al., 2024)","noteIndex":0},"citationItems":[{"id":157,"uris":["http://zotero.org/users/local/no4ht0wh/items/HIBIN8UK"],"itemData":{"id":157,"type":"article-journal","container-title":"The American Journal of Cardiology","note":"publisher: Elsevier","page":"76–85","source":"Google Scholar","title":"Causal associations of education level with cardiovascular diseases, cardiovascular biomarkers, and socioeconomic factors","volume":"213","author":[{"family":"Hu","given":"Mengjin"},{"family":"Yang","given":"Tao"},{"family":"Yang","given":"Yuejin"}],"issued":{"date-parts":[["2024"]]}}}],"schema":"https://github.com/citation-style-language/schema/raw/master/csl-citation.json"}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(Hu et al., 2024)</w:t>
            </w:r>
            <w:r w:rsidRPr="004033CE">
              <w:rPr>
                <w:rFonts w:ascii="Times New Roman" w:hAnsi="Times New Roman" w:cs="Times New Roman"/>
              </w:rPr>
              <w:fldChar w:fldCharType="end"/>
            </w:r>
            <w:r w:rsidRPr="004033CE">
              <w:rPr>
                <w:rFonts w:ascii="Times New Roman" w:hAnsi="Times New Roman" w:cs="Times New Roman"/>
              </w:rPr>
              <w:t xml:space="preserve">.  Lower educational attainment was linked to a higher prevalence of risk factors and increased cardiovascular mortality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{"citationID":"SUrLSD3y","properties":{"formattedCitation":"(Strand &amp; Tverdal, 2004)","plainCitation":"(Strand &amp; Tverdal, 2004)","noteIndex":0},"citationItems":[{"id":158,"uris":["http://zotero.org/users/local/no4ht0wh/items/AQRHNWD9"],"itemData":{"id":158,"type":"article-journal","container-title":"Journal of Epidemiology &amp; Community Health","issue":"8","note":"publisher: BMJ Publishing Group Ltd","page":"705–709","source":"Google Scholar","title":"Can cardiovascular risk factors and lifestyle explain the educational inequalities in mortality from ischaemic heart disease and from other heart diseases? 26 year follow up of 50 000 Norwegian men and women","title-short":"Can cardiovascular risk factors and lifestyle explain the educational inequalities in mortality from ischaemic heart disease and from other heart diseases?","volume":"58","author":[{"family":"Strand","given":"Bjørn Heine"},{"family":"Tverdal","given":"Aage"}],"issued":{"date-parts":[["2004"]]}}}],"schema":"https://github.com/citation-style-language/schema/raw/master/csl-citation.json"}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(Strand &amp; Tverdal, 2004)</w:t>
            </w:r>
            <w:r w:rsidRPr="004033CE">
              <w:rPr>
                <w:rFonts w:ascii="Times New Roman" w:hAnsi="Times New Roman" w:cs="Times New Roman"/>
              </w:rPr>
              <w:fldChar w:fldCharType="end"/>
            </w:r>
            <w:r w:rsidRPr="004033CE">
              <w:rPr>
                <w:rFonts w:ascii="Times New Roman" w:hAnsi="Times New Roman" w:cs="Times New Roman"/>
              </w:rPr>
              <w:t>. Additionally, higher education attainment within a household may benefit other members, influencing other members’ health behaviours and proper resource allocation. Therefore, including the proportion of the population with higher education acts as a coping mechanism that can lower vulnerability to CVDs.</w:t>
            </w:r>
          </w:p>
        </w:tc>
      </w:tr>
      <w:tr w:rsidR="00382A05" w:rsidRPr="004033CE" w14:paraId="1D95E518" w14:textId="77777777" w:rsidTr="00101B97">
        <w:tc>
          <w:tcPr>
            <w:tcW w:w="1755" w:type="dxa"/>
            <w:tcBorders>
              <w:top w:val="single" w:sz="4" w:space="0" w:color="auto"/>
            </w:tcBorders>
          </w:tcPr>
          <w:p w14:paraId="10AF2FCF"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lastRenderedPageBreak/>
              <w:t>Economic status</w:t>
            </w:r>
          </w:p>
        </w:tc>
        <w:tc>
          <w:tcPr>
            <w:tcW w:w="1858" w:type="dxa"/>
            <w:tcBorders>
              <w:top w:val="single" w:sz="4" w:space="0" w:color="auto"/>
            </w:tcBorders>
          </w:tcPr>
          <w:p w14:paraId="2BC9C48F"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households without a BPL card among the total number of households</w:t>
            </w:r>
          </w:p>
        </w:tc>
        <w:tc>
          <w:tcPr>
            <w:tcW w:w="5292" w:type="dxa"/>
            <w:tcBorders>
              <w:top w:val="single" w:sz="4" w:space="0" w:color="auto"/>
            </w:tcBorders>
          </w:tcPr>
          <w:p w14:paraId="768669CD" w14:textId="1653B97D" w:rsidR="00382A05" w:rsidRPr="004033CE" w:rsidRDefault="00D33672" w:rsidP="00101B97">
            <w:pPr>
              <w:rPr>
                <w:rFonts w:ascii="Times New Roman" w:hAnsi="Times New Roman" w:cs="Times New Roman"/>
              </w:rPr>
            </w:pPr>
            <w:r w:rsidRPr="00086500">
              <w:rPr>
                <w:rFonts w:ascii="Times New Roman" w:hAnsi="Times New Roman" w:cs="Times New Roman"/>
                <w:color w:val="EE0000"/>
              </w:rPr>
              <w:t>The inclusion of the proportion of households without a BPL card as a socioeconomic vulnerability indicator is grounded in the well-established social gradient of non-communicable diseases, particularly in the context of India's ongoing epidemiological transition</w:t>
            </w:r>
            <w:r>
              <w:rPr>
                <w:rFonts w:ascii="Times New Roman" w:hAnsi="Times New Roman" w:cs="Times New Roman"/>
                <w:color w:val="EE0000"/>
              </w:rPr>
              <w:t xml:space="preserve">. </w:t>
            </w:r>
            <w:r w:rsidRPr="00DA0CAA">
              <w:rPr>
                <w:rFonts w:ascii="Times New Roman" w:hAnsi="Times New Roman" w:cs="Times New Roman"/>
                <w:color w:val="EE0000"/>
              </w:rPr>
              <w:t>Households not classified under the BPL category are relatively more affluent and are therefore more likely to be exposed to a distinct set of CVD risk factors associated with economic prosperity. These include sedentary occupational and leisure-time behaviours, greater consumption of calorie-dense and processed foods, higher rates of obesity and abdominal adiposity, psychosocial stress associated with urban professional lifestyles, and greater access to and consumption of tobacco and alcohol products</w:t>
            </w:r>
            <w:r w:rsidRPr="00D33672">
              <w:rPr>
                <w:rFonts w:ascii="Times New Roman" w:hAnsi="Times New Roman" w:cs="Times New Roman"/>
              </w:rPr>
              <w:t>.</w:t>
            </w:r>
            <w:r>
              <w:rPr>
                <w:rFonts w:ascii="Times New Roman" w:hAnsi="Times New Roman" w:cs="Times New Roman"/>
              </w:rPr>
              <w:t xml:space="preserve"> </w:t>
            </w:r>
            <w:r w:rsidR="00382A05" w:rsidRPr="004033CE">
              <w:rPr>
                <w:rFonts w:ascii="Times New Roman" w:hAnsi="Times New Roman" w:cs="Times New Roman"/>
              </w:rPr>
              <w:t xml:space="preserve">Moreover, rising disposable income is associated with increased consumption of processed foods and fast foods along with reduced physical activity. </w:t>
            </w:r>
            <w:r>
              <w:rPr>
                <w:rFonts w:ascii="Times New Roman" w:hAnsi="Times New Roman" w:cs="Times New Roman"/>
              </w:rPr>
              <w:t>By</w:t>
            </w:r>
            <w:r w:rsidR="00382A05" w:rsidRPr="004033CE">
              <w:rPr>
                <w:rFonts w:ascii="Times New Roman" w:hAnsi="Times New Roman" w:cs="Times New Roman"/>
              </w:rPr>
              <w:t xml:space="preserve"> including the proportion of non-BPL households, the index captures this emerging pattern of lifestyle-driven cardiovascular vulnerability</w:t>
            </w:r>
          </w:p>
        </w:tc>
      </w:tr>
      <w:tr w:rsidR="00382A05" w:rsidRPr="004033CE" w14:paraId="1F7C05A0" w14:textId="77777777" w:rsidTr="00101B97">
        <w:tc>
          <w:tcPr>
            <w:tcW w:w="8905" w:type="dxa"/>
            <w:gridSpan w:val="3"/>
          </w:tcPr>
          <w:p w14:paraId="1A829ADE" w14:textId="77777777" w:rsidR="00382A05" w:rsidRPr="004033CE" w:rsidRDefault="00382A05" w:rsidP="00101B97">
            <w:pPr>
              <w:rPr>
                <w:rFonts w:ascii="Times New Roman" w:hAnsi="Times New Roman" w:cs="Times New Roman"/>
              </w:rPr>
            </w:pPr>
            <w:r w:rsidRPr="004033CE">
              <w:rPr>
                <w:rFonts w:ascii="Times New Roman" w:hAnsi="Times New Roman" w:cs="Times New Roman"/>
                <w:b/>
                <w:bCs/>
              </w:rPr>
              <w:t>Physiological Domain</w:t>
            </w:r>
          </w:p>
        </w:tc>
      </w:tr>
      <w:tr w:rsidR="00382A05" w:rsidRPr="004033CE" w14:paraId="04461353" w14:textId="77777777" w:rsidTr="00101B97">
        <w:tc>
          <w:tcPr>
            <w:tcW w:w="1755" w:type="dxa"/>
          </w:tcPr>
          <w:p w14:paraId="73F08FD5"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Abdominal Obesity</w:t>
            </w:r>
          </w:p>
        </w:tc>
        <w:tc>
          <w:tcPr>
            <w:tcW w:w="1858" w:type="dxa"/>
          </w:tcPr>
          <w:p w14:paraId="6ECACDDF"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adults exceeding the required waist circumference among the total population</w:t>
            </w:r>
          </w:p>
        </w:tc>
        <w:tc>
          <w:tcPr>
            <w:tcW w:w="5292" w:type="dxa"/>
          </w:tcPr>
          <w:p w14:paraId="7548C8A3"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Abdominal Obesity is a significant risk factor for cardiovascular diseases, type-2 diabetes, and various other metabolic conditions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{"citationID":"LLQgnohR","properties":{"formattedCitation":"(Powell-Wiley et al., 2021)","plainCitation":"(Powell-Wiley et al., 2021)","noteIndex":0},"citationItems":[{"id":118,"uris":["http://zotero.org/users/local/no4ht0wh/items/PN73V6Q8"],"itemData":{"id":118,"type":"article-journal","abstract":"The global obesity epidemic is well established, with increases in obesity prevalence for most countries since the 1980s. Obesity contributes directly to incident cardiovascular risk factors, including dyslipidemia, type 2 diabetes, hypertension, and sleep disorders. Obesity also leads to the development of cardiovascular disease and cardiovascular disease mortality independently of other cardiovascular risk factors. More recent data highlight abdominal obesity, as determined by waist circumference, as a cardiovascular disease risk marker that is independent of body mass index. There have also been significant advances in imaging modalities for characterizing body composition, including visceral adiposity. Studies that quantify fat depots, including ectopic fat, support excess visceral adiposity as an independent indicator of poor cardiovascular outcomes. Lifestyle modification and subsequent weight loss improve both metabolic syndrome and associated systemic inflammation and endothelial dysfunction. However, clinical trials of medical weight loss have not demonstrated a reduction in coronary artery disease rates. In contrast, prospective studies comparing patients undergoing bariatric surgery with nonsurgical patients with obesity have shown reduced coronary artery disease risk with surgery. In this statement, we summarize the impact of obesity on the diagnosis, clinical management, and outcomes of atherosclerotic cardiovascular disease, heart failure, and arrhythmias, especially sudden cardiac death and atrial fibrillation. In particular, we examine the influence of obesity on noninvasive and invasive diagnostic procedures for coronary artery disease. Moreover, we review the impact of obesity on cardiac function and outcomes related to heart failure with reduced and preserved ejection fraction. Finally, we describe the effects of lifestyle and surgical weight loss interventions on outcomes related to coronary artery disease, heart failure, and atrial fibrillation.","container-title":"Circulation","DOI":"10.1161/CIR.0000000000000973","ISSN":"0009-7322, 1524-4539","issue":"21","journalAbbreviation":"Circulation","language":"en","source":"DOI.org (Crossref)","title":"Obesity and Cardiovascular Disease: A Scientific Statement From the American Heart Association","title-short":"Obesity and Cardiovascular Disease","URL":"https://www.ahajournals.org/doi/10.1161/CIR.0000000000000973","volume":"143","author":[{"family":"Powell-Wiley","given":"Tiffany M."},{"family":"Poirier","given":"Paul"},{"family":"Burke","given":"Lora E."},{"family":"Després","given":"Jean-Pierre"},{"family":"Gordon-Larsen","given":"Penny"},{"family":"Lavie","given":"Carl J."},{"family":"Lear","given":"Scott A."},{"family":"Ndumele","given":"Chiadi E."},{"family":"Neeland","given":"Ian J."},{"family":"Sanders","given":"Prashanthan"},{"family":"St-Onge","given":"Marie-Pierre"},{"literal":"On behalf of the American Heart Association Council on Lifestyle and Cardiometabolic Health; Council on Cardiovascular and Stroke Nursing; Council on Clinical Cardiology; Council on Epidemiology and Prevention; and Stroke Council"}],"accessed":{"date-parts":[["2024",12,1]]},"issued":{"date-parts":[["2021",5,25]]}}}],"schema":"https://github.com/citation-style-language/schema/raw/master/csl-citation.json"}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(Powell-Wiley et al., 2021)</w:t>
            </w:r>
            <w:r w:rsidRPr="004033CE">
              <w:rPr>
                <w:rFonts w:ascii="Times New Roman" w:hAnsi="Times New Roman" w:cs="Times New Roman"/>
              </w:rPr>
              <w:fldChar w:fldCharType="end"/>
            </w:r>
            <w:r w:rsidRPr="004033CE">
              <w:rPr>
                <w:rFonts w:ascii="Times New Roman" w:hAnsi="Times New Roman" w:cs="Times New Roman"/>
              </w:rPr>
              <w:t xml:space="preserve">. This study defines abdominal obesity using waist circumference, which is regarded as a more precise measure of abdominal obesity compared to the waist-to-hip ratio. The sex-specific cut-off points for waist circumference are 94 cm for men and 80 cm for women to indicate an increased risk as per WHO recommendations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{"citationID":"394KdaNJ","properties":{"formattedCitation":"(Consultation, 2008)","plainCitation":"(Consultation, 2008)","noteIndex":0},"citationItems":[{"id":120,"uris":["http://zotero.org/users/local/no4ht0wh/items/5D8M9XBH"],"itemData":{"id":120,"type":"article-journal","container-title":"Report of a WHO Expert Consultation. Geneva: World Health Organization","page":"8–11","source":"Google Scholar","title":"Waist circumference and waist-hip ratio","volume":"2008","author":[{"family":"Consultation","given":"WHO Expert"}],"issued":{"date-parts":[["2008"]]}}}],"schema":"https://github.com/citation-style-language/schema/raw/master/csl-citation.json"}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(Consultation, 2008)</w:t>
            </w:r>
            <w:r w:rsidRPr="004033CE">
              <w:rPr>
                <w:rFonts w:ascii="Times New Roman" w:hAnsi="Times New Roman" w:cs="Times New Roman"/>
              </w:rPr>
              <w:fldChar w:fldCharType="end"/>
            </w:r>
            <w:r w:rsidRPr="004033CE">
              <w:rPr>
                <w:rFonts w:ascii="Times New Roman" w:hAnsi="Times New Roman" w:cs="Times New Roman"/>
              </w:rPr>
              <w:t>.</w:t>
            </w:r>
          </w:p>
        </w:tc>
      </w:tr>
      <w:tr w:rsidR="00382A05" w:rsidRPr="004033CE" w14:paraId="04BE9A01" w14:textId="77777777" w:rsidTr="00101B97">
        <w:tc>
          <w:tcPr>
            <w:tcW w:w="1755" w:type="dxa"/>
          </w:tcPr>
          <w:p w14:paraId="0F5FFF3E"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Diabetes</w:t>
            </w:r>
          </w:p>
        </w:tc>
        <w:tc>
          <w:tcPr>
            <w:tcW w:w="1858" w:type="dxa"/>
          </w:tcPr>
          <w:p w14:paraId="70CFA7D1"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adults with diabetes among the total population</w:t>
            </w:r>
          </w:p>
        </w:tc>
        <w:tc>
          <w:tcPr>
            <w:tcW w:w="5292" w:type="dxa"/>
          </w:tcPr>
          <w:p w14:paraId="6965E2E7"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Diabetes is a serious health condition that is closely associated with the development and advancement of cardiovascular illnesses, making it an essential determinant of vulnerability. Diabetic patients have a 2-4 times higher risk of developing CVDs as compared to non-diabetic patients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{"citationID":"xwWwYLHT","properties":{"formattedCitation":"(Dal Canto et al., 2019)","plainCitation":"(Dal Canto et al., 2019)","noteIndex":0},"citationItems":[{"id":116,"uris":["http://zotero.org/users/local/no4ht0wh/items/D2DYQJF4"],"itemData":{"id":116,"type":"article-journal","abstract":"Abstract\n            The global prevalence of diabetes is predicted to increase dramatically in the coming decades as the population grows and ages, in parallel with the rising burden of overweight and obesity, in both developed and developing countries. Cardiovascular disease represents the principal cause of death and morbidity among people with diabetes, especially in those with type 2 diabetes mellitus. Adults with diabetes have 2–4 times increased cardiovascular risk compared with adults without diabetes, and the risk rises with worsening glycaemic control. Diabetes has been associated with 75% increase in mortality rate in adults, and cardiovascular disease accounts for a large part of the excess mortality. Diabetes-related macrovascular and microvascular complications, including coronary heart disease, cerebrovascular disease, heart failure, peripheral vascular disease, chronic renal disease, diabetic retinopathy and cardiovascular autonomic neuropathy are responsible for the impaired quality of life, disability and premature death associated with diabetes. Given the substantial clinical impact of diabetes as a cardiovascular risk factor, there has been a growing focus on diabetes-related complications. While some population-based studies suggest that the epidemiology of such complications is changing and that rates of all-cause and cardiovascular mortality among individuals with diabetes are decreasing in high-income countries, the economic and social burden of diabetes is expected to rise due to changing demographics and lifestyle especially in middle- and low-income countries. In this review we outline data from population-based studies on recent and long-term trends in diabetes-related complications.","container-title":"European Journal of Preventive Cardiology","DOI":"10.1177/2047487319878371","ISSN":"2047-4873, 2047-4881","issue":"2_suppl","language":"en","license":"https://creativecommons.org/licenses/by-nc/4.0/","page":"25-32","source":"DOI.org (Crossref)","title":"Diabetes as a cardiovascular risk factor: An overview of global trends of macro and micro vascular complications","title-short":"Diabetes as a cardiovascular risk factor","volume":"26","author":[{"family":"Dal Canto","given":"Elisa"},{"family":"Ceriello","given":"Antonio"},{"family":"Rydén","given":"Lars"},{"family":"Ferrini","given":"Marc"},{"family":"Hansen","given":"Tina B"},{"family":"Schnell","given":"Oliver"},{"family":"Standl","given":"Eberhard"},{"family":"Beulens","given":"Joline Wj"}],"editor":[{"family":"Aboyans","given":"Victor"},{"family":"Cosentino","given":"Francesco"}],"issued":{"date-parts":[["2019",12,1]]}}}],"schema":"https://github.com/citation-style-language/schema/raw/master/csl-citation.json"}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(Dal Canto et al., 2019)</w:t>
            </w:r>
            <w:r w:rsidRPr="004033CE">
              <w:rPr>
                <w:rFonts w:ascii="Times New Roman" w:hAnsi="Times New Roman" w:cs="Times New Roman"/>
              </w:rPr>
              <w:fldChar w:fldCharType="end"/>
            </w:r>
            <w:r w:rsidRPr="004033CE">
              <w:rPr>
                <w:rFonts w:ascii="Times New Roman" w:hAnsi="Times New Roman" w:cs="Times New Roman"/>
              </w:rPr>
              <w:t>. Given the alarming rise in the prevalence of diabetes across India, it is essential to include it in the vulnerability index to capture the unequal burden of CVDs in the country.</w:t>
            </w:r>
          </w:p>
        </w:tc>
      </w:tr>
      <w:tr w:rsidR="00382A05" w:rsidRPr="004033CE" w14:paraId="4EEAE6AB" w14:textId="77777777" w:rsidTr="00101B97">
        <w:tc>
          <w:tcPr>
            <w:tcW w:w="1755" w:type="dxa"/>
          </w:tcPr>
          <w:p w14:paraId="1F26C2ED"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Older Population</w:t>
            </w:r>
          </w:p>
        </w:tc>
        <w:tc>
          <w:tcPr>
            <w:tcW w:w="1858" w:type="dxa"/>
          </w:tcPr>
          <w:p w14:paraId="2D10B82B"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older adults above the age of 45 among the total population</w:t>
            </w:r>
          </w:p>
        </w:tc>
        <w:tc>
          <w:tcPr>
            <w:tcW w:w="5292" w:type="dxa"/>
          </w:tcPr>
          <w:p w14:paraId="75761AB1"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An increasing proportion of Indians are moving into older age groups, and CVDs are strongly associated with older populations, with a self-reported prevalence of 29.4% for those aged 45 years and above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{"citationID":"LEsgxBq4","properties":{"formattedCitation":"(Kundu &amp; Kundu, 2022)","plainCitation":"(Kundu &amp; Kundu, 2022)","noteIndex":0},"citationItems":[{"id":266,"uris":["http://zotero.org/users/local/no4ht0wh/items/XETZK568"],"itemData":{"id":266,"type":"article-journal","container-title":"Clinical Epidemiology and Global Health","note":"publisher: Elsevier","page":"100937","source":"Google Scholar","title":"Cardiovascular disease (CVD) and its associated risk factors among older adults in India: Evidence from LASI Wave 1","title-short":"Cardiovascular disease (CVD) and its associated risk factors among older adults in India","volume":"13","author":[{"family":"Kundu","given":"Jhumki"},{"family":"Kundu","given":"Sampurna"}],"issued":{"date-parts":[["2022"]]}}}],"schema":"https://github.com/citation-style-language/schema/raw/master/csl-citation.json"}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(Kundu &amp; Kundu, 2022)</w:t>
            </w:r>
            <w:r w:rsidRPr="004033CE">
              <w:rPr>
                <w:rFonts w:ascii="Times New Roman" w:hAnsi="Times New Roman" w:cs="Times New Roman"/>
              </w:rPr>
              <w:fldChar w:fldCharType="end"/>
            </w:r>
            <w:r w:rsidRPr="004033CE">
              <w:rPr>
                <w:rFonts w:ascii="Times New Roman" w:hAnsi="Times New Roman" w:cs="Times New Roman"/>
              </w:rPr>
              <w:t xml:space="preserve">. In this study, as well, the proportion of the population aged over 45 is considered a part of this indicator. As individuals age, physiological changes such as arterial stiffening, endothelial dysfunction, and a higher likelihood of comorbidities like hypertension and diabetes significantly elevate the risk of CVDs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{"citationID":"TBWV2WNg","properties":{"formattedCitation":"(Harvey et al., 2015)","plainCitation":"(Harvey et al., 2015)","noteIndex":0},"citationItems":[{"id":335,"uris":["http://zotero.org/users/local/no4ht0wh/items/7D8JZEN6"],"itemData":{"id":335,"type":"article-journal","container-title":"Journal of molecular and cellular cardiology","page":"112","source":"Google Scholar","title":"Vascular biology of ageing—Implications in hypertension","volume":"83","author":[{"family":"Harvey","given":"Adam"},{"family":"Montezano","given":"Augusto C."},{"family":"Touyz","given":"Rhian M."}],"issued":{"date-parts":[["2015"]]}}}],"schema":"https://github.com/citation-style-language/schema/raw/master/csl-citation.json"}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(Harvey et al., 2015)</w:t>
            </w:r>
            <w:r w:rsidRPr="004033CE">
              <w:rPr>
                <w:rFonts w:ascii="Times New Roman" w:hAnsi="Times New Roman" w:cs="Times New Roman"/>
              </w:rPr>
              <w:fldChar w:fldCharType="end"/>
            </w:r>
            <w:r w:rsidRPr="004033CE">
              <w:rPr>
                <w:rFonts w:ascii="Times New Roman" w:hAnsi="Times New Roman" w:cs="Times New Roman"/>
              </w:rPr>
              <w:t>. Given that ageing is a non-modifiable yet critical risk factor, districts with a higher proportion of elderly individuals are inherently more susceptible to the burden of CVDs, justifying its inclusion in the index.</w:t>
            </w:r>
          </w:p>
        </w:tc>
      </w:tr>
      <w:tr w:rsidR="00382A05" w:rsidRPr="004033CE" w14:paraId="5A892D65" w14:textId="77777777" w:rsidTr="00101B97">
        <w:tc>
          <w:tcPr>
            <w:tcW w:w="1755" w:type="dxa"/>
          </w:tcPr>
          <w:p w14:paraId="24A01D64"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lastRenderedPageBreak/>
              <w:t>Chronic Respiratory Diseases</w:t>
            </w:r>
          </w:p>
        </w:tc>
        <w:tc>
          <w:tcPr>
            <w:tcW w:w="1858" w:type="dxa"/>
          </w:tcPr>
          <w:p w14:paraId="2D94550E"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adults with respiratory diseases among the total population</w:t>
            </w:r>
          </w:p>
        </w:tc>
        <w:tc>
          <w:tcPr>
            <w:tcW w:w="5292" w:type="dxa"/>
          </w:tcPr>
          <w:p w14:paraId="2E8FB7C1"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Chronic respiratory diseases, including asthma and chronic obstructive pulmonary disease (COPD), are independently associated with CVDs, particularly ischemic heart disease and heart failure, and hence become an important indicator of cardiovascular vulnerability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{"citationID":"kXUD1QoY","properties":{"formattedCitation":"(Carter et al., 2019)","plainCitation":"(Carter et al., 2019)","noteIndex":0},"citationItems":[{"id":127,"uris":["http://zotero.org/users/local/no4ht0wh/items/8ZQBZQN5"],"itemData":{"id":127,"type":"article-journal","container-title":"Journal of the American College of Cardiology","DOI":"10.1016/j.jacc.2018.11.063","ISSN":"07351097","issue":"17","journalAbbreviation":"Journal of the American College of Cardiology","language":"en","page":"2166-2177","source":"DOI.org (Crossref)","title":"Association of Cardiovascular Disease With Respiratory Disease","volume":"73","author":[{"family":"Carter","given":"Paul"},{"family":"Lagan","given":"Jakub"},{"family":"Fortune","given":"Christien"},{"family":"Bhatt","given":"Deepak L."},{"family":"Vestbo","given":"Jørgen"},{"family":"Niven","given":"Robert"},{"family":"Chaudhuri","given":"Nazia"},{"family":"Schelbert","given":"Erik B."},{"family":"Potluri","given":"Rahul"},{"family":"Miller","given":"Christopher A."}],"issued":{"date-parts":[["2019",5]]}}}],"schema":"https://github.com/citation-style-language/schema/raw/master/csl-citation.json"}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(Carter et al., 2019)</w:t>
            </w:r>
            <w:r w:rsidRPr="004033CE">
              <w:rPr>
                <w:rFonts w:ascii="Times New Roman" w:hAnsi="Times New Roman" w:cs="Times New Roman"/>
              </w:rPr>
              <w:fldChar w:fldCharType="end"/>
            </w:r>
            <w:r w:rsidRPr="004033CE">
              <w:rPr>
                <w:rFonts w:ascii="Times New Roman" w:hAnsi="Times New Roman" w:cs="Times New Roman"/>
              </w:rPr>
              <w:t xml:space="preserve">. Persistent respiratory conditions can lead to systemic inflammation, elevated blood pressure, and impaired heart function, all of which raise the risk of cardiovascular morbidity and mortality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{"citationID":"xRlo10Hn","properties":{"formattedCitation":"(Imaizumi et al., 2015)","plainCitation":"(Imaizumi et al., 2015)","noteIndex":0},"citationItems":[{"id":128,"uris":["http://zotero.org/users/local/no4ht0wh/items/Q9BCEYLK"],"itemData":{"id":128,"type":"article-journal","container-title":"Pulse","issue":"1-4","note":"publisher: S. Karger AG Basel, Switzerland","page":"103–112","source":"Google Scholar","title":"Lung disease and hypertension","volume":"2","author":[{"family":"Imaizumi","given":"Yuki"},{"family":"Eguchi","given":"Kazuo"},{"family":"Kario","given":"Kazuomi"}],"issued":{"date-parts":[["2015"]]}}}],"schema":"https://github.com/citation-style-language/schema/raw/master/csl-citation.json"}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(Imaizumi et al., 2015)</w:t>
            </w:r>
            <w:r w:rsidRPr="004033CE">
              <w:rPr>
                <w:rFonts w:ascii="Times New Roman" w:hAnsi="Times New Roman" w:cs="Times New Roman"/>
              </w:rPr>
              <w:fldChar w:fldCharType="end"/>
            </w:r>
            <w:r w:rsidRPr="004033CE">
              <w:rPr>
                <w:rFonts w:ascii="Times New Roman" w:hAnsi="Times New Roman" w:cs="Times New Roman"/>
              </w:rPr>
              <w:t>. With the rising prevalence of respiratory diseases attributable to various factors such as air pollution and lifestyle changes, incorporating this as an indicator allows for an in-depth understanding of the cumulative risks associated with CVDs in India.</w:t>
            </w:r>
          </w:p>
        </w:tc>
      </w:tr>
      <w:tr w:rsidR="00382A05" w:rsidRPr="004033CE" w14:paraId="7A08EE97" w14:textId="77777777" w:rsidTr="00101B97">
        <w:tc>
          <w:tcPr>
            <w:tcW w:w="1755" w:type="dxa"/>
          </w:tcPr>
          <w:p w14:paraId="5B9F6411"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Chronic Kidney Diseases</w:t>
            </w:r>
          </w:p>
        </w:tc>
        <w:tc>
          <w:tcPr>
            <w:tcW w:w="1858" w:type="dxa"/>
          </w:tcPr>
          <w:p w14:paraId="0CCEBAFE"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adults with kidney diseases among the total population</w:t>
            </w:r>
          </w:p>
        </w:tc>
        <w:tc>
          <w:tcPr>
            <w:tcW w:w="5292" w:type="dxa"/>
          </w:tcPr>
          <w:p w14:paraId="71E85B71"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Chronic kidney diseases (CKD) are considered an independent risk factor for CVDs, and there exists a close and reciprocal association between CVD and CKD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{"citationID":"TRmvIY1u","properties":{"formattedCitation":"(Watanabe et al., 2009)","plainCitation":"(Watanabe et al., 2009)","noteIndex":0},"citationItems":[{"id":193,"uris":["http://zotero.org/users/local/no4ht0wh/items/HI87592P"],"itemData":{"id":193,"type":"article-journal","container-title":"American heart journal","issue":"4","note":"publisher: Elsevier","page":"629–636","source":"Google Scholar","title":"Close bidirectional relationship between chronic kidney disease and atrial fibrillation: the Niigata preventive medicine study","title-short":"Close bidirectional relationship between chronic kidney disease and atrial fibrillation","volume":"158","author":[{"family":"Watanabe","given":"Hiroshi"},{"family":"Watanabe","given":"Toru"},{"family":"Sasaki","given":"Shigeru"},{"family":"Nagai","given":"Kojiro"},{"family":"Roden","given":"Dan M."},{"family":"Aizawa","given":"Yoshifusa"}],"issued":{"date-parts":[["2009"]]}}}],"schema":"https://github.com/citation-style-language/schema/raw/master/csl-citation.json"}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(Watanabe et al., 2009)</w:t>
            </w:r>
            <w:r w:rsidRPr="004033CE">
              <w:rPr>
                <w:rFonts w:ascii="Times New Roman" w:hAnsi="Times New Roman" w:cs="Times New Roman"/>
              </w:rPr>
              <w:fldChar w:fldCharType="end"/>
            </w:r>
            <w:r w:rsidRPr="004033CE">
              <w:rPr>
                <w:rFonts w:ascii="Times New Roman" w:hAnsi="Times New Roman" w:cs="Times New Roman"/>
              </w:rPr>
              <w:t xml:space="preserve">. The dysfunction of one organ induces and exacerbates the dysfunction in the other, which is known as the cardiorenal syndrome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{"citationID":"t0R2uesV","properties":{"formattedCitation":"(Ronco et al., 2008)","plainCitation":"(Ronco et al., 2008)","noteIndex":0},"citationItems":[{"id":194,"uris":["http://zotero.org/users/local/no4ht0wh/items/UEQRY7UM"],"itemData":{"id":194,"type":"article-journal","container-title":"Journal of the American College of Cardiology","DOI":"10.1016/j.jacc.2008.07.051","ISSN":"07351097","issue":"19","journalAbbreviation":"Journal of the American College of Cardiology","language":"en","license":"https://www.elsevier.com/tdm/userlicense/1.0/","page":"1527-1539","source":"DOI.org (Crossref)","title":"Cardiorenal Syndrome","volume":"52","author":[{"family":"Ronco","given":"Claudio"},{"family":"Haapio","given":"Mikko"},{"family":"House","given":"Andrew A."},{"family":"Anavekar","given":"Nagesh"},{"family":"Bellomo","given":"Rinaldo"}],"issued":{"date-parts":[["2008",11]]}}}],"schema":"https://github.com/citation-style-language/schema/raw/master/csl-citation.json"}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(Ronco et al., 2008)</w:t>
            </w:r>
            <w:r w:rsidRPr="004033CE">
              <w:rPr>
                <w:rFonts w:ascii="Times New Roman" w:hAnsi="Times New Roman" w:cs="Times New Roman"/>
              </w:rPr>
              <w:fldChar w:fldCharType="end"/>
            </w:r>
            <w:r w:rsidRPr="004033CE">
              <w:rPr>
                <w:rFonts w:ascii="Times New Roman" w:hAnsi="Times New Roman" w:cs="Times New Roman"/>
              </w:rPr>
              <w:t xml:space="preserve">. Endothelial damage brought on by kidney dysfunction affects the blood vessels' capacity to control blood pressure and flow. This malfunction exerts more pressure on the heart and thus can lead to heart disease in such individuals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{"citationID":"AGLWtasr","properties":{"formattedCitation":"(Baaten et al., 2023)","plainCitation":"(Baaten et al., 2023)","noteIndex":0},"citationItems":[{"id":196,"uris":["http://zotero.org/users/local/no4ht0wh/items/2VAHP657"],"itemData":{"id":196,"type":"article-journal","abstract":"The endothelium is considered to be the gatekeeper of the vessel wall, maintaining and regulating vascular integrity. In patients with chronic kidney disease, protective endothelial cell functions are impaired due to the proinflammatory, prothrombotic and uremic environment caused by the decline in kidney function, adding to the increase in cardiovascular complications in this vulnerable patient population. In this review, we discuss endothelial cell functioning in healthy conditions and the contribution of endothelial cell dysfunction to cardiovascular disease. Further, we summarize the phenotypic changes of the endothelium in chronic kidney disease patients and the relation of endothelial cell dysfunction to cardiovascular risk in chronic kidney disease. We also review the mechanisms that underlie endothelial changes in chronic kidney disease and consider potential pharmacological interventions that can ameliorate endothelial health.","container-title":"Circulation Research","DOI":"10.1161/CIRCRESAHA.123.321752","ISSN":"0009-7330, 1524-4571","issue":"8","journalAbbreviation":"Circulation Research","language":"en","page":"970-992","source":"DOI.org (Crossref)","title":"Endothelial Cell Dysfunction and Increased Cardiovascular Risk in Patients With Chronic Kidney Disease","volume":"132","author":[{"family":"Baaten","given":"Constance C.F.M.J."},{"family":"Vondenhoff","given":"Sonja"},{"family":"Noels","given":"Heidi"}],"issued":{"date-parts":[["2023",4,14]]}}}],"schema":"https://github.com/citation-style-language/schema/raw/master/csl-citation.json"}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(Baaten et al., 2023)</w:t>
            </w:r>
            <w:r w:rsidRPr="004033CE">
              <w:rPr>
                <w:rFonts w:ascii="Times New Roman" w:hAnsi="Times New Roman" w:cs="Times New Roman"/>
              </w:rPr>
              <w:fldChar w:fldCharType="end"/>
            </w:r>
            <w:r w:rsidRPr="004033CE">
              <w:rPr>
                <w:rFonts w:ascii="Times New Roman" w:hAnsi="Times New Roman" w:cs="Times New Roman"/>
              </w:rPr>
              <w:t xml:space="preserve">. In India, the proportion of deaths due to kidney failure has increased by 38% from 2001-03 to 2010-13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{"citationID":"muwAXgN1","properties":{"formattedCitation":"(Dare et al., 2017)","plainCitation":"(Dare et al., 2017)","noteIndex":0},"citationItems":[{"id":200,"uris":["http://zotero.org/users/local/no4ht0wh/items/8LTR8UBY"],"itemData":{"id":200,"type":"article-journal","container-title":"The Lancet Global Health","issue":"1","note":"publisher: Elsevier","page":"e89–e95","source":"Google Scholar","title":"Renal failure deaths and their risk factors in India 2001–13: nationally representative estimates from the Million Death Study","title-short":"Renal failure deaths and their risk factors in India 2001–13","volume":"5","author":[{"family":"Dare","given":"Anna J."},{"family":"Fu","given":"Sze Hang"},{"family":"Patra","given":"Jayadeep"},{"family":"Rodriguez","given":"Peter S."},{"family":"Thakur","given":"J. S."},{"family":"Jha","given":"Prabhat"}],"issued":{"date-parts":[["2017"]]}}}],"schema":"https://github.com/citation-style-language/schema/raw/master/csl-citation.json"}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(Dare et al., 2017)</w:t>
            </w:r>
            <w:r w:rsidRPr="004033CE">
              <w:rPr>
                <w:rFonts w:ascii="Times New Roman" w:hAnsi="Times New Roman" w:cs="Times New Roman"/>
              </w:rPr>
              <w:fldChar w:fldCharType="end"/>
            </w:r>
            <w:r w:rsidRPr="004033CE">
              <w:rPr>
                <w:rFonts w:ascii="Times New Roman" w:hAnsi="Times New Roman" w:cs="Times New Roman"/>
              </w:rPr>
              <w:t>, which is why incorporating CKD as an indicator is essential while developing a vulnerability index for CVDs.</w:t>
            </w:r>
          </w:p>
        </w:tc>
      </w:tr>
      <w:tr w:rsidR="00382A05" w:rsidRPr="004033CE" w14:paraId="3AA27794" w14:textId="77777777" w:rsidTr="00101B97">
        <w:tc>
          <w:tcPr>
            <w:tcW w:w="8905" w:type="dxa"/>
            <w:gridSpan w:val="3"/>
          </w:tcPr>
          <w:p w14:paraId="43B61077" w14:textId="77777777" w:rsidR="00382A05" w:rsidRPr="004033CE" w:rsidRDefault="00382A05" w:rsidP="00101B97">
            <w:pPr>
              <w:rPr>
                <w:rFonts w:ascii="Times New Roman" w:hAnsi="Times New Roman" w:cs="Times New Roman"/>
              </w:rPr>
            </w:pPr>
            <w:r w:rsidRPr="004033CE">
              <w:rPr>
                <w:rFonts w:ascii="Times New Roman" w:hAnsi="Times New Roman" w:cs="Times New Roman"/>
                <w:b/>
                <w:bCs/>
              </w:rPr>
              <w:t>Behavioural Domain</w:t>
            </w:r>
          </w:p>
        </w:tc>
      </w:tr>
      <w:tr w:rsidR="00382A05" w:rsidRPr="004033CE" w14:paraId="648A297E" w14:textId="77777777" w:rsidTr="00101B97">
        <w:tc>
          <w:tcPr>
            <w:tcW w:w="1755" w:type="dxa"/>
          </w:tcPr>
          <w:p w14:paraId="05D23426"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Smoking</w:t>
            </w:r>
          </w:p>
        </w:tc>
        <w:tc>
          <w:tcPr>
            <w:tcW w:w="1858" w:type="dxa"/>
          </w:tcPr>
          <w:p w14:paraId="6C273EF0"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adults who smoke daily or weekly among the total population</w:t>
            </w:r>
          </w:p>
        </w:tc>
        <w:tc>
          <w:tcPr>
            <w:tcW w:w="5292" w:type="dxa"/>
          </w:tcPr>
          <w:p w14:paraId="38A672AD"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Tobacco smoking remains the world’s largest preventable cause of death and a significant risk factor for CVDs. Toxic chemicals present in tobacco, such as carbon monoxide, nicotine and heavy metals, have profound effects on the lining of the blood vessels, blood lipids and clotting, causing atherosclerosis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{"citationID":"dLB8QqfP","properties":{"formattedCitation":"(Roy et al., 2017)","plainCitation":"(Roy et al., 2017)","noteIndex":0},"citationItems":[{"id":327,"uris":["http://zotero.org/users/local/no4ht0wh/items/52I98XVX"],"itemData":{"id":327,"type":"article-journal","container-title":"Cardiovascular, respiratory, and related disorders","note":"publisher: The International Bank for Reconstruction and Development/The World Bank …","source":"Google Scholar","title":"Tobacco and cardiovascular disease: a summary of evidence","title-short":"Tobacco and cardiovascular disease","URL":"https://books.google.com/books?hl=en&amp;lr=&amp;id=WqtCDwAAQBAJ&amp;oi=fnd&amp;pg=PT140&amp;dq=Tobacco+and+Cardiovascular+Disease:+A+Summary+of+Evidence&amp;ots=ywPcCrxglm&amp;sig=oYh-kdXefH1La1UPQIT8a-0AyH4","volume":"30212086","author":[{"family":"Roy","given":"Ambuj"},{"family":"Rawal","given":"Ishita"},{"family":"Jabbour","given":"Samer"},{"family":"Prabhakaran","given":"Dorairaj"}],"accessed":{"date-parts":[["2025",6,2]]},"issued":{"date-parts":[["2017"]]}}}],"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(Roy et al., 2017)</w:t>
            </w:r>
            <w:r w:rsidRPr="004033CE">
              <w:rPr>
                <w:rFonts w:ascii="Times New Roman" w:hAnsi="Times New Roman" w:cs="Times New Roman"/>
              </w:rPr>
              <w:fldChar w:fldCharType="end"/>
            </w:r>
            <w:r w:rsidRPr="004033CE">
              <w:rPr>
                <w:rFonts w:ascii="Times New Roman" w:hAnsi="Times New Roman" w:cs="Times New Roman"/>
              </w:rPr>
              <w:t xml:space="preserve">. In India, the absolute number of male smokers has increased enormously between 1998 and 2015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{"citationID":"zy8RapZK","properties":{"formattedCitation":"(S. Mishra et al., 2016)","plainCitation":"(S. Mishra et al., 2016)","noteIndex":0},"citationItems":[{"id":391,"uris":["http://zotero.org/users/local/no4ht0wh/items/WQ3J9JWM"],"itemData":{"id":391,"type":"article-journal","container-title":"BMJ global health","issue":"1","note":"publisher: BMJ Specialist Journals","page":"e000005","source":"Google Scholar","title":"Trends in bidi and cigarette smoking in India from 1998 to 2015, by age, gender and education","volume":"1","author":[{"family":"Mishra","given":"Sujata"},{"family":"Joseph","given":"Renu Ann"},{"family":"Gupta","given":"Prakash C."},{"family":"Pezzack","given":"Brendon"},{"family":"Ram","given":"Faujdar"},{"family":"Sinha","given":"Dhirendra N."},{"family":"Dikshit","given":"Rajesh"},{"family":"Patra","given":"Jayadeep"},{"family":"Jha","given":"Prabhat"}],"issued":{"date-parts":[["2016"]]}}}],"schema":"https://github.com/citation-style-language/schema/raw/master/csl-citation.json"}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(S. Mishra et al., 2016)</w:t>
            </w:r>
            <w:r w:rsidRPr="004033CE">
              <w:rPr>
                <w:rFonts w:ascii="Times New Roman" w:hAnsi="Times New Roman" w:cs="Times New Roman"/>
              </w:rPr>
              <w:fldChar w:fldCharType="end"/>
            </w:r>
            <w:r w:rsidRPr="004033CE">
              <w:rPr>
                <w:rFonts w:ascii="Times New Roman" w:hAnsi="Times New Roman" w:cs="Times New Roman"/>
              </w:rPr>
              <w:t>. Given its strong causal association with CVDs and increasing prevalence across various geographic and demographic groups, it is extremely important to include smoking as an indicator in this vulnerability index.</w:t>
            </w:r>
          </w:p>
        </w:tc>
      </w:tr>
      <w:tr w:rsidR="00382A05" w:rsidRPr="004033CE" w14:paraId="406C1AF6" w14:textId="77777777" w:rsidTr="00101B97">
        <w:tc>
          <w:tcPr>
            <w:tcW w:w="1755" w:type="dxa"/>
          </w:tcPr>
          <w:p w14:paraId="2366AE07"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Alcohol</w:t>
            </w:r>
          </w:p>
        </w:tc>
        <w:tc>
          <w:tcPr>
            <w:tcW w:w="1858" w:type="dxa"/>
          </w:tcPr>
          <w:p w14:paraId="352F018F"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adults who consume alcohol daily or weekly among the total population</w:t>
            </w:r>
          </w:p>
        </w:tc>
        <w:tc>
          <w:tcPr>
            <w:tcW w:w="5292" w:type="dxa"/>
          </w:tcPr>
          <w:p w14:paraId="675B9B92"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Alcohol consumption is another significant behavioural risk factor for CVDs. Excessive or long-term alcohol consumption can lead to hypertension, arrhythmias, cardiomyopathy, and an increased risk of stroke and heart failure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{"citationID":"FqddHzEO","properties":{"formattedCitation":"(Piano, 2017)","plainCitation":"(Piano, 2017)","noteIndex":0},"citationItems":[{"id":340,"uris":["http://zotero.org/users/local/no4ht0wh/items/NKZRY5YN"],"itemData":{"id":340,"type":"article-journal","container-title":"Alcohol research: current reviews","issue":"2","page":"219","source":"Google Scholar","title":"Alcohol’s effects on the cardiovascular system","volume":"38","author":[{"family":"Piano","given":"Mariann R."}],"issued":{"date-parts":[["2017"]]}}}],"schema":"https://github.com/citation-style-language/schema/raw/master/csl-citation.json"}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(Piano, 2017)</w:t>
            </w:r>
            <w:r w:rsidRPr="004033CE">
              <w:rPr>
                <w:rFonts w:ascii="Times New Roman" w:hAnsi="Times New Roman" w:cs="Times New Roman"/>
              </w:rPr>
              <w:fldChar w:fldCharType="end"/>
            </w:r>
            <w:r w:rsidRPr="004033CE">
              <w:rPr>
                <w:rFonts w:ascii="Times New Roman" w:hAnsi="Times New Roman" w:cs="Times New Roman"/>
              </w:rPr>
              <w:t xml:space="preserve">. Although some research indicates that low to moderate alcohol consumption may be beneficial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{"citationID":"GIvwzPMJ","properties":{"formattedCitation":"(Matsumoto et al., 2014)","plainCitation":"(Matsumoto et al., 2014)","noteIndex":0},"citationItems":[{"id":341,"uris":["http://zotero.org/users/local/no4ht0wh/items/3P9EZKJK"],"itemData":{"id":341,"type":"article-journal","container-title":"Journal of cardiopulmonary rehabilitation and prevention","issue":"3","note":"publisher: LWW","page":"159–171","source":"Google Scholar","title":"An expanding knowledge of the mechanisms and effects of alcohol consumption on cardiovascular disease","volume":"34","author":[{"family":"Matsumoto","given":"Chisa"},{"family":"Miedema","given":"Michael D."},{"family":"Ofman","given":"Peter"},{"family":"Gaziano","given":"J. Michael"},{"family":"Sesso","given":"Howard D."}],"issued":{"date-parts":[["2014"]]}}}],"schema":"https://github.com/citation-style-language/schema/raw/master/csl-citation.json"}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(Matsumoto et al., 2014)</w:t>
            </w:r>
            <w:r w:rsidRPr="004033CE">
              <w:rPr>
                <w:rFonts w:ascii="Times New Roman" w:hAnsi="Times New Roman" w:cs="Times New Roman"/>
              </w:rPr>
              <w:fldChar w:fldCharType="end"/>
            </w:r>
            <w:r w:rsidRPr="004033CE">
              <w:rPr>
                <w:rFonts w:ascii="Times New Roman" w:hAnsi="Times New Roman" w:cs="Times New Roman"/>
              </w:rPr>
              <w:t xml:space="preserve">, the overall consensus in public health suggests that the risks are far outweighed by the possible benefits, especially in contexts where heavy or binge drinking behaviours are </w:t>
            </w:r>
            <w:r w:rsidRPr="004033CE">
              <w:rPr>
                <w:rFonts w:ascii="Times New Roman" w:hAnsi="Times New Roman" w:cs="Times New Roman"/>
              </w:rPr>
              <w:lastRenderedPageBreak/>
              <w:t xml:space="preserve">common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{"citationID":"rHd5xxgp","properties":{"formattedCitation":"(Arnett et al., 2019; Piepoli et al., 2020)","plainCitation":"(Arnett et al., 2019; Piepoli et al., 2020)","noteIndex":0},"citationItems":[{"id":342,"uris":["http://zotero.org/users/local/no4ht0wh/items/ZT7MMQWY"],"itemData":{"id":342,"type":"article-journal","container-title":"Journal of the American College of Cardiology","DOI":"10.1016/j.jacc.2019.03.010","ISSN":"07351097","issue":"10","journalAbbreviation":"Journal of the American College of Cardiology","language":"en","page":"e177-e232","source":"DOI.org (Crossref)","title":"2019 ACC/AHA Guideline on the Primary Prevention of Cardiovascular Disease","volume":"74","author":[{"family":"Arnett","given":"Donna K."},{"family":"Blumenthal","given":"Roger S."},{"family":"Albert","given":"Michelle A."},{"family":"Buroker","given":"Andrew B."},{"family":"Goldberger","given":"Zachary D."},{"family":"Hahn","given":"Ellen J."},{"family":"Himmelfarb","given":"Cheryl Dennison"},{"family":"Khera","given":"Amit"},{"family":"Lloyd-Jones","given":"Donald"},{"family":"McEvoy","given":"J. William"},{"family":"Michos","given":"Erin D."},{"family":"Miedema","given":"Michael D."},{"family":"Muñoz","given":"Daniel"},{"family":"Smith","given":"Sidney C."},{"family":"Virani","given":"Salim S."},{"family":"Williams","given":"Kim A."},{"family":"Yeboah","given":"Joseph"},{"family":"Ziaeian","given":"Boback"}],"issued":{"date-parts":[["2019",9]]}}},{"id":344,"uris":["http://zotero.org/users/local/no4ht0wh/items/CGGFDHZ4"],"itemData":{"id":344,"type":"article-journal","abstract":"European guidelines on cardiovascular prevention in clinical practice were first published in 1994 and have been regularly updated, most recently in 2016, by the Sixth European Joint Task Force. Given the amount of new information that has become available since then, components from the task force and experts from the European Association of Preventive Cardiology of the European Society of Cardiology were invited to provide a summary and critical review of the most important new studies and evidence since the latest guidelines were published. The structure of the document follows that of the previous document and has six parts: Introduction (epidemiology and cost effectiveness); Cardiovascular risk; How to intervene at the population level; How to intervene at the individual level; Disease-specific interventions; and Settings: where to intervene? In fact, in keeping with the guidelines, greater emphasis has been put on a population-based approach and on disease-specific interventions, avoiding re-interpretation of information already and previously considered. Finally, the presence of several gaps in the knowledge is highlighted.","container-title":"European Journal of Preventive Cardiology","DOI":"10.1177/2047487319893035","ISSN":"2047-4873, 2047-4881","issue":"2","journalAbbreviation":"Eur J Prev Cardiolog","language":"en","page":"181-205","source":"DOI.org (Crossref)","title":"Update on cardiovascular prevention in clinical practice: A position paper of the European Association of Preventive Cardiology of the European Society of Cardiology","title-short":"Update on cardiovascular prevention in clinical practice","volume":"27","author":[{"family":"Piepoli","given":"Massimo F"},{"family":"Abreu","given":"Ana"},{"family":"Albus","given":"Christian"},{"family":"Ambrosetti","given":"Marco"},{"family":"Brotons","given":"Carlos"},{"family":"Catapano","given":"Alberico L"},{"family":"Corra","given":"Ugo"},{"family":"Cosyns","given":"Bernard"},{"family":"Deaton","given":"Christi"},{"family":"Graham","given":"Ian"},{"family":"Hoes","given":"Arno"},{"family":"Lochen","given":"Maja-Lisa"},{"family":"Matrone","given":"Benedetta"},{"family":"Redon","given":"Josep"},{"family":"Sattar","given":"Naveed"},{"family":"Smulders","given":"Yvo"},{"family":"Tiberi","given":"Monica"}],"issued":{"date-parts":[["2020",1]]}}}],"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(Arnett et al., 2019; Piepoli et al., 2020)</w:t>
            </w:r>
            <w:r w:rsidRPr="004033CE">
              <w:rPr>
                <w:rFonts w:ascii="Times New Roman" w:hAnsi="Times New Roman" w:cs="Times New Roman"/>
              </w:rPr>
              <w:fldChar w:fldCharType="end"/>
            </w:r>
            <w:r w:rsidRPr="004033CE">
              <w:rPr>
                <w:rFonts w:ascii="Times New Roman" w:hAnsi="Times New Roman" w:cs="Times New Roman"/>
              </w:rPr>
              <w:t xml:space="preserve">. In India, alcohol consumption is often associated with other socioeconomic and health vulnerabilities, which exacerbates its effect on the risk of CVDs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{"citationID":"Z4s4YfZo","properties":{"formattedCitation":"(Roy et al., 2010)","plainCitation":"(Roy et al., 2010)","noteIndex":0},"citationItems":[{"id":329,"uris":["http://zotero.org/users/local/no4ht0wh/items/FNA9DJSV"],"itemData":{"id":329,"type":"article-journal","container-title":"Atherosclerosis","issue":"2","note":"publisher: Elsevier","page":"531–535","source":"Google Scholar","title":"Impact of alcohol on coronary heart disease in Indian men","volume":"210","author":[{"family":"Roy","given":"A."},{"family":"Prabhakaran","given":"D."},{"family":"Jeemon","given":"P."},{"family":"Thankappan","given":"K. R."},{"family":"Mohan","given":"V."},{"family":"Ramakrishnan","given":"L."},{"family":"Joshi","given":"P."},{"family":"Ahmed","given":"F."},{"family":"Mohan","given":"B. V. M."},{"family":"Saran","given":"R. K."}],"issued":{"date-parts":[["2010"]]}}}],"schema":"https://github.com/citation-style-language/schema/raw/master/csl-citation.json"}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(Roy et al., 2010)</w:t>
            </w:r>
            <w:r w:rsidRPr="004033CE">
              <w:rPr>
                <w:rFonts w:ascii="Times New Roman" w:hAnsi="Times New Roman" w:cs="Times New Roman"/>
              </w:rPr>
              <w:fldChar w:fldCharType="end"/>
            </w:r>
            <w:r w:rsidRPr="004033CE">
              <w:rPr>
                <w:rFonts w:ascii="Times New Roman" w:hAnsi="Times New Roman" w:cs="Times New Roman"/>
              </w:rPr>
              <w:t>. Thus, including it as an indicator is crucial.</w:t>
            </w:r>
          </w:p>
        </w:tc>
      </w:tr>
      <w:tr w:rsidR="00382A05" w:rsidRPr="004033CE" w14:paraId="5C61B685" w14:textId="77777777" w:rsidTr="00101B97">
        <w:tc>
          <w:tcPr>
            <w:tcW w:w="1755" w:type="dxa"/>
          </w:tcPr>
          <w:p w14:paraId="0E5330ED"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lastRenderedPageBreak/>
              <w:t>High Occupational Activities</w:t>
            </w:r>
          </w:p>
        </w:tc>
        <w:tc>
          <w:tcPr>
            <w:tcW w:w="1858" w:type="dxa"/>
          </w:tcPr>
          <w:p w14:paraId="2888BA9B"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adults engaged in occupations that require physical activity among the total population</w:t>
            </w:r>
          </w:p>
        </w:tc>
        <w:tc>
          <w:tcPr>
            <w:tcW w:w="5292" w:type="dxa"/>
          </w:tcPr>
          <w:p w14:paraId="206BA33A"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High levels of occupational physical activities, which are common in professions such as farming, construction and other forms of manual work, are typically associated with increased daily movement. Unlike sedentary lifestyles, which are well-established risk factors for CVDs, regular physical movement enhances blood circulation, regulates blood pressure and helps in maintaining weight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{"citationID":"TzwjDGOe","properties":{"formattedCitation":"(Tian &amp; Meng, 2019)","plainCitation":"(Tian &amp; Meng, 2019)","noteIndex":0},"citationItems":[{"id":429,"uris":["http://zotero.org/users/local/no4ht0wh/items/6RPMVJQ8"],"itemData":{"id":429,"type":"article-journal","abstract":"This review is aimed at summarizing the new findings about the multiple benefits of exercise on cardiovascular disease (CVD). We pay attention to the prevalence and risk factors of CVD and mechanisms and recommendations of physical activity. Physical activity can improve insulin sensitivity, alleviate plasma dyslipidemia, normalize elevated blood pressure, decrease blood viscosity, promote endothelial nitric oxide production, and improve leptin sensitivity to protect the heart and vessels. Besides, the protective role of exercise on the body involves not only animal models in the laboratory but also clinical studies which is demonstrated by WHO recommendations. The general exercise intensity for humans recommended by the American Heart Association to prevent CVD is moderate exercise of 30 minutes, 5 times a week. However, even the easiest activity is better than nothing. What is more, owing to the different physical fitness of individuals, a standard exercise training cannot provide the exact treatment for everyone. So personalization of exercise will be an irresistible trend and bring more beneficial effects with less inefficient physical activities. This paper reviews the benefits of exercise contributing to the body especially in CVD through the recent mechanism studies.","container-title":"Oxidative Medicine and Cellular Longevity","DOI":"10.1155/2019/3756750","ISSN":"1942-0900, 1942-0994","journalAbbreviation":"Oxidative Medicine and Cellular Longevity","language":"en","license":"http://creativecommons.org/licenses/by/4.0/","page":"1-11","source":"DOI.org (Crossref)","title":"Exercise for Prevention and Relief of Cardiovascular Disease: Prognoses, Mechanisms, and Approaches","title-short":"Exercise for Prevention and Relief of Cardiovascular Disease","volume":"2019","author":[{"family":"Tian","given":"Danyang"},{"family":"Meng","given":"Jinqi"}],"issued":{"date-parts":[["2019",4,9]]}}}],"schema":"https://github.com/citation-style-language/schema/raw/master/csl-citation.json"}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(Tian &amp; Meng, 2019)</w:t>
            </w:r>
            <w:r w:rsidRPr="004033CE">
              <w:rPr>
                <w:rFonts w:ascii="Times New Roman" w:hAnsi="Times New Roman" w:cs="Times New Roman"/>
              </w:rPr>
              <w:fldChar w:fldCharType="end"/>
            </w:r>
            <w:r w:rsidRPr="004033CE">
              <w:rPr>
                <w:rFonts w:ascii="Times New Roman" w:hAnsi="Times New Roman" w:cs="Times New Roman"/>
              </w:rPr>
              <w:t xml:space="preserve">. In many parts of India, particularly in rural areas, individuals engaged in physically demanding occupations are less exposed to the sedentary behaviours commonly associated with urban work environments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{"citationID":"nyLoMaFv","properties":{"formattedCitation":"(Anjana et al., 2014)","plainCitation":"(Anjana et al., 2014)","noteIndex":0},"citationItems":[{"id":431,"uris":["http://zotero.org/users/local/no4ht0wh/items/VV8H5WJ5"],"itemData":{"id":431,"type":"article-journal","container-title":"International Journal of Behavioral Nutrition and Physical Activity","DOI":"10.1186/1479-5868-11-26","ISSN":"1479-5868","issue":"1","journalAbbreviation":"Int J Behav Nutr Phys Act","language":"en","page":"26","source":"DOI.org (Crossref)","title":"Physical activity and inactivity patterns in India – results from the ICMR-INDIAB study (Phase-1) [ICMR-INDIAB-5]","volume":"11","author":[{"family":"Anjana","given":"Ranjit M"},{"family":"Pradeepa","given":"Rajendra"},{"family":"Das","given":"Ashok K"},{"family":"Deepa","given":"Mohan"},{"family":"Bhansali","given":"Anil"},{"family":"Joshi","given":"Shashank R"},{"family":"Joshi","given":"Prashant P"},{"family":"Dhandhania","given":"Vinay K"},{"family":"Rao","given":"Paturi V"},{"family":"Sudha","given":"Vasudevan"},{"family":"Subashini","given":"Radhakrishnan"},{"family":"Unnikrishnan","given":"Ranjit"},{"family":"Madhu","given":"Sri V"},{"family":"Kaur","given":"Tanvir"},{"family":"Mohan","given":"Viswanathan"},{"family":"Shukla","given":"Deepak K"},{"literal":"for the ICMR– INDIAB Collaborative Study Group"}],"issued":{"date-parts":[["2014",12]]}}}],"schema":"https://github.com/citation-style-language/schema/raw/master/csl-citation.json"}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(Anjana et al., 2014)</w:t>
            </w:r>
            <w:r w:rsidRPr="004033CE">
              <w:rPr>
                <w:rFonts w:ascii="Times New Roman" w:hAnsi="Times New Roman" w:cs="Times New Roman"/>
              </w:rPr>
              <w:fldChar w:fldCharType="end"/>
            </w:r>
            <w:r w:rsidRPr="004033CE">
              <w:rPr>
                <w:rFonts w:ascii="Times New Roman" w:hAnsi="Times New Roman" w:cs="Times New Roman"/>
              </w:rPr>
              <w:t>. Thus, a higher proportion of individuals in high occupational activities are considered to be at lower CVD risk and is included accordingly in the index construction.</w:t>
            </w:r>
          </w:p>
        </w:tc>
      </w:tr>
      <w:tr w:rsidR="00382A05" w:rsidRPr="004033CE" w14:paraId="4AC6F26F" w14:textId="77777777" w:rsidTr="00101B97">
        <w:tc>
          <w:tcPr>
            <w:tcW w:w="8905" w:type="dxa"/>
            <w:gridSpan w:val="3"/>
          </w:tcPr>
          <w:p w14:paraId="2BA3ECFA" w14:textId="77777777" w:rsidR="00382A05" w:rsidRPr="004033CE" w:rsidRDefault="00382A05" w:rsidP="00101B97">
            <w:pPr>
              <w:rPr>
                <w:rFonts w:ascii="Times New Roman" w:hAnsi="Times New Roman" w:cs="Times New Roman"/>
              </w:rPr>
            </w:pPr>
            <w:r w:rsidRPr="004033CE">
              <w:rPr>
                <w:rFonts w:ascii="Times New Roman" w:hAnsi="Times New Roman" w:cs="Times New Roman"/>
                <w:b/>
                <w:bCs/>
              </w:rPr>
              <w:t>Healthcare Domain</w:t>
            </w:r>
          </w:p>
        </w:tc>
      </w:tr>
      <w:tr w:rsidR="00382A05" w:rsidRPr="004033CE" w14:paraId="74A730AB" w14:textId="77777777" w:rsidTr="00101B97">
        <w:tc>
          <w:tcPr>
            <w:tcW w:w="1755" w:type="dxa"/>
          </w:tcPr>
          <w:p w14:paraId="4D4F6E54"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Insurance</w:t>
            </w:r>
          </w:p>
        </w:tc>
        <w:tc>
          <w:tcPr>
            <w:tcW w:w="1858" w:type="dxa"/>
          </w:tcPr>
          <w:p w14:paraId="7B487CD4"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households with at least one member covered under insurance among total households.</w:t>
            </w:r>
          </w:p>
        </w:tc>
        <w:tc>
          <w:tcPr>
            <w:tcW w:w="5292" w:type="dxa"/>
          </w:tcPr>
          <w:p w14:paraId="26E9DBEF"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The vulnerability index includes health insurance coverage as a protective indicator, as it improves access to healthcare and offers financial protection, both of which significantly reduce vulnerability to CVDs. Although private insurance is associated to a 21% lower CVD mortality risk compared to no insurance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{"citationID":"qalS8E3z","properties":{"formattedCitation":"(Song et al., 2020)","plainCitation":"(Song et al., 2020)","noteIndex":0},"citationItems":[{"id":186,"uris":["http://zotero.org/users/local/no4ht0wh/items/AHLDV8QX"],"itemData":{"id":186,"type":"article-journal","container-title":"International Journal of Environmental Research and Public Health","issue":"5","note":"publisher: MDPI","page":"1525","source":"Google Scholar","title":"The association between health insurance and all-cause, cardiovascular disease, cancer and cause-specific mortality: a prospective cohort study","title-short":"The association between health insurance and all-cause, cardiovascular disease, cancer and cause-specific mortality","volume":"17","author":[{"family":"Song","given":"Liying"},{"family":"Wang","given":"Yan"},{"family":"Chen","given":"Baodong"},{"family":"Yang","given":"Tan"},{"family":"Zhang","given":"Weiliang"},{"family":"Wang","given":"Yafeng"}],"issued":{"date-parts":[["2020"]]}}}],"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(Song et al., 2020)</w:t>
            </w:r>
            <w:r w:rsidRPr="004033CE">
              <w:rPr>
                <w:rFonts w:ascii="Times New Roman" w:hAnsi="Times New Roman" w:cs="Times New Roman"/>
              </w:rPr>
              <w:fldChar w:fldCharType="end"/>
            </w:r>
            <w:r w:rsidRPr="004033CE">
              <w:rPr>
                <w:rFonts w:ascii="Times New Roman" w:hAnsi="Times New Roman" w:cs="Times New Roman"/>
              </w:rPr>
              <w:t xml:space="preserve">, uninsured individuals are less likely to be aware of or control cardiovascular risk factors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{"citationID":"6Zhy9U1P","properties":{"formattedCitation":"(Fowler-Brown et al., 2007)","plainCitation":"(Fowler-Brown et al., 2007)","noteIndex":0},"citationItems":[{"id":188,"uris":["http://zotero.org/users/local/no4ht0wh/items/F67PEQWH"],"itemData":{"id":188,"type":"article-journal","container-title":"Journal of General Internal Medicine","DOI":"10.1007/s11606-007-0127-2","ISSN":"0884-8734, 1525-1497","issue":"4","journalAbbreviation":"J GEN INTERN MED","language":"en","license":"http://www.springer.com/tdm","page":"502-507","source":"DOI.org (Crossref)","title":"Risk of Cardiovascular Events and Death—Does Insurance Matter?","volume":"22","author":[{"family":"Fowler-Brown","given":"Angela"},{"family":"Corbie-Smith","given":"Giselle"},{"family":"Garrett","given":"Joanne"},{"family":"Lurie","given":"Nicole"}],"issued":{"date-parts":[["2007",3,19]]}}}],"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(Fowler-Brown et al., 2007)</w:t>
            </w:r>
            <w:r w:rsidRPr="004033CE">
              <w:rPr>
                <w:rFonts w:ascii="Times New Roman" w:hAnsi="Times New Roman" w:cs="Times New Roman"/>
              </w:rPr>
              <w:fldChar w:fldCharType="end"/>
            </w:r>
            <w:r w:rsidRPr="004033CE">
              <w:rPr>
                <w:rFonts w:ascii="Times New Roman" w:hAnsi="Times New Roman" w:cs="Times New Roman"/>
              </w:rPr>
              <w:t xml:space="preserve">. Studies in India have also shown that increasing the scope of national insurance to include primary prevention, secondary prevention, and tertiary treatment for cardiovascular disease (CVD) could be cost-effective and save millions of disability-adjusted life years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{"citationID":"zzQJCFsD","properties":{"formattedCitation":"(Basu et al., 2015)","plainCitation":"(Basu et al., 2015)","noteIndex":0},"citationItems":[{"id":190,"uris":["http://zotero.org/users/local/no4ht0wh/items/M9P79FFG"],"itemData":{"id":190,"type":"article-journal","abstract":"Background—\n              Whether to cover cardiovascular disease costs is an increasingly pressing question for low- and middle-income countries. We sought to identify the impact of expanding national insurance to cover primary prevention, secondary prevention, and tertiary treatment for cardiovascular disease in India.\n            \n            \n              Methods and Results—\n              We incorporated data from coverage experiments into a validated microsimulation model of myocardial infarction and stroke in India to evaluate the cost-effectiveness of alternate coverage strategies. Coverage of primary prevention alone saved 3.6 million disability-adjusted life-years (DALY) per annum at an incremental cost-effectiveness ratio of $469 per DALY averted when compared with the status quo of no coverage. Coverage of primary and secondary preventions was dominated by a strategy of covering primary prevention and tertiary treatment, which prevented 6.6 million DALYs at an incremental cost-effectiveness ratio of $2241 per DALY averted, when compared with that of primary prevention alone. The combination of all 3 categories yielded the greatest impact at an incremental cost per DALY averted of $5588 when compared with coverage of primary prevention plus tertiary treatment. When compared with the status quo of no coverage, coverage of all 3 categories of prevention/treatment yielded an incremental cost-effectiveness ratio of $1331 per DALY averted. In sensitivity analyses, coverage of primary preventive treatments remained cost-effective even if adherence and access to therapy were low, but tertiary coverage would require avoiding unnecessary procedures to remain cost-effective.\n            \n            \n              Conclusions—\n              Coverage of all 3 major types of cardiovascular treatment would be expected to have high impact and reasonable cost-effectiveness in India across a broad spectrum of access and adherence levels.","container-title":"Circulation: Cardiovascular Quality and Outcomes","DOI":"10.1161/CIRCOUTCOMES.115.001994","ISSN":"1941-7713, 1941-7705","issue":"6","journalAbbreviation":"Circ: Cardiovascular Quality and Outcomes","language":"en","page":"541-551","source":"DOI.org (Crossref)","title":"Health and Economic Implications of National Treatment Coverage for Cardiovascular Disease in India: Cost-Effectiveness Analysis","title-short":"Health and Economic Implications of National Treatment Coverage for Cardiovascular Disease in India","volume":"8","author":[{"family":"Basu","given":"Sanjay"},{"family":"Bendavid","given":"Eran"},{"family":"Sood","given":"Neeraj"}],"issued":{"date-parts":[["2015",11]]}}}],"schema":"https://github.com/citation-style-language/schema/raw/master/csl-citation.json"}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(Basu et al., 2015)</w:t>
            </w:r>
            <w:r w:rsidRPr="004033CE">
              <w:rPr>
                <w:rFonts w:ascii="Times New Roman" w:hAnsi="Times New Roman" w:cs="Times New Roman"/>
              </w:rPr>
              <w:fldChar w:fldCharType="end"/>
            </w:r>
            <w:r w:rsidRPr="004033CE">
              <w:rPr>
                <w:rFonts w:ascii="Times New Roman" w:hAnsi="Times New Roman" w:cs="Times New Roman"/>
              </w:rPr>
              <w:t xml:space="preserve">. In India, health insurance coverage has reduced financial stress from acute cardiovascular diseases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{"citationID":"tvdDIL4m","properties":{"formattedCitation":"(Nasir &amp; Khera, 2019)","plainCitation":"(Nasir &amp; Khera, 2019)","noteIndex":0},"citationItems":[{"id":192,"uris":["http://zotero.org/users/local/no4ht0wh/items/F5Y5B7XM"],"itemData":{"id":192,"type":"article-journal","container-title":"JAMA Network Open","issue":"5","note":"publisher: American Medical Association","page":"e193839–e193839","source":"Google Scholar","title":"Financial toxicity of acute Cardiovascular Disease in India: a dive beyond the tip of an iceberg","title-short":"Financial toxicity of acute Cardiovascular Disease in India","volume":"2","author":[{"family":"Nasir","given":"Khurram"},{"family":"Khera","given":"Rohan"}],"issued":{"date-parts":[["2019"]]}}}],"schema":"https://github.com/citation-style-language/schema/raw/master/csl-citation.json"}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(Nasir &amp; Khera, 2019)</w:t>
            </w:r>
            <w:r w:rsidRPr="004033CE">
              <w:rPr>
                <w:rFonts w:ascii="Times New Roman" w:hAnsi="Times New Roman" w:cs="Times New Roman"/>
              </w:rPr>
              <w:fldChar w:fldCharType="end"/>
            </w:r>
            <w:r w:rsidRPr="004033CE">
              <w:rPr>
                <w:rFonts w:ascii="Times New Roman" w:hAnsi="Times New Roman" w:cs="Times New Roman"/>
              </w:rPr>
              <w:t>. It helps in reducing both the direct and indirect effects of CVDs, such as long-term health consequences and lost productivity, by reducing the out-of-pocket expenditures and providing timely and quality care. Hence, it is imperative to include health insurance coverage as an adaptive capacity indicator when it comes to a chronic condition like CVDs.</w:t>
            </w:r>
          </w:p>
        </w:tc>
      </w:tr>
      <w:tr w:rsidR="00382A05" w:rsidRPr="004033CE" w14:paraId="6075A7FD" w14:textId="77777777" w:rsidTr="00101B97">
        <w:tc>
          <w:tcPr>
            <w:tcW w:w="1755" w:type="dxa"/>
          </w:tcPr>
          <w:p w14:paraId="4D030FF3"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No nearby public health facilities</w:t>
            </w:r>
          </w:p>
        </w:tc>
        <w:tc>
          <w:tcPr>
            <w:tcW w:w="1858" w:type="dxa"/>
          </w:tcPr>
          <w:p w14:paraId="0987B2A0"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households having no nearby public health facilities among the total number of households</w:t>
            </w:r>
          </w:p>
        </w:tc>
        <w:tc>
          <w:tcPr>
            <w:tcW w:w="5292" w:type="dxa"/>
          </w:tcPr>
          <w:p w14:paraId="35DC5355"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One of the most important factors in determining prompt diagnosis, treatment and management of CVDs is proximity to healthcare facilities. A lack of nearby health facilities can delay access to essential care, resulting in late-stage identification and poor health outcomes, especially in conditions such as heart failure or hypertension that require ongoing care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{"citationID":"qaZ55y55","properties":{"formattedCitation":"(Kapwata &amp; Manda, 2018)","plainCitation":"(Kapwata &amp; Manda, 2018)","noteIndex":0},"citationItems":[{"id":347,"uris":["http://zotero.org/users/local/no4ht0wh/items/47CUEPAE"],"itemData":{"id":347,"type":"article-journal","container-title":"BMC Health Services Research","DOI":"10.1186/s12913-018-3006-0","ISSN":"1472-6963","issue":"1","journalAbbreviation":"BMC Health Serv Res","language":"en","page":"197","source":"DOI.org (Crossref)","title":"Geographic assessment of access to health care in patients with cardiovascular disease in South Africa","volume":"18","author":[{"family":"Kapwata","given":"Thandi"},{"family":"Manda","given":"Samuel"}],"issued":{"date-parts":[["2018",12]]}}}],"schema":"https://github.com/citation-style-language/schema/raw/master/csl-citation.json"}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(Kapwata &amp; Manda, 2018)</w:t>
            </w:r>
            <w:r w:rsidRPr="004033CE">
              <w:rPr>
                <w:rFonts w:ascii="Times New Roman" w:hAnsi="Times New Roman" w:cs="Times New Roman"/>
              </w:rPr>
              <w:fldChar w:fldCharType="end"/>
            </w:r>
            <w:r w:rsidRPr="004033CE">
              <w:rPr>
                <w:rFonts w:ascii="Times New Roman" w:hAnsi="Times New Roman" w:cs="Times New Roman"/>
              </w:rPr>
              <w:t xml:space="preserve">. In the context of India, individuals with CVDs are more likely to travel outside their district for medical care, especially those from rural and </w:t>
            </w:r>
            <w:r w:rsidRPr="004033CE">
              <w:rPr>
                <w:rFonts w:ascii="Times New Roman" w:hAnsi="Times New Roman" w:cs="Times New Roman"/>
              </w:rPr>
              <w:lastRenderedPageBreak/>
              <w:t xml:space="preserve">economically disadvantaged backgrounds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{"citationID":"5VHbuqag","properties":{"formattedCitation":"(Karmakar et al., 2024)","plainCitation":"(Karmakar et al., 2024)","noteIndex":0},"citationItems":[{"id":349,"uris":["http://zotero.org/users/local/no4ht0wh/items/5HLJANCX"],"itemData":{"id":349,"type":"article-journal","container-title":"Scientific Reports","issue":"1","note":"publisher: Nature Publishing Group UK London","page":"1887","source":"Google Scholar","title":"Understanding patients' mobility for treatment seeking in India","volume":"14","author":[{"family":"Karmakar","given":"Ranjan"},{"family":"Reddy","given":"Umenthala Srikanth"},{"family":"Bhagat","given":"Ram Babu"}],"issued":{"date-parts":[["2024"]]}}}],"schema":"https://github.com/citation-style-language/schema/raw/master/csl-citation.json"}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(Karmakar et al., 2024)</w:t>
            </w:r>
            <w:r w:rsidRPr="004033CE">
              <w:rPr>
                <w:rFonts w:ascii="Times New Roman" w:hAnsi="Times New Roman" w:cs="Times New Roman"/>
              </w:rPr>
              <w:fldChar w:fldCharType="end"/>
            </w:r>
            <w:r w:rsidRPr="004033CE">
              <w:rPr>
                <w:rFonts w:ascii="Times New Roman" w:hAnsi="Times New Roman" w:cs="Times New Roman"/>
              </w:rPr>
              <w:t xml:space="preserve">. The index incorporates the percentage of the population that lacks access to nearby public health facilities, thereby capturing a critical dimension of CVD vulnerability. </w:t>
            </w:r>
          </w:p>
        </w:tc>
      </w:tr>
      <w:tr w:rsidR="00382A05" w:rsidRPr="004033CE" w14:paraId="109540E9" w14:textId="77777777" w:rsidTr="00101B97">
        <w:tc>
          <w:tcPr>
            <w:tcW w:w="1755" w:type="dxa"/>
          </w:tcPr>
          <w:p w14:paraId="1CBA7306"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lastRenderedPageBreak/>
              <w:t>Number of hospitals per 1 lakh population</w:t>
            </w:r>
          </w:p>
        </w:tc>
        <w:tc>
          <w:tcPr>
            <w:tcW w:w="1858" w:type="dxa"/>
          </w:tcPr>
          <w:p w14:paraId="37DB660D"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hospitals per 1 lakh population in the district</w:t>
            </w:r>
          </w:p>
        </w:tc>
        <w:tc>
          <w:tcPr>
            <w:tcW w:w="5292" w:type="dxa"/>
          </w:tcPr>
          <w:p w14:paraId="76E6D563"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The availability of healthcare infrastructure, measured through the number of hospitals available per 1 lakh population in a district, is a crucial determinant of a region’s capacity to handle both routine and emergency CVD cases. Inadequate healthcare infrastructure and unsupportive health policies have a disproportionately negative impact on CVD mortality in lower socioeconomic categories in India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{"citationID":"whEI0jau","properties":{"formattedCitation":"(A. Singh &amp; Dixit, 2016)","plainCitation":"(A. Singh &amp; Dixit, 2016)","noteIndex":0},"citationItems":[{"id":351,"uris":["http://zotero.org/users/local/no4ht0wh/items/PM5W3727"],"itemData":{"id":351,"type":"article-journal","container-title":"Indian Journal of Community Health","issue":"3","page":"215–221","source":"Google Scholar","title":"Lower socio-economic status and cardiovascular disease: Role of healthcare facility and policy in India","title-short":"Lower socio-economic status and cardiovascular disease","volume":"28","author":[{"family":"Singh","given":"Arti"},{"family":"Dixit","given":"Shikha"}],"issued":{"date-parts":[["2016"]]}}}],"schema":"https://github.com/citation-style-language/schema/raw/master/csl-citation.json"}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(A. Singh &amp; Dixit, 2016)</w:t>
            </w:r>
            <w:r w:rsidRPr="004033CE">
              <w:rPr>
                <w:rFonts w:ascii="Times New Roman" w:hAnsi="Times New Roman" w:cs="Times New Roman"/>
              </w:rPr>
              <w:fldChar w:fldCharType="end"/>
            </w:r>
            <w:r w:rsidRPr="004033CE">
              <w:rPr>
                <w:rFonts w:ascii="Times New Roman" w:hAnsi="Times New Roman" w:cs="Times New Roman"/>
              </w:rPr>
              <w:t xml:space="preserve">. The management of CVDs, particularly in resource-limited settings, faces numerous challenges, including insufficient infrastructure, workforce shortages, and limited access to specialised care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{"citationID":"uXZEIMPA","properties":{"formattedCitation":"(Thompson et al., 2019)","plainCitation":"(Thompson et al., 2019)","noteIndex":0},"citationItems":[{"id":353,"uris":["http://zotero.org/users/local/no4ht0wh/items/BML7TYUN"],"itemData":{"id":353,"type":"article-journal","container-title":"International Journal of Environmental Research and Public Health","issue":"24","note":"publisher: MDPI","page":"5126","source":"Google Scholar","title":"Challenges in managing acute cardiovascular diseases and follow up care in rural areas: a narrative review","title-short":"Challenges in managing acute cardiovascular diseases and follow up care in rural areas","volume":"16","author":[{"family":"Thompson","given":"Sandra C."},{"family":"Nedkoff","given":"Lee"},{"family":"Katzenellenbogen","given":"Judith"},{"family":"Hussain","given":"Mohammad Akhtar"},{"family":"Sanfilippo","given":"Frank"}],"issued":{"date-parts":[["2019"]]}}}],"schema":"https://github.com/citation-style-language/schema/raw/master/csl-citation.json"}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(Thompson et al., 2019)</w:t>
            </w:r>
            <w:r w:rsidRPr="004033CE">
              <w:rPr>
                <w:rFonts w:ascii="Times New Roman" w:hAnsi="Times New Roman" w:cs="Times New Roman"/>
              </w:rPr>
              <w:fldChar w:fldCharType="end"/>
            </w:r>
            <w:r w:rsidRPr="004033CE">
              <w:rPr>
                <w:rFonts w:ascii="Times New Roman" w:hAnsi="Times New Roman" w:cs="Times New Roman"/>
              </w:rPr>
              <w:t xml:space="preserve">. Timely intervention and follow-up care are crucial for achieving optimal patient outcomes, particularly in cases of CVDs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{"citationID":"FHUfOR79","properties":{"formattedCitation":"(Thompson et al., 2019)","plainCitation":"(Thompson et al., 2019)","noteIndex":0},"citationItems":[{"id":353,"uris":["http://zotero.org/users/local/no4ht0wh/items/BML7TYUN"],"itemData":{"id":353,"type":"article-journal","container-title":"International Journal of Environmental Research and Public Health","issue":"24","note":"publisher: MDPI","page":"5126","source":"Google Scholar","title":"Challenges in managing acute cardiovascular diseases and follow up care in rural areas: a narrative review","title-short":"Challenges in managing acute cardiovascular diseases and follow up care in rural areas","volume":"16","author":[{"family":"Thompson","given":"Sandra C."},{"family":"Nedkoff","given":"Lee"},{"family":"Katzenellenbogen","given":"Judith"},{"family":"Hussain","given":"Mohammad Akhtar"},{"family":"Sanfilippo","given":"Frank"}],"issued":{"date-parts":[["2019"]]}}}],"schema":"https://github.com/citation-style-language/schema/raw/master/csl-citation.json"}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(Thompson et al., 2019)</w:t>
            </w:r>
            <w:r w:rsidRPr="004033CE">
              <w:rPr>
                <w:rFonts w:ascii="Times New Roman" w:hAnsi="Times New Roman" w:cs="Times New Roman"/>
              </w:rPr>
              <w:fldChar w:fldCharType="end"/>
            </w:r>
            <w:r w:rsidRPr="004033CE">
              <w:rPr>
                <w:rFonts w:ascii="Times New Roman" w:hAnsi="Times New Roman" w:cs="Times New Roman"/>
              </w:rPr>
              <w:t xml:space="preserve">. Therefore, including this indicator helps capture the healthcare system’s ability to respond to the growing burden of CVDs. </w:t>
            </w:r>
          </w:p>
        </w:tc>
      </w:tr>
      <w:tr w:rsidR="00382A05" w:rsidRPr="004033CE" w14:paraId="173253FA" w14:textId="77777777" w:rsidTr="00101B97">
        <w:tc>
          <w:tcPr>
            <w:tcW w:w="1755" w:type="dxa"/>
          </w:tcPr>
          <w:p w14:paraId="48E7ED8E"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Long waiting time</w:t>
            </w:r>
          </w:p>
        </w:tc>
        <w:tc>
          <w:tcPr>
            <w:tcW w:w="1858" w:type="dxa"/>
          </w:tcPr>
          <w:p w14:paraId="0491424C"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households that reported long waiting times in hospitals among the total number of households</w:t>
            </w:r>
          </w:p>
        </w:tc>
        <w:tc>
          <w:tcPr>
            <w:tcW w:w="5292" w:type="dxa"/>
          </w:tcPr>
          <w:p w14:paraId="53A90BB0"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Long waiting times in healthcare facilities are indicative of systemic inefficiencies and an overburdened health infrastructure, which can significantly impact the quality of care. Extended waiting periods for CVD services in community hospitals in Canada were linked to increased mortality, morbidity and inefficient bed use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{"citationID":"iMAdfxxs","properties":{"formattedCitation":"(N. Singh et al., 1999)","plainCitation":"(N. Singh et al., 1999)","noteIndex":0},"citationItems":[{"id":355,"uris":["http://zotero.org/users/local/no4ht0wh/items/27L72KFM"],"itemData":{"id":355,"type":"article-journal","container-title":"The Canadian journal of cardiology","issue":"7","page":"777–782","source":"Google Scholar","title":"Impact and inequity of inpatient waiting times for advanced cardiovascular services in community hospitals across the greater Toronto area.","volume":"15","author":[{"family":"Singh","given":"N."},{"family":"Gupta","given":"M."},{"family":"Fell","given":"D."},{"family":"Gangbar","given":"E."}],"issued":{"date-parts":[["1999"]]}}}],"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(N. Singh et al., 1999)</w:t>
            </w:r>
            <w:r w:rsidRPr="004033CE">
              <w:rPr>
                <w:rFonts w:ascii="Times New Roman" w:hAnsi="Times New Roman" w:cs="Times New Roman"/>
              </w:rPr>
              <w:fldChar w:fldCharType="end"/>
            </w:r>
            <w:r w:rsidRPr="004033CE">
              <w:rPr>
                <w:rFonts w:ascii="Times New Roman" w:hAnsi="Times New Roman" w:cs="Times New Roman"/>
              </w:rPr>
              <w:t xml:space="preserve">. Prolonged waiting times may discourage individuals from seeking care altogether, especially in rural or low-income settings, where daily wage loss and travel costs further exacerbate the burden. Thus, it serves as an essential indicator for assessing CVD vulnerability in the country. </w:t>
            </w:r>
          </w:p>
        </w:tc>
      </w:tr>
      <w:tr w:rsidR="00382A05" w:rsidRPr="004033CE" w14:paraId="3D7F326E" w14:textId="77777777" w:rsidTr="00101B97">
        <w:tc>
          <w:tcPr>
            <w:tcW w:w="8905" w:type="dxa"/>
            <w:gridSpan w:val="3"/>
          </w:tcPr>
          <w:p w14:paraId="00CC6D06" w14:textId="77777777" w:rsidR="00382A05" w:rsidRPr="004033CE" w:rsidRDefault="00382A05" w:rsidP="00101B97">
            <w:pPr>
              <w:rPr>
                <w:rFonts w:ascii="Times New Roman" w:hAnsi="Times New Roman" w:cs="Times New Roman"/>
              </w:rPr>
            </w:pPr>
            <w:r w:rsidRPr="004033CE">
              <w:rPr>
                <w:rFonts w:ascii="Times New Roman" w:hAnsi="Times New Roman" w:cs="Times New Roman"/>
                <w:b/>
                <w:bCs/>
              </w:rPr>
              <w:t>Diet Domain</w:t>
            </w:r>
          </w:p>
        </w:tc>
      </w:tr>
      <w:tr w:rsidR="00382A05" w:rsidRPr="004033CE" w14:paraId="3FC10505" w14:textId="77777777" w:rsidTr="00101B97">
        <w:tc>
          <w:tcPr>
            <w:tcW w:w="1755" w:type="dxa"/>
          </w:tcPr>
          <w:p w14:paraId="53BE8917"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Consumption of chicken/meat</w:t>
            </w:r>
          </w:p>
        </w:tc>
        <w:tc>
          <w:tcPr>
            <w:tcW w:w="1858" w:type="dxa"/>
          </w:tcPr>
          <w:p w14:paraId="4F9E2892"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adults consuming chicken/meat daily among the total population</w:t>
            </w:r>
          </w:p>
        </w:tc>
        <w:tc>
          <w:tcPr>
            <w:tcW w:w="5292" w:type="dxa"/>
          </w:tcPr>
          <w:p w14:paraId="0187547E"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Dietary patterns play a significant role in cardiovascular health, and frequent consumption of meat, particularly processed or red meat, has been linked to elevated risks of CVDs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{"citationID":"0g5tTWHG","properties":{"formattedCitation":"(Abete et al., 2014)","plainCitation":"(Abete et al., 2014)","noteIndex":0},"citationItems":[{"id":356,"uris":["http://zotero.org/users/local/no4ht0wh/items/DTR4X7XU"],"itemData":{"id":356,"type":"article-journal","container-title":"British Journal of Nutrition","issue":"5","note":"publisher: Cambridge University Press","page":"762–775","source":"Google Scholar","title":"Association between total, processed, red and white meat consumption and all-cause, CVD and IHD mortality: a meta-analysis of cohort studies","title-short":"Association between total, processed, red and white meat consumption and all-cause, CVD and IHD mortality","volume":"112","author":[{"family":"Abete","given":"Itziar"},{"family":"Romaguera","given":"Dora"},{"family":"Vieira","given":"Ana Rita"},{"family":"De Munain","given":"Adolfo Lopez"},{"family":"Norat","given":"Teresa"}],"issued":{"date-parts":[["2014"]]}}}],"schema":"https://github.com/citation-style-language/schema/raw/master/csl-citation.json"}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(Abete et al., 2014)</w:t>
            </w:r>
            <w:r w:rsidRPr="004033CE">
              <w:rPr>
                <w:rFonts w:ascii="Times New Roman" w:hAnsi="Times New Roman" w:cs="Times New Roman"/>
              </w:rPr>
              <w:fldChar w:fldCharType="end"/>
            </w:r>
            <w:r w:rsidRPr="004033CE">
              <w:rPr>
                <w:rFonts w:ascii="Times New Roman" w:hAnsi="Times New Roman" w:cs="Times New Roman"/>
              </w:rPr>
              <w:t xml:space="preserve">. Despite being a leaner source of protein, the way chicken is prepared (deep frying or high salt and spice content) and high intake levels can still raise the risk of CVDs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{"citationID":"vvajlcDG","properties":{"formattedCitation":"(Connolly &amp; Campbell, 2023)","plainCitation":"(Connolly &amp; Campbell, 2023)","noteIndex":0},"citationItems":[{"id":358,"uris":["http://zotero.org/users/local/no4ht0wh/items/AI62NC8U"],"itemData":{"id":358,"type":"article-journal","container-title":"Nutrients","issue":"16","note":"publisher: MDPI","page":"3550","source":"Google Scholar","title":"Poultry consumption and human cardiometabolic health-related outcomes: a narrative review","title-short":"Poultry consumption and human cardiometabolic health-related outcomes","volume":"15","author":[{"family":"Connolly","given":"Gavin"},{"family":"Campbell","given":"Wayne W."}],"issued":{"date-parts":[["2023"]]}}}],"schema":"https://github.com/citation-style-language/schema/raw/master/csl-citation.json"}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(Connolly &amp; Campbell, 2023)</w:t>
            </w:r>
            <w:r w:rsidRPr="004033CE">
              <w:rPr>
                <w:rFonts w:ascii="Times New Roman" w:hAnsi="Times New Roman" w:cs="Times New Roman"/>
              </w:rPr>
              <w:fldChar w:fldCharType="end"/>
            </w:r>
            <w:r w:rsidRPr="004033CE">
              <w:rPr>
                <w:rFonts w:ascii="Times New Roman" w:hAnsi="Times New Roman" w:cs="Times New Roman"/>
              </w:rPr>
              <w:t xml:space="preserve">. High quantities of saturated fats and cholesterol found in red meats can increase the levels of low-density lipoprotein (LDL) cholesterol, which is a key contributor to certain cardiovascular conditions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{"citationID":"KM47Qs9u","properties":{"formattedCitation":"(Bronzato &amp; Durante, 2017)","plainCitation":"(Bronzato &amp; Durante, 2017)","noteIndex":0},"citationItems":[{"id":360,"uris":["http://zotero.org/users/local/no4ht0wh/items/NZVLNF3C"],"itemData":{"id":360,"type":"article-journal","container-title":"International journal of preventive medicine","issue":"1","note":"publisher: Medknow","page":"40","source":"Google Scholar","title":"A contemporary review of the relationship between red meat consumption and cardiovascular risk","volume":"8","author":[{"family":"Bronzato","given":"Sofia"},{"family":"Durante","given":"Alessandro"}],"issued":{"date-parts":[["2017"]]}}}],"schema":"https://github.com/citation-style-language/schema/raw/master/csl-citation.json"}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(Bronzato &amp; Durante, 2017)</w:t>
            </w:r>
            <w:r w:rsidRPr="004033CE">
              <w:rPr>
                <w:rFonts w:ascii="Times New Roman" w:hAnsi="Times New Roman" w:cs="Times New Roman"/>
              </w:rPr>
              <w:fldChar w:fldCharType="end"/>
            </w:r>
            <w:r w:rsidRPr="004033CE">
              <w:rPr>
                <w:rFonts w:ascii="Times New Roman" w:hAnsi="Times New Roman" w:cs="Times New Roman"/>
              </w:rPr>
              <w:t>. Therefore, this indicator helps in capturing the dietary vulnerabilities that elevate CVD risk.</w:t>
            </w:r>
          </w:p>
        </w:tc>
      </w:tr>
      <w:tr w:rsidR="00382A05" w:rsidRPr="004033CE" w14:paraId="1094CF98" w14:textId="77777777" w:rsidTr="00101B97">
        <w:tc>
          <w:tcPr>
            <w:tcW w:w="1755" w:type="dxa"/>
          </w:tcPr>
          <w:p w14:paraId="6AEA60D7"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Consumption of aerated drinks</w:t>
            </w:r>
          </w:p>
        </w:tc>
        <w:tc>
          <w:tcPr>
            <w:tcW w:w="1858" w:type="dxa"/>
          </w:tcPr>
          <w:p w14:paraId="3C91FD1C"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The proportion of adults consuming aerated drinks </w:t>
            </w:r>
            <w:r w:rsidRPr="004033CE">
              <w:rPr>
                <w:rFonts w:ascii="Times New Roman" w:hAnsi="Times New Roman" w:cs="Times New Roman"/>
              </w:rPr>
              <w:lastRenderedPageBreak/>
              <w:t>daily among the total population</w:t>
            </w:r>
          </w:p>
        </w:tc>
        <w:tc>
          <w:tcPr>
            <w:tcW w:w="5292" w:type="dxa"/>
          </w:tcPr>
          <w:p w14:paraId="47A7EF51"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lastRenderedPageBreak/>
              <w:t xml:space="preserve">The consumption of aerated or sugar-sweetened beverages is a growing dietary concern due to its strong association with multiple cardiovascular risk factors. These drinks, including sodas, fruit drinks, and energy </w:t>
            </w:r>
            <w:r w:rsidRPr="004033CE">
              <w:rPr>
                <w:rFonts w:ascii="Times New Roman" w:hAnsi="Times New Roman" w:cs="Times New Roman"/>
              </w:rPr>
              <w:lastRenderedPageBreak/>
              <w:t xml:space="preserve">drinks, provide empty calories with little to no nutritional value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{"citationID":"YWcXQuLR","properties":{"formattedCitation":"(V. S. Malik et al., 2010)","plainCitation":"(V. S. Malik et al., 2010)","noteIndex":0},"citationItems":[{"id":361,"uris":["http://zotero.org/users/local/no4ht0wh/items/MPJFM28J"],"itemData":{"id":361,"type":"article-journal","container-title":"Circulation","DOI":"10.1161/CIRCULATIONAHA.109.876185","ISSN":"0009-7322, 1524-4539","issue":"11","journalAbbreviation":"Circulation","language":"en","page":"1356-1364","source":"DOI.org (Crossref)","title":"Sugar-Sweetened Beverages, Obesity, Type 2 Diabetes Mellitus, and Cardiovascular Disease Risk","volume":"121","author":[{"family":"Malik","given":"Vasanti S."},{"family":"Popkin","given":"Barry M."},{"family":"Bray","given":"George A."},{"family":"Després","given":"Jean-Pierre"},{"family":"Hu","given":"Frank B."}],"issued":{"date-parts":[["2010",3,23]]}}}],"schema":"https://github.com/citation-style-language/schema/raw/master/csl-citation.json"}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(V. S. Malik et al., 2010)</w:t>
            </w:r>
            <w:r w:rsidRPr="004033CE">
              <w:rPr>
                <w:rFonts w:ascii="Times New Roman" w:hAnsi="Times New Roman" w:cs="Times New Roman"/>
              </w:rPr>
              <w:fldChar w:fldCharType="end"/>
            </w:r>
            <w:r w:rsidRPr="004033CE">
              <w:rPr>
                <w:rFonts w:ascii="Times New Roman" w:hAnsi="Times New Roman" w:cs="Times New Roman"/>
              </w:rPr>
              <w:t xml:space="preserve">. Regular consumption is associated with higher risks of metabolic syndrome, type 2 diabetes, obesity, and hypertension – all of which are known to contribute to CVDs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{"citationID":"DlbciH12","properties":{"formattedCitation":"(Dhingra et al., 2007)","plainCitation":"(Dhingra et al., 2007)","noteIndex":0},"citationItems":[{"id":363,"uris":["http://zotero.org/users/local/no4ht0wh/items/XMZ6EXGQ"],"itemData":{"id":363,"type":"article-journal","abstract":"Background—\n              \n              Consumption of soft drinks has been linked to obesity in children and adolescents, but it is unclear whether it increases metabolic risk in middle-aged individuals.\n            \n            \n              \n                Methods and Results—\n              \n              We related the incidence of metabolic syndrome and its components to soft drink consumption in participants in the Framingham Heart Study (6039 person-observations, 3470 in women; mean age 52.9 years) who were free of baseline metabolic syndrome. Metabolic syndrome was defined as the presence of ≥3 of the following: waist circumference ≥35 inches (women) or ≥40 inches (men); fasting blood glucose ≥100 mg/dL; serum triglycerides ≥150 mg/dL; blood pressure ≥135/85 mm Hg; and high-density lipoprotein cholesterol &lt;40 mg/dL (men) or &lt;50 mg/dL (women). Multivariable models included adjustments for age, sex, physical activity, smoking, dietary intake of saturated fat, trans fat, fiber, magnesium, total calories, and glycemic index. Cross-sectionally, individuals consuming ≥1 soft drink per day had a higher prevalence of metabolic syndrome (odds ratio [OR], 1.48; 95% CI, 1.30 to 1.69) than those consuming &lt;1 drink per day. On follow-up (mean of 4 years), new-onset metabolic syndrome developed in 765 (18.7%) of 4095 participants consuming &lt;1 drink per day and in 474 (22.6%) of 2059 persons consuming ≥1 soft drink per day. Consumption of ≥1 soft drink per day was associated with increased odds of developing metabolic syndrome (OR, 1.44; 95% CI, 1.20 to 1.74), obesity (OR, 1.31; 95% CI, 1.02 to 1.68), increased waist circumference (OR, 1.30; 95% CI, 1.09 to 1.56), impaired fasting glucose (OR, 1.25; 95% CI, 1.05 to 1.48), higher blood pressure (OR, 1.18; 95% CI, 0.96 to 1.44), hypertriglyceridemia (OR, 1.25; 95% CI, 1.04 to 1.51), and low high-density lipoprotein cholesterol (OR, 1.32; 95% CI 1.06 to 1.64).\n            \n            \n              \n                Conclusions—\n              \n              In middle-aged adults, soft drink consumption is associated with a higher prevalence and incidence of multiple metabolic risk factors.","container-title":"Circulation","DOI":"10.1161/CIRCULATIONAHA.107.689935","ISSN":"0009-7322, 1524-4539","issue":"5","journalAbbreviation":"Circulation","language":"en","page":"480-488","source":"DOI.org (Crossref)","title":"Soft Drink Consumption and Risk of Developing Cardiometabolic Risk Factors and the Metabolic Syndrome in Middle-Aged Adults in the Community","volume":"116","author":[{"family":"Dhingra","given":"Ravi"},{"family":"Sullivan","given":"Lisa"},{"family":"Jacques","given":"Paul F."},{"family":"Wang","given":"Thomas J."},{"family":"Fox","given":"Caroline S."},{"family":"Meigs","given":"James B."},{"family":"D’Agostino","given":"Ralph B."},{"family":"Gaziano","given":"J. Michael"},{"family":"Vasan","given":"Ramachandran S."}],"issued":{"date-parts":[["2007",7,31]]}}}],"schema":"https://github.com/citation-style-language/schema/raw/master/csl-citation.json"}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(Dhingra et al., 2007)</w:t>
            </w:r>
            <w:r w:rsidRPr="004033CE">
              <w:rPr>
                <w:rFonts w:ascii="Times New Roman" w:hAnsi="Times New Roman" w:cs="Times New Roman"/>
              </w:rPr>
              <w:fldChar w:fldCharType="end"/>
            </w:r>
            <w:r w:rsidRPr="004033CE">
              <w:rPr>
                <w:rFonts w:ascii="Times New Roman" w:hAnsi="Times New Roman" w:cs="Times New Roman"/>
              </w:rPr>
              <w:t xml:space="preserve">. Including this indicator in the index helps take into consideration the dietary transitions and growing lifestyle-related vulnerability to CVDs. </w:t>
            </w:r>
          </w:p>
        </w:tc>
      </w:tr>
      <w:tr w:rsidR="00382A05" w:rsidRPr="004033CE" w14:paraId="58761FE4" w14:textId="77777777" w:rsidTr="00101B97">
        <w:tc>
          <w:tcPr>
            <w:tcW w:w="1755" w:type="dxa"/>
          </w:tcPr>
          <w:p w14:paraId="37ECB38A"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lastRenderedPageBreak/>
              <w:t>Consumption of fried foods</w:t>
            </w:r>
          </w:p>
        </w:tc>
        <w:tc>
          <w:tcPr>
            <w:tcW w:w="1858" w:type="dxa"/>
          </w:tcPr>
          <w:p w14:paraId="0EB08D40"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adults consuming fried foods daily among the total population</w:t>
            </w:r>
          </w:p>
        </w:tc>
        <w:tc>
          <w:tcPr>
            <w:tcW w:w="5292" w:type="dxa"/>
          </w:tcPr>
          <w:p w14:paraId="26279B1B"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A growing body of evidence suggests a positive association between frequent consumption of fried foods and CVD risk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{"citationID":"9pJE5C4m","properties":{"formattedCitation":"(Gadiraju et al., 2015; Qin et al., 2021)","plainCitation":"(Gadiraju et al., 2015; Qin et al., 2021)","noteIndex":0},"citationItems":[{"id":366,"uris":["http://zotero.org/users/local/no4ht0wh/items/YCCKRTYG"],"itemData":{"id":366,"type":"article-journal","container-title":"Nutrients","issue":"10","note":"publisher: MDPI","page":"8424–8430","source":"Google Scholar","title":"Fried food consumption and cardiovascular health: a review of current evidence","title-short":"Fried food consumption and cardiovascular health","volume":"7","author":[{"family":"Gadiraju","given":"Taraka V."},{"family":"Patel","given":"Yash"},{"family":"Gaziano","given":"J. Michael"},{"family":"Djoussé","given":"Luc"}],"issued":{"date-parts":[["2015"]]}}},{"id":365,"uris":["http://zotero.org/users/local/no4ht0wh/items/AVR4RAMA"],"itemData":{"id":365,"type":"article-journal","container-title":"Heart","issue":"19","note":"publisher: BMJ Publishing Group Ltd and British Cardiovascular Society","page":"1567–1575","source":"Google Scholar","title":"Fried-food consumption and risk of cardiovascular disease and all-cause mortality: a meta-analysis of observational studies","title-short":"Fried-food consumption and risk of cardiovascular disease and all-cause mortality","volume":"107","author":[{"family":"Qin","given":"Pei"},{"family":"Zhang","given":"Ming"},{"family":"Han","given":"Minghui"},{"family":"Liu","given":"Dechen"},{"family":"Luo","given":"Xinping"},{"family":"Xu","given":"Lidan"},{"family":"Zeng","given":"Yunhong"},{"family":"Chen","given":"Qing"},{"family":"Wang","given":"Tieqiang"},{"family":"Chen","given":"Xiaoliang"}],"issued":{"date-parts":[["2021"]]}}}],"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(Gadiraju et al., 2015; Qin et al., 2021)</w:t>
            </w:r>
            <w:r w:rsidRPr="004033CE">
              <w:rPr>
                <w:rFonts w:ascii="Times New Roman" w:hAnsi="Times New Roman" w:cs="Times New Roman"/>
              </w:rPr>
              <w:fldChar w:fldCharType="end"/>
            </w:r>
            <w:r w:rsidRPr="004033CE">
              <w:rPr>
                <w:rFonts w:ascii="Times New Roman" w:hAnsi="Times New Roman" w:cs="Times New Roman"/>
              </w:rPr>
              <w:t xml:space="preserve">.  This can lead to elevated LDL cholesterol and reduced HDL cholesterol, in addition to an increased risk of hypertension, obesity, insulin resistance, and type 2 diabetes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{"citationID":"WI6BJoP6","properties":{"formattedCitation":"(Gadiraju et al., 2015)","plainCitation":"(Gadiraju et al., 2015)","noteIndex":0},"citationItems":[{"id":366,"uris":["http://zotero.org/users/local/no4ht0wh/items/YCCKRTYG"],"itemData":{"id":366,"type":"article-journal","container-title":"Nutrients","issue":"10","note":"publisher: MDPI","page":"8424–8430","source":"Google Scholar","title":"Fried food consumption and cardiovascular health: a review of current evidence","title-short":"Fried food consumption and cardiovascular health","volume":"7","author":[{"family":"Gadiraju","given":"Taraka V."},{"family":"Patel","given":"Yash"},{"family":"Gaziano","given":"J. Michael"},{"family":"Djoussé","given":"Luc"}],"issued":{"date-parts":[["2015"]]}}}],"schema":"https://github.com/citation-style-language/schema/raw/master/csl-citation.json"}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(Gadiraju et al., 2015)</w:t>
            </w:r>
            <w:r w:rsidRPr="004033CE">
              <w:rPr>
                <w:rFonts w:ascii="Times New Roman" w:hAnsi="Times New Roman" w:cs="Times New Roman"/>
              </w:rPr>
              <w:fldChar w:fldCharType="end"/>
            </w:r>
            <w:r w:rsidRPr="004033CE">
              <w:rPr>
                <w:rFonts w:ascii="Times New Roman" w:hAnsi="Times New Roman" w:cs="Times New Roman"/>
              </w:rPr>
              <w:t xml:space="preserve">. Rapid urbanisation in recent years has resulted in notable changes in eating habits, particularly in metropolitan and peri-urban areas where inexpensive, ready-to-eat fried snacks and fast foods are now easily accessible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{"citationID":"cSNbNegi","properties":{"formattedCitation":"(Hawkes et al., 2017)","plainCitation":"(Hawkes et al., 2017)","noteIndex":0},"citationItems":[{"id":369,"uris":["http://zotero.org/users/local/no4ht0wh/items/Q2BZ3NFQ"],"itemData":{"id":369,"type":"article-journal","container-title":"Global food policy report","issue":"41","note":"publisher: The International Food Policy Research Institute","page":"34","source":"Google Scholar","title":"Urbanization and the nutrition transition","volume":"4","author":[{"family":"Hawkes","given":"Corrina"},{"family":"Harris","given":"J."},{"family":"Gillespie","given":"S."}],"issued":{"date-parts":[["2017"]]}}}],"schema":"https://github.com/citation-style-language/schema/raw/master/csl-citation.json"}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(Hawkes et al., 2017)</w:t>
            </w:r>
            <w:r w:rsidRPr="004033CE">
              <w:rPr>
                <w:rFonts w:ascii="Times New Roman" w:hAnsi="Times New Roman" w:cs="Times New Roman"/>
              </w:rPr>
              <w:fldChar w:fldCharType="end"/>
            </w:r>
            <w:r w:rsidRPr="004033CE">
              <w:rPr>
                <w:rFonts w:ascii="Times New Roman" w:hAnsi="Times New Roman" w:cs="Times New Roman"/>
              </w:rPr>
              <w:t>. In line with the above two indicators, this also reflects shifting dietary patterns that contribute to increased CVD vulnerability among the population.</w:t>
            </w:r>
          </w:p>
        </w:tc>
      </w:tr>
      <w:tr w:rsidR="00382A05" w:rsidRPr="004033CE" w14:paraId="432BDD7F" w14:textId="77777777" w:rsidTr="00101B97">
        <w:tc>
          <w:tcPr>
            <w:tcW w:w="8905" w:type="dxa"/>
            <w:gridSpan w:val="3"/>
          </w:tcPr>
          <w:p w14:paraId="46B259CD" w14:textId="77777777" w:rsidR="00382A05" w:rsidRPr="004033CE" w:rsidRDefault="00382A05" w:rsidP="00101B97">
            <w:pPr>
              <w:rPr>
                <w:rFonts w:ascii="Times New Roman" w:hAnsi="Times New Roman" w:cs="Times New Roman"/>
              </w:rPr>
            </w:pPr>
            <w:r w:rsidRPr="004033CE">
              <w:rPr>
                <w:rFonts w:ascii="Times New Roman" w:hAnsi="Times New Roman" w:cs="Times New Roman"/>
                <w:b/>
                <w:bCs/>
              </w:rPr>
              <w:t>Indoor Environment Domain</w:t>
            </w:r>
          </w:p>
        </w:tc>
      </w:tr>
      <w:tr w:rsidR="00382A05" w:rsidRPr="004033CE" w14:paraId="4EEF21AC" w14:textId="77777777" w:rsidTr="00101B97">
        <w:tc>
          <w:tcPr>
            <w:tcW w:w="1755" w:type="dxa"/>
          </w:tcPr>
          <w:p w14:paraId="04DD2AAE"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Unclean fuel</w:t>
            </w:r>
          </w:p>
        </w:tc>
        <w:tc>
          <w:tcPr>
            <w:tcW w:w="1858" w:type="dxa"/>
          </w:tcPr>
          <w:p w14:paraId="33BB0B03"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households using unclean fuel among the total number of households</w:t>
            </w:r>
          </w:p>
        </w:tc>
        <w:tc>
          <w:tcPr>
            <w:tcW w:w="5292" w:type="dxa"/>
          </w:tcPr>
          <w:p w14:paraId="29A2359A"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The use of unclean cooking fuels, such as firewood, dung, and kerosene, contributes significantly to household air pollution, which is a major environmental risk factor for cardiovascular diseases (CVDs)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{"citationID":"XQTQrfra","properties":{"formattedCitation":"(McCracken et al., 2012)","plainCitation":"(McCracken et al., 2012)","noteIndex":0},"citationItems":[{"id":373,"uris":["http://zotero.org/users/local/no4ht0wh/items/76C2QJPL"],"itemData":{"id":373,"type":"article-journal","container-title":"Global heart","issue":"3","source":"Google Scholar","title":"Household air pollution from solid fuel use: evidence for links to CVD","title-short":"Household air pollution from solid fuel use","URL":"https://globalheartjournal.com/articles/131/files/submission/proof/131-1-235-1-10-20191212.pdf","volume":"7","author":[{"family":"McCracken","given":"John P."},{"family":"Wellenius","given":"Gregory A."},{"family":"Bloomfield","given":"Gerald S."},{"family":"Brook","given":"Robert D."},{"family":"Tolunay","given":"H. Eser"},{"family":"Dockery","given":"Douglas W."},{"family":"Rabadan-Diehl","given":"Cristina"},{"family":"Checkley","given":"William"},{"family":"Rajagopalan","given":"Sanjay"}],"accessed":{"date-parts":[["2025",6,10]]},"issued":{"date-parts":[["2012"]]}}}],"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(McCracken et al., 2012)</w:t>
            </w:r>
            <w:r w:rsidRPr="004033CE">
              <w:rPr>
                <w:rFonts w:ascii="Times New Roman" w:hAnsi="Times New Roman" w:cs="Times New Roman"/>
              </w:rPr>
              <w:fldChar w:fldCharType="end"/>
            </w:r>
            <w:r w:rsidRPr="004033CE">
              <w:rPr>
                <w:rFonts w:ascii="Times New Roman" w:hAnsi="Times New Roman" w:cs="Times New Roman"/>
              </w:rPr>
              <w:t xml:space="preserve">. Long-term exposure to pollutants released during the burning of these fuels can cause endothelial dysfunction, systemic inflammation and oxidative stress, all of which are linked to heightened risk of hypertension, heart diseases and stroke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{"citationID":"HWhYAf1M","properties":{"formattedCitation":"(Hamanaka &amp; Mutlu, 2018)","plainCitation":"(Hamanaka &amp; Mutlu, 2018)","noteIndex":0},"citationItems":[{"id":375,"uris":["http://zotero.org/users/local/no4ht0wh/items/KR5EM7T8"],"itemData":{"id":375,"type":"article-journal","container-title":"Frontiers in endocrinology","note":"publisher: Frontiers Media SA","page":"680","source":"Google Scholar","title":"Particulate matter air pollution: effects on the cardiovascular system","title-short":"Particulate matter air pollution","volume":"9","author":[{"family":"Hamanaka","given":"Robert B."},{"family":"Mutlu","given":"Gökhan M."}],"issued":{"date-parts":[["2018"]]}}}],"schema":"https://github.com/citation-style-language/schema/raw/master/csl-citation.json"}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(Hamanaka &amp; Mutlu, 2018)</w:t>
            </w:r>
            <w:r w:rsidRPr="004033CE">
              <w:rPr>
                <w:rFonts w:ascii="Times New Roman" w:hAnsi="Times New Roman" w:cs="Times New Roman"/>
              </w:rPr>
              <w:fldChar w:fldCharType="end"/>
            </w:r>
            <w:r w:rsidRPr="004033CE">
              <w:rPr>
                <w:rFonts w:ascii="Times New Roman" w:hAnsi="Times New Roman" w:cs="Times New Roman"/>
              </w:rPr>
              <w:t xml:space="preserve">. 40.72% of the Indian households still rely on solid fuels, underscoring the widespread exposure to harmful indoor air pollutants that elevate CVD risk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{"citationID":"46uIHMsr","properties":{"formattedCitation":"(N. K. Mishra et al., 2024)","plainCitation":"(N. K. Mishra et al., 2024)","noteIndex":0},"citationItems":[{"id":377,"uris":["http://zotero.org/users/local/no4ht0wh/items/82C3V2NM"],"itemData":{"id":377,"type":"article-journal","container-title":"Energy for sustainable development","note":"publisher: Elsevier","page":"101500","source":"Google Scholar","title":"Future of clean energy for cooking in India: a comprehensive analysis of fuel alternatives","title-short":"Future of clean energy for cooking in India","volume":"81","author":[{"family":"Mishra","given":"Nishchaya Kumar"},{"family":"Biswas","given":"Pratim"},{"family":"Patel","given":"Sameer"}],"issued":{"date-parts":[["2024"]]}}}],"schema":"https://github.com/citation-style-language/schema/raw/master/csl-citation.json"}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(N. K. Mishra et al., 2024)</w:t>
            </w:r>
            <w:r w:rsidRPr="004033CE">
              <w:rPr>
                <w:rFonts w:ascii="Times New Roman" w:hAnsi="Times New Roman" w:cs="Times New Roman"/>
              </w:rPr>
              <w:fldChar w:fldCharType="end"/>
            </w:r>
            <w:r w:rsidRPr="004033CE">
              <w:rPr>
                <w:rFonts w:ascii="Times New Roman" w:hAnsi="Times New Roman" w:cs="Times New Roman"/>
              </w:rPr>
              <w:t>. Given this substantial reliance on unclean fuel and its strong association with CVDS, it is an essential indicator in capturing indoor environmental vulnerability in relation to the CVD vulnerability index.</w:t>
            </w:r>
          </w:p>
        </w:tc>
      </w:tr>
      <w:tr w:rsidR="00382A05" w:rsidRPr="004033CE" w14:paraId="5B192638" w14:textId="77777777" w:rsidTr="00101B97">
        <w:tc>
          <w:tcPr>
            <w:tcW w:w="1755" w:type="dxa"/>
          </w:tcPr>
          <w:p w14:paraId="46EB9D53"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Untreated water source</w:t>
            </w:r>
          </w:p>
        </w:tc>
        <w:tc>
          <w:tcPr>
            <w:tcW w:w="1858" w:type="dxa"/>
          </w:tcPr>
          <w:p w14:paraId="57FF4AD3"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households consuming water from untreated sources among the total number of households</w:t>
            </w:r>
          </w:p>
        </w:tc>
        <w:tc>
          <w:tcPr>
            <w:tcW w:w="5292" w:type="dxa"/>
          </w:tcPr>
          <w:p w14:paraId="77E65A0A"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While traditionally linked to infectious diseases, recent evidence suggests that exposure to contaminated water can also indirectly contribute to cardiovascular health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{"citationID":"d8YXjq88","properties":{"formattedCitation":"(Lamas et al., 2023)","plainCitation":"(Lamas et al., 2023)","noteIndex":0},"citationItems":[{"id":379,"uris":["http://zotero.org/users/local/no4ht0wh/items/VUQT6E46"],"itemData":{"id":379,"type":"article-journal","abstract":"Exposure to environmental pollutants is linked to increased risk of cardiovascular disease. Beyond the extensive evidence for particulate air pollution, accumulating evidence supports that exposure to nonessential metals such as lead, cadmium, and arsenic is a significant contributor to cardiovascular disease worldwide. Humans are exposed to metals through air, water, soil, and food and extensive industrial and public use. Contaminant metals interfere with critical intracellular reactions and functions leading to oxidative stress and chronic inflammation that result in endothelial dysfunction, hypertension, epigenetic dysregulation, dyslipidemia, and changes in myocardial excitation and contractile function. Lead, cadmium, and arsenic have been linked to subclinical atherosclerosis, coronary artery stenosis, and calcification as well as to increased risk of ischemic heart disease and stroke, left ventricular hypertrophy and heart failure, and peripheral artery disease. Epidemiological studies show that exposure to lead, cadmium, or arsenic is associated with cardiovascular death mostly attributable to ischemic heart disease. Public health measures reducing metal exposure are associated with reductions in cardiovascular disease death. Populations of color and low socioeconomic means are more commonly exposed to metals and therefore at greater risk of metal‐induced cardiovascular disease. Together with strengthening public health measures to prevent metal exposures, development of more sensitive and selective measurement modalities, clinical monitoring of metal exposures, and the development of metal chelation therapies could further diminish the burden of cardiovascular disease attributable to metal exposure.","container-title":"Journal of the American Heart Association","DOI":"10.1161/JAHA.123.029852","ISSN":"2047-9980","issue":"13","journalAbbreviation":"JAHA","language":"en","page":"e029852","source":"DOI.org (Crossref)","title":"Contaminant Metals as Cardiovascular Risk Factors: A Scientific Statement From the American Heart Association","title-short":"Contaminant Metals as Cardiovascular Risk Factors","volume":"12","author":[{"family":"Lamas","given":"Gervasio A."},{"family":"Bhatnagar","given":"Aruni"},{"family":"Jones","given":"Miranda R."},{"family":"Mann","given":"Koren K."},{"family":"Nasir","given":"Khurram"},{"family":"Tellez‐Plaza","given":"Maria"},{"family":"Ujueta","given":"Francisco"},{"family":"Navas‐Acien","given":"Ana"},{"literal":"the American Heart Association Council on Epidemiology and Prevention; Council on Cardiovascular and Stroke Nursing; Council on Lifestyle and Cardiometabolic Health; Council on Peripheral Vascular Disease; and Council on the Kidney in Cardiovascular Disease"}],"issued":{"date-parts":[["2023",7,4]]}}}],"schema":"https://github.com/citation-style-language/schema/raw/master/csl-citation.json"}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(Lamas et al., 2023)</w:t>
            </w:r>
            <w:r w:rsidRPr="004033CE">
              <w:rPr>
                <w:rFonts w:ascii="Times New Roman" w:hAnsi="Times New Roman" w:cs="Times New Roman"/>
              </w:rPr>
              <w:fldChar w:fldCharType="end"/>
            </w:r>
            <w:r w:rsidRPr="004033CE">
              <w:rPr>
                <w:rFonts w:ascii="Times New Roman" w:hAnsi="Times New Roman" w:cs="Times New Roman"/>
              </w:rPr>
              <w:t xml:space="preserve">. Metals like arsenic, lead and cadmium are considered significant contributors to CVDs worldwide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{"citationID":"CCk0Zh0F","properties":{"formattedCitation":"(Alissa &amp; Ferns, 2011)","plainCitation":"(Alissa &amp; Ferns, 2011)","noteIndex":0},"citationItems":[{"id":381,"uris":["http://zotero.org/users/local/no4ht0wh/items/MZKJTHRC"],"itemData":{"id":381,"type":"article-journal","abstract":"Cardiovascular disease (CVD) is an increasing world health problem. Traditional risk factors fail to account for all deaths from CVD. It is mainly the environmental, dietary and lifestyle behavioral factors that are the control keys in the progress of this disease. The potential association between chronic heavy metal exposure, like arsenic, lead, cadmium, mercury, and CVD has been less well defined. The mechanism through which heavy metals act to increase cardiovascular risk factors may act still remains unknown, although impaired antioxidants metabolism and oxidative stress may play a role. However, the exact mechanism of CVD induced by heavy metals deserves further investigation either through animal experiments or through molecular and cellular studies. Furthermore, large-scale prospective studies with follow up on general populations using appropriate biomarkers and cardiovascular endpoints might be recommended to identify the factors that predispose to heavy metals toxicity in CVD. In this review, we will give a brief summary of heavy metals homeostasis, followed by a description of the available evidence for their link with CVD and the proposed mechanisms of action by which their toxic effects might be explained. Finally, suspected interactions between genetic, nutritional and environmental factors are discussed.","container-title":"Journal of Toxicology","DOI":"10.1155/2011/870125","ISSN":"1687-8191, 1687-8205","journalAbbreviation":"Journal of Toxicology","language":"en","license":"http://creativecommons.org/licenses/by/3.0/","page":"1-21","source":"DOI.org (Crossref)","title":"Heavy Metal Poisoning and Cardiovascular Disease","volume":"2011","author":[{"family":"Alissa","given":"Eman M."},{"family":"Ferns","given":"Gordon A."}],"issued":{"date-parts":[["2011"]]}}}],"schema":"https://github.com/citation-style-language/schema/raw/master/csl-citation.json"}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(Alissa &amp; Ferns, 2011)</w:t>
            </w:r>
            <w:r w:rsidRPr="004033CE">
              <w:rPr>
                <w:rFonts w:ascii="Times New Roman" w:hAnsi="Times New Roman" w:cs="Times New Roman"/>
              </w:rPr>
              <w:fldChar w:fldCharType="end"/>
            </w:r>
            <w:r w:rsidRPr="004033CE">
              <w:rPr>
                <w:rFonts w:ascii="Times New Roman" w:hAnsi="Times New Roman" w:cs="Times New Roman"/>
              </w:rPr>
              <w:t xml:space="preserve">. In India, a considerable proportion of households still rely on untreated sources of water such as unprotected wells, springs, and rivers, which are highly contaminated with these toxic metals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{"citationID":"rhvp9uBA","properties":{"formattedCitation":"(Bhowmick et al., 2015; Gupta et al., 2012)","plainCitation":"(Bhowmick et al., 2015; Gupta et al., 2012)","noteIndex":0},"citationItems":[{"id":383,"uris":["http://zotero.org/users/local/no4ht0wh/items/VG8K56CC"],"itemData":{"id":383,"type":"article-journal","container-title":"Environmental Research","note":"publisher: Elsevier","page":"328–336","source":"Google Scholar","title":"Assessment of toxic metals in groundwater and saliva in an arsenic affected area of West Bengal, India: A pilot scale study","title-short":"Assessment of toxic metals in groundwater and saliva in an arsenic affected area of West Bengal, India","volume":"142","author":[{"family":"Bhowmick","given":"Subhamoy"},{"family":"Kundu","given":"Amit Kumar"},{"family":"Adhikari","given":"Jishnu"},{"family":"Chatterjee","given":"Debankur"},{"family":"Iglesias","given":"Monica"},{"family":"Nriagu","given":"Jerome"},{"family":"Mazumder","given":"Debendra Nath Guha"},{"family":"Shomar","given":"Basem"},{"family":"Chatterjee","given":"Debashis"}],"issued":{"date-parts":[["2015"]]}}},{"id":385,"uris":["http://zotero.org/users/local/no4ht0wh/items/K29FI75B"],"itemData":{"id":385,"type":"article-journal","container-title":"Water Science and Technology: Water Supply","issue":"6","note":"publisher: IWA Publishing","page":"773–782","source":"Google Scholar","title":"Toxic metal ions in water and their prevalence in Uttarakhand, India","volume":"12","author":[{"family":"Gupta","given":"Vinod Kumar"},{"family":"Dobhal","given":"Rajendra"},{"family":"Nayak","given":"Arunima"},{"family":"Agarwal","given":"Shilpi"},{"family":"Uniyal","given":"Devi Prasad"},{"family":"Singh","given":"Prashant"},{"family":"Sharma","given":"Bhavtosh"},{"family":"Tyagi","given":"Shweta"},{"family":"Singh","given":"Rakesh"}],"issued":{"date-parts":[["2012"]]}}}],"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(Bhowmick et al., 2015; Gupta et al., 2012)</w:t>
            </w:r>
            <w:r w:rsidRPr="004033CE">
              <w:rPr>
                <w:rFonts w:ascii="Times New Roman" w:hAnsi="Times New Roman" w:cs="Times New Roman"/>
              </w:rPr>
              <w:fldChar w:fldCharType="end"/>
            </w:r>
            <w:r w:rsidRPr="004033CE">
              <w:rPr>
                <w:rFonts w:ascii="Times New Roman" w:hAnsi="Times New Roman" w:cs="Times New Roman"/>
              </w:rPr>
              <w:t>. Adding this indicator to the indoor environmental domain helps in reflecting a much broader picture of the household-level exposure risks that contribute to CVDs.</w:t>
            </w:r>
          </w:p>
        </w:tc>
      </w:tr>
      <w:tr w:rsidR="00382A05" w:rsidRPr="004033CE" w14:paraId="705E9167" w14:textId="77777777" w:rsidTr="00101B97">
        <w:tc>
          <w:tcPr>
            <w:tcW w:w="1755" w:type="dxa"/>
          </w:tcPr>
          <w:p w14:paraId="6EDC2475"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lastRenderedPageBreak/>
              <w:t>Unimproved sanitation</w:t>
            </w:r>
          </w:p>
        </w:tc>
        <w:tc>
          <w:tcPr>
            <w:tcW w:w="1858" w:type="dxa"/>
          </w:tcPr>
          <w:p w14:paraId="0E6F8ED9"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households having unimproved sanitation among the total number of households</w:t>
            </w:r>
          </w:p>
          <w:p w14:paraId="68C7D580" w14:textId="77777777" w:rsidR="00382A05" w:rsidRPr="004033CE" w:rsidRDefault="00382A05" w:rsidP="00101B97">
            <w:pPr>
              <w:jc w:val="center"/>
              <w:rPr>
                <w:rFonts w:ascii="Times New Roman" w:hAnsi="Times New Roman" w:cs="Times New Roman"/>
              </w:rPr>
            </w:pPr>
          </w:p>
        </w:tc>
        <w:tc>
          <w:tcPr>
            <w:tcW w:w="5292" w:type="dxa"/>
          </w:tcPr>
          <w:p w14:paraId="555671F4"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While sanitation and CVDs might not be directly linked, poor sanitation can contribute to repeated infections and chronic inflammation that have been associated with higher risks of hypertension and metabolic disorders. Poor sanitation conditions are often concentrated in communities with lower socio-economic development, inadequate infrastructure, and limited access to healthcare, all of which are environments where cardiovascular risks accumulate and health-seeking behaviour is delayed or compromised. Also repeated exposure to unhygienic conditions can exacerbate existing comorbidities such as diabetes or kidney disorders, which in turn increase the likelihood of CVD complications.</w:t>
            </w:r>
          </w:p>
        </w:tc>
      </w:tr>
      <w:tr w:rsidR="00382A05" w:rsidRPr="004033CE" w14:paraId="09CC4CAA" w14:textId="77777777" w:rsidTr="00101B97">
        <w:tc>
          <w:tcPr>
            <w:tcW w:w="1755" w:type="dxa"/>
          </w:tcPr>
          <w:p w14:paraId="76FD0E9B"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Overcrowding</w:t>
            </w:r>
          </w:p>
        </w:tc>
        <w:tc>
          <w:tcPr>
            <w:tcW w:w="1858" w:type="dxa"/>
          </w:tcPr>
          <w:p w14:paraId="6526499E"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The proportion of households having more than 5 members per room among the total number of households</w:t>
            </w:r>
          </w:p>
        </w:tc>
        <w:tc>
          <w:tcPr>
            <w:tcW w:w="5292" w:type="dxa"/>
          </w:tcPr>
          <w:p w14:paraId="08E30F3D"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Overcrowding in households is an important proxy for poor living conditions and socio-economic deprivation, both of which have indirect but significant associations with CVD vulnerability. Densely populated households often face constraints in physical space, ventilation, and sanitation, leading to chronic stress and sleep deprivation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{"citationID":"b3m2JjXi","properties":{"formattedCitation":"(Krieger &amp; Higgins, 2002)","plainCitation":"(Krieger &amp; Higgins, 2002)","noteIndex":0},"citationItems":[{"id":433,"uris":["http://zotero.org/users/local/no4ht0wh/items/6LWJRMXD"],"itemData":{"id":433,"type":"article-journal","abstract":"Poor housing conditions are associated with a wide range of health conditions, including respiratory infections, asthma, lead poisoning, injuries, and mental health. Addressing housing issues offers public health practitioners an opportunity to address an important social determinant of health. Public health has long been involved in housing issues. In the 19th century, health officials targeted poor sanitation, crowding, and inadequate ventilation to reduce infectious diseases as well as fire hazards to decrease injuries. Today, public health departments can employ multiple strategies to improve housing, such as developing and enforcing housing guidelines and codes, implementing “Healthy Homes” programs to improve indoor environmental quality, assessing housing conditions, and advocating for healthy, affordable housing. Now is the time for public health to create healthier homes by confronting substandard housing.","container-title":"American Journal of Public Health","DOI":"10.2105/AJPH.92.5.758","ISSN":"0090-0036, 1541-0048","issue":"5","journalAbbreviation":"Am J Public Health","language":"en","page":"758-768","source":"DOI.org (Crossref)","title":"Housing and Health: Time Again for Public Health Action","title-short":"Housing and Health","volume":"92","author":[{"family":"Krieger","given":"James"},{"family":"Higgins","given":"Donna L."}],"issued":{"date-parts":[["2002",5]]}}}],"schema":"https://github.com/citation-style-language/schema/raw/master/csl-citation.json"}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(Krieger &amp; Higgins, 2002)</w:t>
            </w:r>
            <w:r w:rsidRPr="004033CE">
              <w:rPr>
                <w:rFonts w:ascii="Times New Roman" w:hAnsi="Times New Roman" w:cs="Times New Roman"/>
              </w:rPr>
              <w:fldChar w:fldCharType="end"/>
            </w:r>
            <w:r w:rsidRPr="004033CE">
              <w:rPr>
                <w:rFonts w:ascii="Times New Roman" w:hAnsi="Times New Roman" w:cs="Times New Roman"/>
              </w:rPr>
              <w:t xml:space="preserve">. In addition, overcrowded settings may hinder the management of existing chronic conditions, which are particularly acute for the elderly and individuals with pre-existing conditions who may require cleaner, quieter and less congested living environments. </w:t>
            </w:r>
          </w:p>
        </w:tc>
      </w:tr>
      <w:tr w:rsidR="00382A05" w:rsidRPr="004033CE" w14:paraId="5A5FA8E7" w14:textId="77777777" w:rsidTr="00101B97">
        <w:tc>
          <w:tcPr>
            <w:tcW w:w="8905" w:type="dxa"/>
            <w:gridSpan w:val="3"/>
          </w:tcPr>
          <w:p w14:paraId="7DA5BD64" w14:textId="77777777" w:rsidR="00382A05" w:rsidRPr="004033CE" w:rsidRDefault="00382A05" w:rsidP="00101B97">
            <w:pPr>
              <w:rPr>
                <w:rFonts w:ascii="Times New Roman" w:hAnsi="Times New Roman" w:cs="Times New Roman"/>
              </w:rPr>
            </w:pPr>
            <w:r w:rsidRPr="004033CE">
              <w:rPr>
                <w:rFonts w:ascii="Times New Roman" w:hAnsi="Times New Roman" w:cs="Times New Roman"/>
                <w:b/>
                <w:bCs/>
              </w:rPr>
              <w:t>Outdoor Environment Domain</w:t>
            </w:r>
          </w:p>
        </w:tc>
      </w:tr>
      <w:tr w:rsidR="00382A05" w:rsidRPr="004033CE" w14:paraId="434A0669" w14:textId="77777777" w:rsidTr="00101B97">
        <w:tc>
          <w:tcPr>
            <w:tcW w:w="1755" w:type="dxa"/>
          </w:tcPr>
          <w:p w14:paraId="22DF7E43"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Aerosol Optical Depth (AOD)</w:t>
            </w:r>
          </w:p>
        </w:tc>
        <w:tc>
          <w:tcPr>
            <w:tcW w:w="1858" w:type="dxa"/>
          </w:tcPr>
          <w:p w14:paraId="72FB89BB"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Value of aerosol optical depth in the district between 2011-20</w:t>
            </w:r>
          </w:p>
        </w:tc>
        <w:tc>
          <w:tcPr>
            <w:tcW w:w="5292" w:type="dxa"/>
          </w:tcPr>
          <w:p w14:paraId="36DFD062"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AOD is a satellite-derived measure that indicates the concentration of aerosols suspended in the atmosphere. Higher AOD values corresponds to higher air pollution, which are known to contribute to systemic inflammation, endothelial dysfunction and increased risk of CVDs. Air pollution is one of the most significant risk factors for CVDs globally and particularly in India, where many urbanised regions experience persistently high levels of ambient air pollution due to vehicular emissions, industrial activity and construction dusts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{"citationID":"tcUvc0G9","properties":{"formattedCitation":"(Brook et al., 2004)","plainCitation":"(Brook et al., 2004)","noteIndex":0},"citationItems":[{"id":437,"uris":["http://zotero.org/users/local/no4ht0wh/items/T5Z3D59K"],"itemData":{"id":437,"type":"article-journal","abstract":"Air pollution is a heterogeneous, complex mixture of gases, liquids, and particulate matter. Epidemiological studies have demonstrated a consistent increased risk for cardiovascular events in relation to both short- and long-term exposure to present-day concentrations of ambient particulate matter. Several plausible mechanistic pathways have been described, including enhanced coagulation/thrombosis, a propensity for arrhythmias, acute arterial vasoconstriction, systemic inflammatory responses, and the chronic promotion of atherosclerosis. The purpose of this statement is to provide healthcare professionals and regulatory agencies with a comprehensive review of the literature on air pollution and cardiovascular disease. In addition, the implications of these findings in relation to public health and regulatory policies are addressed. Practical recommendations for healthcare providers and their patients are outlined. In the final section, suggestions for future research are made to address a number of remaining scientific questions.","container-title":"Circulation","DOI":"10.1161/01.CIR.0000128587.30041.C8","ISSN":"0009-7322, 1524-4539","issue":"21","journalAbbreviation":"Circulation","language":"en","page":"2655-2671","source":"DOI.org (Crossref)","title":"Air Pollution and Cardiovascular Disease: A Statement for Healthcare Professionals From the Expert Panel on Population and Prevention Science of the American Heart Association","title-short":"Air Pollution and Cardiovascular Disease","volume":"109","author":[{"family":"Brook","given":"Robert D."},{"family":"Franklin","given":"Barry"},{"family":"Cascio","given":"Wayne"},{"family":"Hong","given":"Yuling"},{"family":"Howard","given":"George"},{"family":"Lipsett","given":"Michael"},{"family":"Luepker","given":"Russell"},{"family":"Mittleman","given":"Murray"},{"family":"Samet","given":"Jonathan"},{"family":"Smith","given":"Sidney C."},{"family":"Tager","given":"Ira"}],"issued":{"date-parts":[["2004",6]]}}}],"schema":"https://github.com/citation-style-language/schema/raw/master/csl-citation.json"}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(Brook et al., 2004)</w:t>
            </w:r>
            <w:r w:rsidRPr="004033CE">
              <w:rPr>
                <w:rFonts w:ascii="Times New Roman" w:hAnsi="Times New Roman" w:cs="Times New Roman"/>
              </w:rPr>
              <w:fldChar w:fldCharType="end"/>
            </w:r>
            <w:r w:rsidRPr="004033CE">
              <w:rPr>
                <w:rFonts w:ascii="Times New Roman" w:hAnsi="Times New Roman" w:cs="Times New Roman"/>
              </w:rPr>
              <w:t xml:space="preserve">. Exposure to high levels of particulate matter has been strongly associated with increased incidence of heart attacks, strokes and hypertension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{"citationID":"FIpc6aZz","properties":{"formattedCitation":"(Liao et al., 2021)","plainCitation":"(Liao et al., 2021)","noteIndex":0},"citationItems":[{"id":435,"uris":["http://zotero.org/users/local/no4ht0wh/items/7BWMXA2S"],"itemData":{"id":435,"type":"article-journal","abstract":"Background\n              \n                Previous studies have found associations between fine particulate matter &lt;2.5 µm in diameter (PM\n                2.5\n                ) and increased risk of cardiovascular disease (CVD) among populations with no CVD history. Less is understood about susceptibility of adults with a history of CVD and subsequent PM\n                2.5\n                ‐related CVD events and whether current regulation levels for PM\n                2.5\n                are protective for this population.\n              \n            \n            \n              Methods and Results\n              \n                This retrospective cohort study included 96 582 Kaiser Permanente Northern California adults with a history of stroke or acute myocardial infarction. Outcome, covariate, and address data obtained from electronic health records were linked to time‐varying 1‐year mean PM\n                2.5\n                exposure estimates based on residential locations. Cox proportional hazard models estimated risks of stroke, acute myocardial infarction, and cardiovascular mortality associated with PM\n                2.5\n                exposure, adjusting for multiple covariates. Secondary analyses estimated risks below federal and state regulation levels (12 µg/m\n                3\n                for 1‐year mean PM\n                2.5\n                ). A 10‐µg/m\n                3\n                increase in 1‐year mean PM\n                2.5\n                exposure was associated with an increase in risk of cardiovascular mortality (hazard ratio [HR], 1.20; 95% CI, 1.11–1.30), but no increase in risk of stroke or acute myocardial infarction. Analyses of &lt;12 µg/m\n                3\n                showed increased risk for CVD mortality (HR, 2.31; 95% CI, 1.96–2.71), stroke (HR, 1.41; 95% CI, 1.09–1.83]), and acute myocardial infarction (HR, 1.51; 95% CI, 1.21–1.89) per 10‐µg/m\n                3\n                increase in 1‐year mean PM\n                2.5\n                .\n              \n            \n            \n              Conclusions\n              \n                Adults with a history of CVD are susceptible to the effects of PM\n                2.5\n                exposure, particularly on CVD mortality. Increased risks observed at exposure levels &lt;12 µg/m\n                3\n                highlight that current PM\n                2.5\n                regulation levels may not be protective for this susceptible population.","container-title":"Journal of the American Heart Association","DOI":"10.1161/JAHA.120.019758","ISSN":"2047-9980","issue":"10","journalAbbreviation":"JAHA","language":"en","page":"e019758","source":"DOI.org (Crossref)","title":"Particulate Air Pollution and Risk of Cardiovascular Events Among Adults With a History of Stroke or Acute Myocardial Infarction","volume":"10","author":[{"family":"Liao","given":"Noelle S."},{"family":"Sidney","given":"Stephen"},{"family":"Deosaransingh","given":"Kamala"},{"family":"Van Den Eeden","given":"Stephen K."},{"family":"Schwartz","given":"Joel"},{"family":"Alexeeff","given":"Stacey E."}],"issued":{"date-parts":[["2021",5,18]]}}}],"schema":"https://github.com/citation-style-language/schema/raw/master/csl-citation.json"}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(Liao et al., 2021)</w:t>
            </w:r>
            <w:r w:rsidRPr="004033CE">
              <w:rPr>
                <w:rFonts w:ascii="Times New Roman" w:hAnsi="Times New Roman" w:cs="Times New Roman"/>
              </w:rPr>
              <w:fldChar w:fldCharType="end"/>
            </w:r>
            <w:r w:rsidRPr="004033CE">
              <w:rPr>
                <w:rFonts w:ascii="Times New Roman" w:hAnsi="Times New Roman" w:cs="Times New Roman"/>
              </w:rPr>
              <w:t>. Hence, adding this as an indicator helps in assessing the environmental vulnerability of CVDs.</w:t>
            </w:r>
          </w:p>
        </w:tc>
      </w:tr>
      <w:tr w:rsidR="00382A05" w:rsidRPr="004033CE" w14:paraId="4B19DB3A" w14:textId="77777777" w:rsidTr="00101B97">
        <w:tc>
          <w:tcPr>
            <w:tcW w:w="1755" w:type="dxa"/>
          </w:tcPr>
          <w:p w14:paraId="09E4B693"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Nitrogen dioxide (NO2)</w:t>
            </w:r>
          </w:p>
        </w:tc>
        <w:tc>
          <w:tcPr>
            <w:tcW w:w="1858" w:type="dxa"/>
          </w:tcPr>
          <w:p w14:paraId="263CE35F"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Value of NO2 in the district between 2019-22</w:t>
            </w:r>
          </w:p>
        </w:tc>
        <w:tc>
          <w:tcPr>
            <w:tcW w:w="5292" w:type="dxa"/>
            <w:vMerge w:val="restart"/>
          </w:tcPr>
          <w:p w14:paraId="08EB6F4F"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 xml:space="preserve">These three major pollutants are widely recognised for their harmful effects on human health, particularly cardiovascular health. They are primarily released through vehicular emissions, burning of fossil fuels, and industrial activities, all of which are prevalent in both rural and urban areas in India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{"citationID":"wLnPv6Cg","properties":{"formattedCitation":"(Pandey et al., 2005)","plainCitation":"(Pandey et al., 2005)","noteIndex":0},"citationItems":[{"id":439,"uris":["http://zotero.org/users/local/no4ht0wh/items/MINNCHJ3"],"itemData":{"id":439,"type":"article-journal","container-title":"Atmospheric Environment","issue":"36","note":"publisher: Elsevier","page":"6868–6874","source":"Google Scholar","title":"Health risks of NO2, SPM and SO2 in Delhi (India)","volume":"39","author":[{"family":"Pandey","given":"Jai Shanker"},{"family":"Kumar","given":"Rakesh"},{"family":"Devotta","given":"Sukumar"}],"issued":{"date-parts":[["2005"]]}}}],"schema":"https://github.com/citation-style-language/schema/raw/master/csl-citation.json"}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(Pandey et al., 2005)</w:t>
            </w:r>
            <w:r w:rsidRPr="004033CE">
              <w:rPr>
                <w:rFonts w:ascii="Times New Roman" w:hAnsi="Times New Roman" w:cs="Times New Roman"/>
              </w:rPr>
              <w:fldChar w:fldCharType="end"/>
            </w:r>
            <w:r w:rsidRPr="004033CE">
              <w:rPr>
                <w:rFonts w:ascii="Times New Roman" w:hAnsi="Times New Roman" w:cs="Times New Roman"/>
              </w:rPr>
              <w:t xml:space="preserve">. Chronic exposure to these gases has been linked with increased hospital admissions, incidence of strokes and mortality from ischemic heart diseases </w:t>
            </w:r>
            <w:r w:rsidRPr="004033CE">
              <w:rPr>
                <w:rFonts w:ascii="Times New Roman" w:hAnsi="Times New Roman" w:cs="Times New Roman"/>
              </w:rPr>
              <w:fldChar w:fldCharType="begin"/>
            </w:r>
            <w:r w:rsidRPr="004033CE">
              <w:rPr>
                <w:rFonts w:ascii="Times New Roman" w:hAnsi="Times New Roman" w:cs="Times New Roman"/>
              </w:rPr>
              <w:instrText xml:space="preserve"> ADDIN ZOTERO_ITEM CSL_CITATION {"citationID":"jwzcgFLX","properties":{"formattedCitation":"(Motesaddi Zarandi et al., 2022)","plainCitation":"(Motesaddi Zarandi et al., 2022)","noteIndex":0},"citationItems":[{"id":441,"uris":["http://zotero.org/users/local/no4ht0wh/items/NACQ2XBB"],"itemData":{"id":441,"type":"article-journal","container-title":"Environmental science and pollution research","note":"publisher: Springer","page":"1–13","source":"Google Scholar","title":"Effects of ambient air pollutants on hospital admissions and deaths for cardiovascular diseases: a time series analysis in Tehran","title-short":"Effects of ambient air pollutants on hospital admissions and deaths for cardiovascular diseases","author":[{"family":"Motesaddi Zarandi","given":"Saeed"},{"family":"Hadei","given":"Mostafa"},{"family":"Hashemi","given":"Seyed Saeed"},{"family":"Shahhosseini","given":"Elahe"},{"family":"Hopke","given":"Philip K."},{"family":"Namvar","given":"Zahra"},{"family":"Shahsavani","given":"Abbas"}],"issued":{"date-parts":[["2022"]]}}}],"schema":"https://github.com/citation-style-language/schema/raw/master/csl-citation.json"} </w:instrText>
            </w:r>
            <w:r w:rsidRPr="004033CE">
              <w:rPr>
                <w:rFonts w:ascii="Times New Roman" w:hAnsi="Times New Roman" w:cs="Times New Roman"/>
              </w:rPr>
              <w:fldChar w:fldCharType="separate"/>
            </w:r>
            <w:r w:rsidRPr="004033CE">
              <w:rPr>
                <w:rFonts w:ascii="Times New Roman" w:hAnsi="Times New Roman" w:cs="Times New Roman"/>
              </w:rPr>
              <w:t>(Motesaddi Zarandi et al., 2022)</w:t>
            </w:r>
            <w:r w:rsidRPr="004033CE">
              <w:rPr>
                <w:rFonts w:ascii="Times New Roman" w:hAnsi="Times New Roman" w:cs="Times New Roman"/>
              </w:rPr>
              <w:fldChar w:fldCharType="end"/>
            </w:r>
            <w:r w:rsidRPr="004033CE">
              <w:rPr>
                <w:rFonts w:ascii="Times New Roman" w:hAnsi="Times New Roman" w:cs="Times New Roman"/>
              </w:rPr>
              <w:t xml:space="preserve">. Including the levels of these pollutants in the index enables a clearer understanding of </w:t>
            </w:r>
            <w:r w:rsidRPr="004033CE">
              <w:rPr>
                <w:rFonts w:ascii="Times New Roman" w:hAnsi="Times New Roman" w:cs="Times New Roman"/>
              </w:rPr>
              <w:lastRenderedPageBreak/>
              <w:t>the environmental burden contributing to CVD vulnerability.</w:t>
            </w:r>
          </w:p>
        </w:tc>
      </w:tr>
      <w:tr w:rsidR="00382A05" w:rsidRPr="004033CE" w14:paraId="20391BD8" w14:textId="77777777" w:rsidTr="00101B97">
        <w:tc>
          <w:tcPr>
            <w:tcW w:w="1755" w:type="dxa"/>
          </w:tcPr>
          <w:p w14:paraId="39FC1C62"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Sulphur dioxide (SO2)</w:t>
            </w:r>
          </w:p>
        </w:tc>
        <w:tc>
          <w:tcPr>
            <w:tcW w:w="1858" w:type="dxa"/>
          </w:tcPr>
          <w:p w14:paraId="17D9AD0D"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Value of SO2 in the district between 2019-22</w:t>
            </w:r>
          </w:p>
        </w:tc>
        <w:tc>
          <w:tcPr>
            <w:tcW w:w="5292" w:type="dxa"/>
            <w:vMerge/>
          </w:tcPr>
          <w:p w14:paraId="14D09036" w14:textId="77777777" w:rsidR="00382A05" w:rsidRPr="004033CE" w:rsidRDefault="00382A05" w:rsidP="00101B97">
            <w:pPr>
              <w:rPr>
                <w:rFonts w:ascii="Times New Roman" w:hAnsi="Times New Roman" w:cs="Times New Roman"/>
              </w:rPr>
            </w:pPr>
          </w:p>
        </w:tc>
      </w:tr>
      <w:tr w:rsidR="00382A05" w:rsidRPr="004033CE" w14:paraId="5A227EFB" w14:textId="77777777" w:rsidTr="00101B97">
        <w:tc>
          <w:tcPr>
            <w:tcW w:w="1755" w:type="dxa"/>
          </w:tcPr>
          <w:p w14:paraId="49EDF819"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Carbon monoxide (CO)</w:t>
            </w:r>
          </w:p>
        </w:tc>
        <w:tc>
          <w:tcPr>
            <w:tcW w:w="1858" w:type="dxa"/>
          </w:tcPr>
          <w:p w14:paraId="4953ADA0" w14:textId="77777777" w:rsidR="00382A05" w:rsidRPr="004033CE" w:rsidRDefault="00382A05" w:rsidP="00101B97">
            <w:pPr>
              <w:rPr>
                <w:rFonts w:ascii="Times New Roman" w:hAnsi="Times New Roman" w:cs="Times New Roman"/>
              </w:rPr>
            </w:pPr>
            <w:r w:rsidRPr="004033CE">
              <w:rPr>
                <w:rFonts w:ascii="Times New Roman" w:hAnsi="Times New Roman" w:cs="Times New Roman"/>
              </w:rPr>
              <w:t>Value of CO in the district between 2019-22</w:t>
            </w:r>
          </w:p>
        </w:tc>
        <w:tc>
          <w:tcPr>
            <w:tcW w:w="5292" w:type="dxa"/>
            <w:vMerge/>
          </w:tcPr>
          <w:p w14:paraId="2A38A519" w14:textId="77777777" w:rsidR="00382A05" w:rsidRPr="004033CE" w:rsidRDefault="00382A05" w:rsidP="00101B97">
            <w:pPr>
              <w:rPr>
                <w:rFonts w:ascii="Times New Roman" w:hAnsi="Times New Roman" w:cs="Times New Roman"/>
              </w:rPr>
            </w:pPr>
          </w:p>
        </w:tc>
      </w:tr>
    </w:tbl>
    <w:p w14:paraId="5A4AB15D" w14:textId="7C0741DF" w:rsidR="000F55F3" w:rsidRPr="004033CE" w:rsidRDefault="000F55F3">
      <w:pPr>
        <w:rPr>
          <w:rFonts w:ascii="Times New Roman" w:hAnsi="Times New Roman" w:cs="Times New Roman"/>
          <w:sz w:val="22"/>
          <w:szCs w:val="22"/>
        </w:rPr>
      </w:pPr>
    </w:p>
    <w:p w14:paraId="19524570" w14:textId="6AE0610B" w:rsidR="00C6225E" w:rsidRPr="004033CE" w:rsidRDefault="00B625C1">
      <w:pPr>
        <w:rPr>
          <w:rFonts w:ascii="Times New Roman" w:hAnsi="Times New Roman" w:cs="Times New Roman"/>
          <w:b/>
          <w:bCs/>
          <w:sz w:val="22"/>
          <w:szCs w:val="22"/>
          <w:u w:val="single"/>
        </w:rPr>
      </w:pPr>
      <w:r w:rsidRPr="004033CE">
        <w:rPr>
          <w:rFonts w:ascii="Times New Roman" w:hAnsi="Times New Roman" w:cs="Times New Roman"/>
          <w:b/>
          <w:bCs/>
          <w:sz w:val="22"/>
          <w:szCs w:val="22"/>
          <w:u w:val="single"/>
        </w:rPr>
        <w:t xml:space="preserve">S2: </w:t>
      </w:r>
      <w:r w:rsidR="00C6225E" w:rsidRPr="004033CE">
        <w:rPr>
          <w:rFonts w:ascii="Times New Roman" w:hAnsi="Times New Roman" w:cs="Times New Roman"/>
          <w:b/>
          <w:bCs/>
          <w:sz w:val="22"/>
          <w:szCs w:val="22"/>
          <w:u w:val="single"/>
        </w:rPr>
        <w:t>Sensitivity analysis for spatial weights</w:t>
      </w:r>
    </w:p>
    <w:p w14:paraId="75736D28" w14:textId="5AD12902" w:rsidR="00C6225E" w:rsidRPr="004033CE" w:rsidRDefault="00D833EA">
      <w:pPr>
        <w:rPr>
          <w:rFonts w:ascii="Times New Roman" w:hAnsi="Times New Roman" w:cs="Times New Roman"/>
          <w:sz w:val="22"/>
          <w:szCs w:val="22"/>
        </w:rPr>
      </w:pPr>
      <w:r w:rsidRPr="004033CE">
        <w:rPr>
          <w:rFonts w:ascii="Times New Roman" w:hAnsi="Times New Roman" w:cs="Times New Roman"/>
          <w:sz w:val="22"/>
          <w:szCs w:val="22"/>
        </w:rPr>
        <w:t xml:space="preserve">To assess the robustness of the spatial autocorrelation results to the choice of spatial weights, a sensitivity analysis was conducted using a K-Nearest Neighbours (KNN) weight matrix with k=5 as a n alternative to the Queen’s contiguity-based weight matrix used in the main analysis. This was considered particularly important given the substantial variation in the geographical size of Indian districts. The KNN-based analysis yielded a Global Moran’s I value of 0.631 (z = 27.879, pseudo p-value =0.001, permutations = 999), which is virtually identical to the Queen contiguity-based value of 0.636 reported in the main analysis. The corresponding Moran’s I scatter plot, and LISA cluster map are presented in Figures S1 and S2, respectively. </w:t>
      </w:r>
    </w:p>
    <w:p w14:paraId="4FB5215B" w14:textId="77777777" w:rsidR="00D833EA" w:rsidRPr="004033CE" w:rsidRDefault="00D833EA" w:rsidP="00D833EA">
      <w:pPr>
        <w:keepNext/>
        <w:jc w:val="center"/>
        <w:rPr>
          <w:sz w:val="22"/>
          <w:szCs w:val="22"/>
        </w:rPr>
      </w:pPr>
      <w:r w:rsidRPr="004033CE">
        <w:rPr>
          <w:noProof/>
          <w:sz w:val="22"/>
          <w:szCs w:val="22"/>
        </w:rPr>
        <w:drawing>
          <wp:inline distT="0" distB="0" distL="0" distR="0" wp14:anchorId="4366486C" wp14:editId="334D1578">
            <wp:extent cx="3474720" cy="3366394"/>
            <wp:effectExtent l="0" t="0" r="0" b="5715"/>
            <wp:docPr id="1672037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89564" cy="3380775"/>
                    </a:xfrm>
                    <a:prstGeom prst="rect">
                      <a:avLst/>
                    </a:prstGeom>
                    <a:noFill/>
                    <a:ln>
                      <a:noFill/>
                    </a:ln>
                  </pic:spPr>
                </pic:pic>
              </a:graphicData>
            </a:graphic>
          </wp:inline>
        </w:drawing>
      </w:r>
    </w:p>
    <w:p w14:paraId="3624E7A8" w14:textId="369CE20B" w:rsidR="00D833EA" w:rsidRPr="004033CE" w:rsidRDefault="00D833EA" w:rsidP="00D833EA">
      <w:pPr>
        <w:pStyle w:val="Caption"/>
        <w:jc w:val="center"/>
        <w:rPr>
          <w:rFonts w:ascii="Times New Roman" w:hAnsi="Times New Roman" w:cs="Times New Roman"/>
          <w:sz w:val="22"/>
          <w:szCs w:val="22"/>
        </w:rPr>
      </w:pPr>
      <w:r w:rsidRPr="004033CE">
        <w:rPr>
          <w:rFonts w:ascii="Times New Roman" w:hAnsi="Times New Roman" w:cs="Times New Roman"/>
          <w:sz w:val="22"/>
          <w:szCs w:val="22"/>
        </w:rPr>
        <w:t>Figure S</w:t>
      </w:r>
      <w:r w:rsidRPr="004033CE">
        <w:rPr>
          <w:rFonts w:ascii="Times New Roman" w:hAnsi="Times New Roman" w:cs="Times New Roman"/>
          <w:sz w:val="22"/>
          <w:szCs w:val="22"/>
        </w:rPr>
        <w:fldChar w:fldCharType="begin"/>
      </w:r>
      <w:r w:rsidRPr="004033CE">
        <w:rPr>
          <w:rFonts w:ascii="Times New Roman" w:hAnsi="Times New Roman" w:cs="Times New Roman"/>
          <w:sz w:val="22"/>
          <w:szCs w:val="22"/>
        </w:rPr>
        <w:instrText xml:space="preserve"> SEQ Figure_S \* ARABIC </w:instrText>
      </w:r>
      <w:r w:rsidRPr="004033CE">
        <w:rPr>
          <w:rFonts w:ascii="Times New Roman" w:hAnsi="Times New Roman" w:cs="Times New Roman"/>
          <w:sz w:val="22"/>
          <w:szCs w:val="22"/>
        </w:rPr>
        <w:fldChar w:fldCharType="separate"/>
      </w:r>
      <w:r w:rsidR="00C00370" w:rsidRPr="004033CE">
        <w:rPr>
          <w:rFonts w:ascii="Times New Roman" w:hAnsi="Times New Roman" w:cs="Times New Roman"/>
          <w:noProof/>
          <w:sz w:val="22"/>
          <w:szCs w:val="22"/>
        </w:rPr>
        <w:t>1</w:t>
      </w:r>
      <w:r w:rsidRPr="004033CE">
        <w:rPr>
          <w:rFonts w:ascii="Times New Roman" w:hAnsi="Times New Roman" w:cs="Times New Roman"/>
          <w:sz w:val="22"/>
          <w:szCs w:val="22"/>
        </w:rPr>
        <w:fldChar w:fldCharType="end"/>
      </w:r>
      <w:r w:rsidRPr="004033CE">
        <w:rPr>
          <w:rFonts w:ascii="Times New Roman" w:hAnsi="Times New Roman" w:cs="Times New Roman"/>
          <w:sz w:val="22"/>
          <w:szCs w:val="22"/>
        </w:rPr>
        <w:t>: Spatial autocorrelation of district-level vulnerabilities of CVDs in India using KNN weight matrix.</w:t>
      </w:r>
    </w:p>
    <w:p w14:paraId="44AFED56" w14:textId="77777777" w:rsidR="00C00370" w:rsidRPr="004033CE" w:rsidRDefault="00C00370" w:rsidP="00C00370">
      <w:pPr>
        <w:rPr>
          <w:sz w:val="22"/>
          <w:szCs w:val="22"/>
        </w:rPr>
      </w:pPr>
    </w:p>
    <w:p w14:paraId="23602894" w14:textId="77777777" w:rsidR="00C00370" w:rsidRPr="004033CE" w:rsidRDefault="00C00370" w:rsidP="00C00370">
      <w:pPr>
        <w:rPr>
          <w:sz w:val="22"/>
          <w:szCs w:val="22"/>
        </w:rPr>
      </w:pPr>
    </w:p>
    <w:tbl>
      <w:tblPr>
        <w:tblStyle w:val="TableGrid"/>
        <w:tblW w:w="95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3"/>
        <w:gridCol w:w="4773"/>
      </w:tblGrid>
      <w:tr w:rsidR="00C00370" w:rsidRPr="004033CE" w14:paraId="5EAC7556" w14:textId="77777777" w:rsidTr="00C00370">
        <w:trPr>
          <w:trHeight w:val="4031"/>
          <w:jc w:val="center"/>
        </w:trPr>
        <w:tc>
          <w:tcPr>
            <w:tcW w:w="4773" w:type="dxa"/>
          </w:tcPr>
          <w:p w14:paraId="0B0B883D" w14:textId="77777777" w:rsidR="00C00370" w:rsidRPr="004033CE" w:rsidRDefault="00C00370" w:rsidP="00D833EA">
            <w:r w:rsidRPr="004033CE">
              <w:rPr>
                <w:noProof/>
              </w:rPr>
              <w:lastRenderedPageBreak/>
              <w:drawing>
                <wp:anchor distT="0" distB="0" distL="114300" distR="114300" simplePos="0" relativeHeight="251659264" behindDoc="0" locked="0" layoutInCell="1" allowOverlap="1" wp14:anchorId="63A56AE6" wp14:editId="447E9378">
                  <wp:simplePos x="0" y="0"/>
                  <wp:positionH relativeFrom="margin">
                    <wp:posOffset>1510860</wp:posOffset>
                  </wp:positionH>
                  <wp:positionV relativeFrom="paragraph">
                    <wp:posOffset>87532</wp:posOffset>
                  </wp:positionV>
                  <wp:extent cx="520700" cy="479281"/>
                  <wp:effectExtent l="0" t="0" r="0" b="0"/>
                  <wp:wrapNone/>
                  <wp:docPr id="12617591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0700" cy="4792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033CE">
              <w:rPr>
                <w:noProof/>
              </w:rPr>
              <w:drawing>
                <wp:inline distT="0" distB="0" distL="0" distR="0" wp14:anchorId="37B1C43B" wp14:editId="68105B1E">
                  <wp:extent cx="2674245" cy="2356338"/>
                  <wp:effectExtent l="0" t="0" r="0" b="6350"/>
                  <wp:docPr id="343023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4281" cy="2409237"/>
                          </a:xfrm>
                          <a:prstGeom prst="rect">
                            <a:avLst/>
                          </a:prstGeom>
                          <a:noFill/>
                          <a:ln>
                            <a:noFill/>
                          </a:ln>
                        </pic:spPr>
                      </pic:pic>
                    </a:graphicData>
                  </a:graphic>
                </wp:inline>
              </w:drawing>
            </w:r>
          </w:p>
          <w:p w14:paraId="227F9E3C" w14:textId="4C5F99AB" w:rsidR="00C00370" w:rsidRPr="004033CE" w:rsidRDefault="00C00370" w:rsidP="00C00370">
            <w:pPr>
              <w:jc w:val="center"/>
              <w:rPr>
                <w:rFonts w:ascii="Times New Roman" w:hAnsi="Times New Roman" w:cs="Times New Roman"/>
              </w:rPr>
            </w:pPr>
            <w:r w:rsidRPr="004033CE">
              <w:rPr>
                <w:rFonts w:ascii="Times New Roman" w:hAnsi="Times New Roman" w:cs="Times New Roman"/>
              </w:rPr>
              <w:t>(a)</w:t>
            </w:r>
          </w:p>
        </w:tc>
        <w:tc>
          <w:tcPr>
            <w:tcW w:w="4773" w:type="dxa"/>
          </w:tcPr>
          <w:p w14:paraId="631F82C4" w14:textId="77777777" w:rsidR="00C00370" w:rsidRPr="004033CE" w:rsidRDefault="00C00370" w:rsidP="00D833EA">
            <w:r w:rsidRPr="004033CE">
              <w:rPr>
                <w:noProof/>
              </w:rPr>
              <w:drawing>
                <wp:anchor distT="0" distB="0" distL="114300" distR="114300" simplePos="0" relativeHeight="251661312" behindDoc="0" locked="0" layoutInCell="1" allowOverlap="1" wp14:anchorId="63D92E50" wp14:editId="6B713178">
                  <wp:simplePos x="0" y="0"/>
                  <wp:positionH relativeFrom="margin">
                    <wp:posOffset>1545590</wp:posOffset>
                  </wp:positionH>
                  <wp:positionV relativeFrom="paragraph">
                    <wp:posOffset>86653</wp:posOffset>
                  </wp:positionV>
                  <wp:extent cx="520700" cy="479281"/>
                  <wp:effectExtent l="0" t="0" r="0" b="0"/>
                  <wp:wrapNone/>
                  <wp:docPr id="2144308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0700" cy="4792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033CE">
              <w:rPr>
                <w:noProof/>
              </w:rPr>
              <w:drawing>
                <wp:inline distT="0" distB="0" distL="0" distR="0" wp14:anchorId="3D1E77A5" wp14:editId="2C30D2B6">
                  <wp:extent cx="2539219" cy="2373565"/>
                  <wp:effectExtent l="0" t="0" r="0" b="8255"/>
                  <wp:docPr id="7671250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8765" cy="2410531"/>
                          </a:xfrm>
                          <a:prstGeom prst="rect">
                            <a:avLst/>
                          </a:prstGeom>
                          <a:noFill/>
                          <a:ln>
                            <a:noFill/>
                          </a:ln>
                        </pic:spPr>
                      </pic:pic>
                    </a:graphicData>
                  </a:graphic>
                </wp:inline>
              </w:drawing>
            </w:r>
          </w:p>
          <w:p w14:paraId="14E635D9" w14:textId="52EB7051" w:rsidR="00C00370" w:rsidRPr="004033CE" w:rsidRDefault="00C00370" w:rsidP="00C00370">
            <w:pPr>
              <w:keepNext/>
              <w:jc w:val="center"/>
              <w:rPr>
                <w:rFonts w:ascii="Times New Roman" w:hAnsi="Times New Roman" w:cs="Times New Roman"/>
              </w:rPr>
            </w:pPr>
            <w:r w:rsidRPr="004033CE">
              <w:rPr>
                <w:rFonts w:ascii="Times New Roman" w:hAnsi="Times New Roman" w:cs="Times New Roman"/>
              </w:rPr>
              <w:t>(b)</w:t>
            </w:r>
          </w:p>
        </w:tc>
      </w:tr>
    </w:tbl>
    <w:p w14:paraId="0FAA2877" w14:textId="1B87563B" w:rsidR="00D833EA" w:rsidRPr="004033CE" w:rsidRDefault="00C00370" w:rsidP="00C00370">
      <w:pPr>
        <w:pStyle w:val="Caption"/>
        <w:jc w:val="center"/>
        <w:rPr>
          <w:rFonts w:ascii="Times New Roman" w:hAnsi="Times New Roman" w:cs="Times New Roman"/>
          <w:sz w:val="22"/>
          <w:szCs w:val="22"/>
        </w:rPr>
      </w:pPr>
      <w:r w:rsidRPr="004033CE">
        <w:rPr>
          <w:rFonts w:ascii="Times New Roman" w:hAnsi="Times New Roman" w:cs="Times New Roman"/>
          <w:sz w:val="22"/>
          <w:szCs w:val="22"/>
        </w:rPr>
        <w:t>Figure S</w:t>
      </w:r>
      <w:r w:rsidRPr="004033CE">
        <w:rPr>
          <w:rFonts w:ascii="Times New Roman" w:hAnsi="Times New Roman" w:cs="Times New Roman"/>
          <w:sz w:val="22"/>
          <w:szCs w:val="22"/>
        </w:rPr>
        <w:fldChar w:fldCharType="begin"/>
      </w:r>
      <w:r w:rsidRPr="004033CE">
        <w:rPr>
          <w:rFonts w:ascii="Times New Roman" w:hAnsi="Times New Roman" w:cs="Times New Roman"/>
          <w:sz w:val="22"/>
          <w:szCs w:val="22"/>
        </w:rPr>
        <w:instrText xml:space="preserve"> SEQ Figure_S \* ARABIC </w:instrText>
      </w:r>
      <w:r w:rsidRPr="004033CE">
        <w:rPr>
          <w:rFonts w:ascii="Times New Roman" w:hAnsi="Times New Roman" w:cs="Times New Roman"/>
          <w:sz w:val="22"/>
          <w:szCs w:val="22"/>
        </w:rPr>
        <w:fldChar w:fldCharType="separate"/>
      </w:r>
      <w:r w:rsidRPr="004033CE">
        <w:rPr>
          <w:rFonts w:ascii="Times New Roman" w:hAnsi="Times New Roman" w:cs="Times New Roman"/>
          <w:noProof/>
          <w:sz w:val="22"/>
          <w:szCs w:val="22"/>
        </w:rPr>
        <w:t>2</w:t>
      </w:r>
      <w:r w:rsidRPr="004033CE">
        <w:rPr>
          <w:rFonts w:ascii="Times New Roman" w:hAnsi="Times New Roman" w:cs="Times New Roman"/>
          <w:sz w:val="22"/>
          <w:szCs w:val="22"/>
        </w:rPr>
        <w:fldChar w:fldCharType="end"/>
      </w:r>
      <w:r w:rsidRPr="004033CE">
        <w:rPr>
          <w:rFonts w:ascii="Times New Roman" w:hAnsi="Times New Roman" w:cs="Times New Roman"/>
          <w:sz w:val="22"/>
          <w:szCs w:val="22"/>
        </w:rPr>
        <w:t>: Local Moran's I cluster map (a) and corresponding significance map (b).</w:t>
      </w:r>
    </w:p>
    <w:p w14:paraId="10EC85E9" w14:textId="77777777" w:rsidR="004033CE" w:rsidRDefault="004033CE" w:rsidP="004033CE">
      <w:pPr>
        <w:rPr>
          <w:rFonts w:ascii="Times New Roman" w:hAnsi="Times New Roman" w:cs="Times New Roman"/>
          <w:b/>
          <w:bCs/>
          <w:sz w:val="22"/>
          <w:szCs w:val="22"/>
        </w:rPr>
      </w:pPr>
    </w:p>
    <w:p w14:paraId="31C55245" w14:textId="77777777" w:rsidR="004033CE" w:rsidRDefault="004033CE" w:rsidP="004033CE">
      <w:pPr>
        <w:rPr>
          <w:rFonts w:ascii="Times New Roman" w:hAnsi="Times New Roman" w:cs="Times New Roman"/>
          <w:b/>
          <w:bCs/>
          <w:sz w:val="22"/>
          <w:szCs w:val="22"/>
        </w:rPr>
      </w:pPr>
    </w:p>
    <w:p w14:paraId="6501DF1C" w14:textId="5CD9FCD5" w:rsidR="004033CE" w:rsidRPr="004033CE" w:rsidRDefault="004033CE" w:rsidP="004033CE">
      <w:pPr>
        <w:rPr>
          <w:rFonts w:ascii="Times New Roman" w:hAnsi="Times New Roman" w:cs="Times New Roman"/>
          <w:b/>
          <w:bCs/>
          <w:sz w:val="22"/>
          <w:szCs w:val="22"/>
        </w:rPr>
      </w:pPr>
      <w:r w:rsidRPr="004033CE">
        <w:rPr>
          <w:rFonts w:ascii="Times New Roman" w:hAnsi="Times New Roman" w:cs="Times New Roman"/>
          <w:b/>
          <w:bCs/>
          <w:sz w:val="22"/>
          <w:szCs w:val="22"/>
        </w:rPr>
        <w:t>References</w:t>
      </w:r>
    </w:p>
    <w:p w14:paraId="13D91B3A"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1.</w:t>
      </w:r>
      <w:r w:rsidRPr="004033CE">
        <w:rPr>
          <w:rFonts w:ascii="Times New Roman" w:hAnsi="Times New Roman" w:cs="Times New Roman"/>
          <w:sz w:val="22"/>
          <w:szCs w:val="22"/>
        </w:rPr>
        <w:tab/>
        <w:t xml:space="preserve">Abete, I., Romaguera, D., Vieira, A. R., De </w:t>
      </w:r>
      <w:proofErr w:type="spellStart"/>
      <w:r w:rsidRPr="004033CE">
        <w:rPr>
          <w:rFonts w:ascii="Times New Roman" w:hAnsi="Times New Roman" w:cs="Times New Roman"/>
          <w:sz w:val="22"/>
          <w:szCs w:val="22"/>
        </w:rPr>
        <w:t>Munain</w:t>
      </w:r>
      <w:proofErr w:type="spellEnd"/>
      <w:r w:rsidRPr="004033CE">
        <w:rPr>
          <w:rFonts w:ascii="Times New Roman" w:hAnsi="Times New Roman" w:cs="Times New Roman"/>
          <w:sz w:val="22"/>
          <w:szCs w:val="22"/>
        </w:rPr>
        <w:t>, A. L., &amp; Norat, T. (2014). Association between total, processed, red and white meat consumption and all-cause, CVD and IHD mortality: A meta-analysis of cohort studies. British Journal of Nutrition, 112(5), 762–775.</w:t>
      </w:r>
    </w:p>
    <w:p w14:paraId="0AF642AF"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2.</w:t>
      </w:r>
      <w:r w:rsidRPr="004033CE">
        <w:rPr>
          <w:rFonts w:ascii="Times New Roman" w:hAnsi="Times New Roman" w:cs="Times New Roman"/>
          <w:sz w:val="22"/>
          <w:szCs w:val="22"/>
        </w:rPr>
        <w:tab/>
        <w:t>Alissa, E. M., &amp; Ferns, G. A. (2011). Heavy Metal Poisoning and Cardiovascular Disease. Journal of Toxicology, 2011, 1–21. https://doi.org/10.1155/2011/870125</w:t>
      </w:r>
    </w:p>
    <w:p w14:paraId="2468F969"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3.</w:t>
      </w:r>
      <w:r w:rsidRPr="004033CE">
        <w:rPr>
          <w:rFonts w:ascii="Times New Roman" w:hAnsi="Times New Roman" w:cs="Times New Roman"/>
          <w:sz w:val="22"/>
          <w:szCs w:val="22"/>
        </w:rPr>
        <w:tab/>
        <w:t xml:space="preserve">Anjana, R. M., Pradeepa, R., Das, A. K., Deepa, M., Bhansali, A., Joshi, S. R., Joshi, P. P., </w:t>
      </w:r>
      <w:proofErr w:type="spellStart"/>
      <w:r w:rsidRPr="004033CE">
        <w:rPr>
          <w:rFonts w:ascii="Times New Roman" w:hAnsi="Times New Roman" w:cs="Times New Roman"/>
          <w:sz w:val="22"/>
          <w:szCs w:val="22"/>
        </w:rPr>
        <w:t>Dhandhania</w:t>
      </w:r>
      <w:proofErr w:type="spellEnd"/>
      <w:r w:rsidRPr="004033CE">
        <w:rPr>
          <w:rFonts w:ascii="Times New Roman" w:hAnsi="Times New Roman" w:cs="Times New Roman"/>
          <w:sz w:val="22"/>
          <w:szCs w:val="22"/>
        </w:rPr>
        <w:t xml:space="preserve">, V. K., Rao, P. V., Sudha, V., Subashini, R., Unnikrishnan, R., Madhu, S. V., Kaur, T., Mohan, V., Shukla, D. K., &amp; for the ICMR– INDIAB Collaborative Study Group. (2014). Physical activity and inactivity patterns in India – results from the ICMR-INDIAB study (Phase-1) [ICMR-INDIAB-5]. International Journal of </w:t>
      </w:r>
      <w:proofErr w:type="spellStart"/>
      <w:r w:rsidRPr="004033CE">
        <w:rPr>
          <w:rFonts w:ascii="Times New Roman" w:hAnsi="Times New Roman" w:cs="Times New Roman"/>
          <w:sz w:val="22"/>
          <w:szCs w:val="22"/>
        </w:rPr>
        <w:t>Behavioral</w:t>
      </w:r>
      <w:proofErr w:type="spellEnd"/>
      <w:r w:rsidRPr="004033CE">
        <w:rPr>
          <w:rFonts w:ascii="Times New Roman" w:hAnsi="Times New Roman" w:cs="Times New Roman"/>
          <w:sz w:val="22"/>
          <w:szCs w:val="22"/>
        </w:rPr>
        <w:t xml:space="preserve"> Nutrition and Physical Activity, 11(1), 26. https://doi.org/10.1186/1479-5868-11-26</w:t>
      </w:r>
    </w:p>
    <w:p w14:paraId="6A34EFB5"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4.</w:t>
      </w:r>
      <w:r w:rsidRPr="004033CE">
        <w:rPr>
          <w:rFonts w:ascii="Times New Roman" w:hAnsi="Times New Roman" w:cs="Times New Roman"/>
          <w:sz w:val="22"/>
          <w:szCs w:val="22"/>
        </w:rPr>
        <w:tab/>
        <w:t>Armstrong, A. da C., de Souza, C. D. F., Santos, J. M. dos, Carmo, R. F. do, Armstrong, D. M. F. de O., Pereira, V. C., Ladeia, A. M., Correia, L. C. L., Barral-Netto, M., &amp; Lima, J. A. C. (2023). Urbanization and cardiovascular health among Indigenous groups in Brazil. Communications Medicine, 3(1), 17.</w:t>
      </w:r>
    </w:p>
    <w:p w14:paraId="0BDCE64C"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5.</w:t>
      </w:r>
      <w:r w:rsidRPr="004033CE">
        <w:rPr>
          <w:rFonts w:ascii="Times New Roman" w:hAnsi="Times New Roman" w:cs="Times New Roman"/>
          <w:sz w:val="22"/>
          <w:szCs w:val="22"/>
        </w:rPr>
        <w:tab/>
        <w:t xml:space="preserve">Arnett, D. K., Blumenthal, R. S., Albert, M. A., Buroker, A. B., Goldberger, Z. D., Hahn, E. J., Himmelfarb, C. D., Khera, A., Lloyd-Jones, D., McEvoy, J. W., Michos, E. D., Miedema, M. D., Muñoz, D., Smith, S. C., Virani, S. S., Williams, K. A., Yeboah, J., &amp; </w:t>
      </w:r>
      <w:proofErr w:type="spellStart"/>
      <w:r w:rsidRPr="004033CE">
        <w:rPr>
          <w:rFonts w:ascii="Times New Roman" w:hAnsi="Times New Roman" w:cs="Times New Roman"/>
          <w:sz w:val="22"/>
          <w:szCs w:val="22"/>
        </w:rPr>
        <w:t>Ziaeian</w:t>
      </w:r>
      <w:proofErr w:type="spellEnd"/>
      <w:r w:rsidRPr="004033CE">
        <w:rPr>
          <w:rFonts w:ascii="Times New Roman" w:hAnsi="Times New Roman" w:cs="Times New Roman"/>
          <w:sz w:val="22"/>
          <w:szCs w:val="22"/>
        </w:rPr>
        <w:t>, B. (2019). 2019 ACC/AHA Guideline on the Primary Prevention of Cardiovascular Disease. Journal of the American College of Cardiology, 74(10), e177–e232. https://doi.org/10.1016/j.jacc.2019.03.010</w:t>
      </w:r>
    </w:p>
    <w:p w14:paraId="347BA888"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6.</w:t>
      </w:r>
      <w:r w:rsidRPr="004033CE">
        <w:rPr>
          <w:rFonts w:ascii="Times New Roman" w:hAnsi="Times New Roman" w:cs="Times New Roman"/>
          <w:sz w:val="22"/>
          <w:szCs w:val="22"/>
        </w:rPr>
        <w:tab/>
      </w:r>
      <w:proofErr w:type="spellStart"/>
      <w:r w:rsidRPr="004033CE">
        <w:rPr>
          <w:rFonts w:ascii="Times New Roman" w:hAnsi="Times New Roman" w:cs="Times New Roman"/>
          <w:sz w:val="22"/>
          <w:szCs w:val="22"/>
        </w:rPr>
        <w:t>Baaten</w:t>
      </w:r>
      <w:proofErr w:type="spellEnd"/>
      <w:r w:rsidRPr="004033CE">
        <w:rPr>
          <w:rFonts w:ascii="Times New Roman" w:hAnsi="Times New Roman" w:cs="Times New Roman"/>
          <w:sz w:val="22"/>
          <w:szCs w:val="22"/>
        </w:rPr>
        <w:t xml:space="preserve">, C. C. F. M. J., Vondenhoff, S., &amp; Noels, H. (2023). Endothelial Cell Dysfunction and Increased Cardiovascular Risk in Patients </w:t>
      </w:r>
      <w:proofErr w:type="gramStart"/>
      <w:r w:rsidRPr="004033CE">
        <w:rPr>
          <w:rFonts w:ascii="Times New Roman" w:hAnsi="Times New Roman" w:cs="Times New Roman"/>
          <w:sz w:val="22"/>
          <w:szCs w:val="22"/>
        </w:rPr>
        <w:t>With</w:t>
      </w:r>
      <w:proofErr w:type="gramEnd"/>
      <w:r w:rsidRPr="004033CE">
        <w:rPr>
          <w:rFonts w:ascii="Times New Roman" w:hAnsi="Times New Roman" w:cs="Times New Roman"/>
          <w:sz w:val="22"/>
          <w:szCs w:val="22"/>
        </w:rPr>
        <w:t xml:space="preserve"> Chronic Kidney Disease. Circulation Research, 132(8), 970–992. https://doi.org/10.1161/CIRCRESAHA.123.321752</w:t>
      </w:r>
    </w:p>
    <w:p w14:paraId="06FD48B8"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lastRenderedPageBreak/>
        <w:t>7.</w:t>
      </w:r>
      <w:r w:rsidRPr="004033CE">
        <w:rPr>
          <w:rFonts w:ascii="Times New Roman" w:hAnsi="Times New Roman" w:cs="Times New Roman"/>
          <w:sz w:val="22"/>
          <w:szCs w:val="22"/>
        </w:rPr>
        <w:tab/>
        <w:t>Basu, S., Bendavid, E., &amp; Sood, N. (2015). Health and Economic Implications of National Treatment Coverage for Cardiovascular Disease in India: Cost-Effectiveness Analysis. Circulation: Cardiovascular Quality and Outcomes, 8(6), 541–551. https://doi.org/10.1161/CIRCOUTCOMES.115.001994</w:t>
      </w:r>
    </w:p>
    <w:p w14:paraId="3DDB701E"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8.</w:t>
      </w:r>
      <w:r w:rsidRPr="004033CE">
        <w:rPr>
          <w:rFonts w:ascii="Times New Roman" w:hAnsi="Times New Roman" w:cs="Times New Roman"/>
          <w:sz w:val="22"/>
          <w:szCs w:val="22"/>
        </w:rPr>
        <w:tab/>
        <w:t xml:space="preserve">Bhowmick, S., Kundu, A. K., Adhikari, J., Chatterjee, D., Iglesias, M., </w:t>
      </w:r>
      <w:proofErr w:type="spellStart"/>
      <w:r w:rsidRPr="004033CE">
        <w:rPr>
          <w:rFonts w:ascii="Times New Roman" w:hAnsi="Times New Roman" w:cs="Times New Roman"/>
          <w:sz w:val="22"/>
          <w:szCs w:val="22"/>
        </w:rPr>
        <w:t>Nriagu</w:t>
      </w:r>
      <w:proofErr w:type="spellEnd"/>
      <w:r w:rsidRPr="004033CE">
        <w:rPr>
          <w:rFonts w:ascii="Times New Roman" w:hAnsi="Times New Roman" w:cs="Times New Roman"/>
          <w:sz w:val="22"/>
          <w:szCs w:val="22"/>
        </w:rPr>
        <w:t xml:space="preserve">, J., Mazumder, D. N. G., </w:t>
      </w:r>
      <w:proofErr w:type="spellStart"/>
      <w:r w:rsidRPr="004033CE">
        <w:rPr>
          <w:rFonts w:ascii="Times New Roman" w:hAnsi="Times New Roman" w:cs="Times New Roman"/>
          <w:sz w:val="22"/>
          <w:szCs w:val="22"/>
        </w:rPr>
        <w:t>Shomar</w:t>
      </w:r>
      <w:proofErr w:type="spellEnd"/>
      <w:r w:rsidRPr="004033CE">
        <w:rPr>
          <w:rFonts w:ascii="Times New Roman" w:hAnsi="Times New Roman" w:cs="Times New Roman"/>
          <w:sz w:val="22"/>
          <w:szCs w:val="22"/>
        </w:rPr>
        <w:t>, B., &amp; Chatterjee, D. (2015). Assessment of toxic metals in groundwater and saliva in an arsenic affected area of West Bengal, India: A pilot scale study. Environmental Research, 142, 328–336.</w:t>
      </w:r>
    </w:p>
    <w:p w14:paraId="26690E5C"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9.</w:t>
      </w:r>
      <w:r w:rsidRPr="004033CE">
        <w:rPr>
          <w:rFonts w:ascii="Times New Roman" w:hAnsi="Times New Roman" w:cs="Times New Roman"/>
          <w:sz w:val="22"/>
          <w:szCs w:val="22"/>
        </w:rPr>
        <w:tab/>
      </w:r>
      <w:proofErr w:type="spellStart"/>
      <w:r w:rsidRPr="004033CE">
        <w:rPr>
          <w:rFonts w:ascii="Times New Roman" w:hAnsi="Times New Roman" w:cs="Times New Roman"/>
          <w:sz w:val="22"/>
          <w:szCs w:val="22"/>
        </w:rPr>
        <w:t>Bronzato</w:t>
      </w:r>
      <w:proofErr w:type="spellEnd"/>
      <w:r w:rsidRPr="004033CE">
        <w:rPr>
          <w:rFonts w:ascii="Times New Roman" w:hAnsi="Times New Roman" w:cs="Times New Roman"/>
          <w:sz w:val="22"/>
          <w:szCs w:val="22"/>
        </w:rPr>
        <w:t>, S., &amp; Durante, A. (2017). A contemporary review of the relationship between red meat consumption and cardiovascular risk. International Journal of Preventive Medicine, 8(1), 40.</w:t>
      </w:r>
    </w:p>
    <w:p w14:paraId="2758A2A2"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10.</w:t>
      </w:r>
      <w:r w:rsidRPr="004033CE">
        <w:rPr>
          <w:rFonts w:ascii="Times New Roman" w:hAnsi="Times New Roman" w:cs="Times New Roman"/>
          <w:sz w:val="22"/>
          <w:szCs w:val="22"/>
        </w:rPr>
        <w:tab/>
        <w:t xml:space="preserve">Brook, R. D., Franklin, B., Cascio, W., Hong, Y., Howard, G., Lipsett, M., Luepker, R., Mittleman, M., Samet, J., Smith, S. C., &amp; Tager, I. (2004). Air Pollution and Cardiovascular Disease: A Statement for Healthcare Professionals </w:t>
      </w:r>
      <w:proofErr w:type="gramStart"/>
      <w:r w:rsidRPr="004033CE">
        <w:rPr>
          <w:rFonts w:ascii="Times New Roman" w:hAnsi="Times New Roman" w:cs="Times New Roman"/>
          <w:sz w:val="22"/>
          <w:szCs w:val="22"/>
        </w:rPr>
        <w:t>From</w:t>
      </w:r>
      <w:proofErr w:type="gramEnd"/>
      <w:r w:rsidRPr="004033CE">
        <w:rPr>
          <w:rFonts w:ascii="Times New Roman" w:hAnsi="Times New Roman" w:cs="Times New Roman"/>
          <w:sz w:val="22"/>
          <w:szCs w:val="22"/>
        </w:rPr>
        <w:t xml:space="preserve"> the Expert Panel on Population and Prevention Science of the American Heart Association. Circulation, 109(21), 2655–2671. https://doi.org/10.1161/01.CIR.0000128587.30041.C8</w:t>
      </w:r>
    </w:p>
    <w:p w14:paraId="0E63F812"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11.</w:t>
      </w:r>
      <w:r w:rsidRPr="004033CE">
        <w:rPr>
          <w:rFonts w:ascii="Times New Roman" w:hAnsi="Times New Roman" w:cs="Times New Roman"/>
          <w:sz w:val="22"/>
          <w:szCs w:val="22"/>
        </w:rPr>
        <w:tab/>
        <w:t xml:space="preserve">Carter, P., Lagan, J., Fortune, C., Bhatt, D. L., Vestbo, J., Niven, R., Chaudhuri, N., Schelbert, E. B., Potluri, R., &amp; Miller, C. A. (2019). Association of Cardiovascular Disease </w:t>
      </w:r>
      <w:proofErr w:type="gramStart"/>
      <w:r w:rsidRPr="004033CE">
        <w:rPr>
          <w:rFonts w:ascii="Times New Roman" w:hAnsi="Times New Roman" w:cs="Times New Roman"/>
          <w:sz w:val="22"/>
          <w:szCs w:val="22"/>
        </w:rPr>
        <w:t>With</w:t>
      </w:r>
      <w:proofErr w:type="gramEnd"/>
      <w:r w:rsidRPr="004033CE">
        <w:rPr>
          <w:rFonts w:ascii="Times New Roman" w:hAnsi="Times New Roman" w:cs="Times New Roman"/>
          <w:sz w:val="22"/>
          <w:szCs w:val="22"/>
        </w:rPr>
        <w:t xml:space="preserve"> Respiratory Disease. Journal of the American College of Cardiology, 73(17), 2166–2177. https://doi.org/10.1016/j.jacc.2018.11.063</w:t>
      </w:r>
    </w:p>
    <w:p w14:paraId="2C308E80"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12.</w:t>
      </w:r>
      <w:r w:rsidRPr="004033CE">
        <w:rPr>
          <w:rFonts w:ascii="Times New Roman" w:hAnsi="Times New Roman" w:cs="Times New Roman"/>
          <w:sz w:val="22"/>
          <w:szCs w:val="22"/>
        </w:rPr>
        <w:tab/>
        <w:t>Connolly, G., &amp; Campbell, W. W. (2023). Poultry consumption and human cardiometabolic health-related outcomes: A narrative review. Nutrients, 15(16), 3550.</w:t>
      </w:r>
    </w:p>
    <w:p w14:paraId="5DD794AC"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13.</w:t>
      </w:r>
      <w:r w:rsidRPr="004033CE">
        <w:rPr>
          <w:rFonts w:ascii="Times New Roman" w:hAnsi="Times New Roman" w:cs="Times New Roman"/>
          <w:sz w:val="22"/>
          <w:szCs w:val="22"/>
        </w:rPr>
        <w:tab/>
        <w:t>Consultation, W. E. (2008). Waist circumference and waist-hip ratio. Report of a WHO Expert Consultation. Geneva: World Health Organization, 2008, 8–11.</w:t>
      </w:r>
    </w:p>
    <w:p w14:paraId="326F71F6"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14.</w:t>
      </w:r>
      <w:r w:rsidRPr="004033CE">
        <w:rPr>
          <w:rFonts w:ascii="Times New Roman" w:hAnsi="Times New Roman" w:cs="Times New Roman"/>
          <w:sz w:val="22"/>
          <w:szCs w:val="22"/>
        </w:rPr>
        <w:tab/>
        <w:t xml:space="preserve">Dal Canto, E., Ceriello, A., Rydén, L., Ferrini, M., Hansen, T. B., Schnell, O., </w:t>
      </w:r>
      <w:proofErr w:type="spellStart"/>
      <w:r w:rsidRPr="004033CE">
        <w:rPr>
          <w:rFonts w:ascii="Times New Roman" w:hAnsi="Times New Roman" w:cs="Times New Roman"/>
          <w:sz w:val="22"/>
          <w:szCs w:val="22"/>
        </w:rPr>
        <w:t>Standl</w:t>
      </w:r>
      <w:proofErr w:type="spellEnd"/>
      <w:r w:rsidRPr="004033CE">
        <w:rPr>
          <w:rFonts w:ascii="Times New Roman" w:hAnsi="Times New Roman" w:cs="Times New Roman"/>
          <w:sz w:val="22"/>
          <w:szCs w:val="22"/>
        </w:rPr>
        <w:t>, E., &amp; Beulens, J. W. (2019). Diabetes as a cardiovascular risk factor: An overview of global trends of macro and micro vascular complications. European Journal of Preventive Cardiology, 26(2_suppl), 25–32. https://doi.org/10.1177/2047487319878371</w:t>
      </w:r>
    </w:p>
    <w:p w14:paraId="7873BE49"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15.</w:t>
      </w:r>
      <w:r w:rsidRPr="004033CE">
        <w:rPr>
          <w:rFonts w:ascii="Times New Roman" w:hAnsi="Times New Roman" w:cs="Times New Roman"/>
          <w:sz w:val="22"/>
          <w:szCs w:val="22"/>
        </w:rPr>
        <w:tab/>
        <w:t>Dare, A. J., Fu, S. H., Patra, J., Rodriguez, P. S., Thakur, J. S., &amp; Jha, P. (2017). Renal failure deaths and their risk factors in India 2001–13: Nationally representative estimates from the Million Death Study. The Lancet Global Health, 5(1), e89–e95.</w:t>
      </w:r>
    </w:p>
    <w:p w14:paraId="0B57E125"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16.</w:t>
      </w:r>
      <w:r w:rsidRPr="004033CE">
        <w:rPr>
          <w:rFonts w:ascii="Times New Roman" w:hAnsi="Times New Roman" w:cs="Times New Roman"/>
          <w:sz w:val="22"/>
          <w:szCs w:val="22"/>
        </w:rPr>
        <w:tab/>
        <w:t>Dhingra, R., Sullivan, L., Jacques, P. F., Wang, T. J., Fox, C. S., Meigs, J. B., D’Agostino, R. B., Gaziano, J. M., &amp; Vasan, R. S. (2007). Soft Drink Consumption and Risk of Developing Cardiometabolic Risk Factors and the Metabolic Syndrome in Middle-Aged Adults in the Community. Circulation, 116(5), 480–488. https://doi.org/10.1161/CIRCULATIONAHA.107.689935</w:t>
      </w:r>
    </w:p>
    <w:p w14:paraId="45650E33"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17.</w:t>
      </w:r>
      <w:r w:rsidRPr="004033CE">
        <w:rPr>
          <w:rFonts w:ascii="Times New Roman" w:hAnsi="Times New Roman" w:cs="Times New Roman"/>
          <w:sz w:val="22"/>
          <w:szCs w:val="22"/>
        </w:rPr>
        <w:tab/>
        <w:t>Dhingra, R., &amp; Vasan, R. S. (2012). Age as a risk factor. Medical Clinics, 96(1), 87–91.</w:t>
      </w:r>
    </w:p>
    <w:p w14:paraId="50DE987D"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18.</w:t>
      </w:r>
      <w:r w:rsidRPr="004033CE">
        <w:rPr>
          <w:rFonts w:ascii="Times New Roman" w:hAnsi="Times New Roman" w:cs="Times New Roman"/>
          <w:sz w:val="22"/>
          <w:szCs w:val="22"/>
        </w:rPr>
        <w:tab/>
        <w:t xml:space="preserve">Flies, E. J., </w:t>
      </w:r>
      <w:proofErr w:type="spellStart"/>
      <w:r w:rsidRPr="004033CE">
        <w:rPr>
          <w:rFonts w:ascii="Times New Roman" w:hAnsi="Times New Roman" w:cs="Times New Roman"/>
          <w:sz w:val="22"/>
          <w:szCs w:val="22"/>
        </w:rPr>
        <w:t>Mavoa</w:t>
      </w:r>
      <w:proofErr w:type="spellEnd"/>
      <w:r w:rsidRPr="004033CE">
        <w:rPr>
          <w:rFonts w:ascii="Times New Roman" w:hAnsi="Times New Roman" w:cs="Times New Roman"/>
          <w:sz w:val="22"/>
          <w:szCs w:val="22"/>
        </w:rPr>
        <w:t xml:space="preserve">, S., Zosky, G. R., </w:t>
      </w:r>
      <w:proofErr w:type="spellStart"/>
      <w:r w:rsidRPr="004033CE">
        <w:rPr>
          <w:rFonts w:ascii="Times New Roman" w:hAnsi="Times New Roman" w:cs="Times New Roman"/>
          <w:sz w:val="22"/>
          <w:szCs w:val="22"/>
        </w:rPr>
        <w:t>Mantzioris</w:t>
      </w:r>
      <w:proofErr w:type="spellEnd"/>
      <w:r w:rsidRPr="004033CE">
        <w:rPr>
          <w:rFonts w:ascii="Times New Roman" w:hAnsi="Times New Roman" w:cs="Times New Roman"/>
          <w:sz w:val="22"/>
          <w:szCs w:val="22"/>
        </w:rPr>
        <w:t xml:space="preserve">, E., Williams, C., Eri, R., Brook, B. W., &amp; </w:t>
      </w:r>
      <w:proofErr w:type="spellStart"/>
      <w:r w:rsidRPr="004033CE">
        <w:rPr>
          <w:rFonts w:ascii="Times New Roman" w:hAnsi="Times New Roman" w:cs="Times New Roman"/>
          <w:sz w:val="22"/>
          <w:szCs w:val="22"/>
        </w:rPr>
        <w:t>Buettel</w:t>
      </w:r>
      <w:proofErr w:type="spellEnd"/>
      <w:r w:rsidRPr="004033CE">
        <w:rPr>
          <w:rFonts w:ascii="Times New Roman" w:hAnsi="Times New Roman" w:cs="Times New Roman"/>
          <w:sz w:val="22"/>
          <w:szCs w:val="22"/>
        </w:rPr>
        <w:t>, J. C. (2019). Urban-associated diseases: Candidate diseases, environmental risk factors, and a path forward. Environment International, 133, 105187.</w:t>
      </w:r>
    </w:p>
    <w:p w14:paraId="068CC4B6"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19.</w:t>
      </w:r>
      <w:r w:rsidRPr="004033CE">
        <w:rPr>
          <w:rFonts w:ascii="Times New Roman" w:hAnsi="Times New Roman" w:cs="Times New Roman"/>
          <w:sz w:val="22"/>
          <w:szCs w:val="22"/>
        </w:rPr>
        <w:tab/>
        <w:t>Forman, D. E., &amp; Alexander, K. P. (2016). Frailty: A vital sign for older adults with cardiovascular disease. Canadian Journal of Cardiology, 32(9), 1082–1087.</w:t>
      </w:r>
    </w:p>
    <w:p w14:paraId="616330AA"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lastRenderedPageBreak/>
        <w:t>20.</w:t>
      </w:r>
      <w:r w:rsidRPr="004033CE">
        <w:rPr>
          <w:rFonts w:ascii="Times New Roman" w:hAnsi="Times New Roman" w:cs="Times New Roman"/>
          <w:sz w:val="22"/>
          <w:szCs w:val="22"/>
        </w:rPr>
        <w:tab/>
        <w:t>Fowler-Brown, A., Corbie-Smith, G., Garrett, J., &amp; Lurie, N. (2007). Risk of Cardiovascular Events and Death—Does Insurance Matter? Journal of General Internal Medicine, 22(4), 502–507. https://doi.org/10.1007/s11606-007-0127-2</w:t>
      </w:r>
    </w:p>
    <w:p w14:paraId="354ECC97"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21.</w:t>
      </w:r>
      <w:r w:rsidRPr="004033CE">
        <w:rPr>
          <w:rFonts w:ascii="Times New Roman" w:hAnsi="Times New Roman" w:cs="Times New Roman"/>
          <w:sz w:val="22"/>
          <w:szCs w:val="22"/>
        </w:rPr>
        <w:tab/>
        <w:t xml:space="preserve">Gadiraju, T. V., Patel, Y., Gaziano, J. M., &amp; </w:t>
      </w:r>
      <w:proofErr w:type="spellStart"/>
      <w:r w:rsidRPr="004033CE">
        <w:rPr>
          <w:rFonts w:ascii="Times New Roman" w:hAnsi="Times New Roman" w:cs="Times New Roman"/>
          <w:sz w:val="22"/>
          <w:szCs w:val="22"/>
        </w:rPr>
        <w:t>Djoussé</w:t>
      </w:r>
      <w:proofErr w:type="spellEnd"/>
      <w:r w:rsidRPr="004033CE">
        <w:rPr>
          <w:rFonts w:ascii="Times New Roman" w:hAnsi="Times New Roman" w:cs="Times New Roman"/>
          <w:sz w:val="22"/>
          <w:szCs w:val="22"/>
        </w:rPr>
        <w:t>, L. (2015). Fried food consumption and cardiovascular health: A review of current evidence. Nutrients, 7(10), 8424–8430.</w:t>
      </w:r>
    </w:p>
    <w:p w14:paraId="2B0B86BD"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22.</w:t>
      </w:r>
      <w:r w:rsidRPr="004033CE">
        <w:rPr>
          <w:rFonts w:ascii="Times New Roman" w:hAnsi="Times New Roman" w:cs="Times New Roman"/>
          <w:sz w:val="22"/>
          <w:szCs w:val="22"/>
        </w:rPr>
        <w:tab/>
        <w:t>Gupta, V. K., Dobhal, R., Nayak, A., Agarwal, S., Uniyal, D. P., Singh, P., Sharma, B., Tyagi, S., &amp; Singh, R. (2012). Toxic metal ions in water and their prevalence in Uttarakhand, India. Water Science and Technology: Water Supply, 12(6), 773–782.</w:t>
      </w:r>
    </w:p>
    <w:p w14:paraId="743CB7E1"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23.</w:t>
      </w:r>
      <w:r w:rsidRPr="004033CE">
        <w:rPr>
          <w:rFonts w:ascii="Times New Roman" w:hAnsi="Times New Roman" w:cs="Times New Roman"/>
          <w:sz w:val="22"/>
          <w:szCs w:val="22"/>
        </w:rPr>
        <w:tab/>
        <w:t>Hamanaka, R. B., &amp; Mutlu, G. M. (2018). Particulate matter air pollution: Effects on the cardiovascular system. Frontiers in Endocrinology, 9, 680.</w:t>
      </w:r>
    </w:p>
    <w:p w14:paraId="58672DEB"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24.</w:t>
      </w:r>
      <w:r w:rsidRPr="004033CE">
        <w:rPr>
          <w:rFonts w:ascii="Times New Roman" w:hAnsi="Times New Roman" w:cs="Times New Roman"/>
          <w:sz w:val="22"/>
          <w:szCs w:val="22"/>
        </w:rPr>
        <w:tab/>
        <w:t xml:space="preserve">Harvey, A., Montezano, A. C., &amp; </w:t>
      </w:r>
      <w:proofErr w:type="spellStart"/>
      <w:r w:rsidRPr="004033CE">
        <w:rPr>
          <w:rFonts w:ascii="Times New Roman" w:hAnsi="Times New Roman" w:cs="Times New Roman"/>
          <w:sz w:val="22"/>
          <w:szCs w:val="22"/>
        </w:rPr>
        <w:t>Touyz</w:t>
      </w:r>
      <w:proofErr w:type="spellEnd"/>
      <w:r w:rsidRPr="004033CE">
        <w:rPr>
          <w:rFonts w:ascii="Times New Roman" w:hAnsi="Times New Roman" w:cs="Times New Roman"/>
          <w:sz w:val="22"/>
          <w:szCs w:val="22"/>
        </w:rPr>
        <w:t>, R. M. (2015). Vascular biology of ageing—Implications in hypertension. Journal of Molecular and Cellular Cardiology, 83, 112.</w:t>
      </w:r>
    </w:p>
    <w:p w14:paraId="095981E4"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25.</w:t>
      </w:r>
      <w:r w:rsidRPr="004033CE">
        <w:rPr>
          <w:rFonts w:ascii="Times New Roman" w:hAnsi="Times New Roman" w:cs="Times New Roman"/>
          <w:sz w:val="22"/>
          <w:szCs w:val="22"/>
        </w:rPr>
        <w:tab/>
        <w:t>Hawkes, C., Harris, J., &amp; Gillespie, S. (2017). Urbanization and the nutrition transition. Global Food Policy Report, 4(41), 34.</w:t>
      </w:r>
    </w:p>
    <w:p w14:paraId="49D8C26C"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26.</w:t>
      </w:r>
      <w:r w:rsidRPr="004033CE">
        <w:rPr>
          <w:rFonts w:ascii="Times New Roman" w:hAnsi="Times New Roman" w:cs="Times New Roman"/>
          <w:sz w:val="22"/>
          <w:szCs w:val="22"/>
        </w:rPr>
        <w:tab/>
        <w:t>Hu, M., Yang, T., &amp; Yang, Y. (2024). Causal associations of education level with cardiovascular diseases, cardiovascular biomarkers, and socioeconomic factors. The American Journal of Cardiology, 213, 76–85.</w:t>
      </w:r>
    </w:p>
    <w:p w14:paraId="1BA784B9"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27.</w:t>
      </w:r>
      <w:r w:rsidRPr="004033CE">
        <w:rPr>
          <w:rFonts w:ascii="Times New Roman" w:hAnsi="Times New Roman" w:cs="Times New Roman"/>
          <w:sz w:val="22"/>
          <w:szCs w:val="22"/>
        </w:rPr>
        <w:tab/>
        <w:t>Huffman, M. D., Prabhakaran, D., Osmond, C., Fall, C. H. D., Tandon, N., Lakshmy, R., Ramji, S., Khalil, A., Gera, T., Prabhakaran, P., Biswas, S. K. D., Reddy, K. S., Bhargava, S. K., &amp; Sachdev, H. S. (2011). Incidence of Cardiovascular Risk Factors in an Indian Urban Cohort. Journal of the American College of Cardiology, 57(17), 1765–1774. https://doi.org/10.1016/j.jacc.2010.09.083</w:t>
      </w:r>
    </w:p>
    <w:p w14:paraId="049B7EBC"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28.</w:t>
      </w:r>
      <w:r w:rsidRPr="004033CE">
        <w:rPr>
          <w:rFonts w:ascii="Times New Roman" w:hAnsi="Times New Roman" w:cs="Times New Roman"/>
          <w:sz w:val="22"/>
          <w:szCs w:val="22"/>
        </w:rPr>
        <w:tab/>
        <w:t>Imaizumi, Y., Eguchi, K., &amp; Kario, K. (2015). Lung disease and hypertension. Pulse, 2(1–4), 103–112.</w:t>
      </w:r>
    </w:p>
    <w:p w14:paraId="5C599763"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29.</w:t>
      </w:r>
      <w:r w:rsidRPr="004033CE">
        <w:rPr>
          <w:rFonts w:ascii="Times New Roman" w:hAnsi="Times New Roman" w:cs="Times New Roman"/>
          <w:sz w:val="22"/>
          <w:szCs w:val="22"/>
        </w:rPr>
        <w:tab/>
        <w:t xml:space="preserve">Jabbar, A., Pingitore, A., Pearce, S. H., Zaman, A., </w:t>
      </w:r>
      <w:proofErr w:type="spellStart"/>
      <w:r w:rsidRPr="004033CE">
        <w:rPr>
          <w:rFonts w:ascii="Times New Roman" w:hAnsi="Times New Roman" w:cs="Times New Roman"/>
          <w:sz w:val="22"/>
          <w:szCs w:val="22"/>
        </w:rPr>
        <w:t>Iervasi</w:t>
      </w:r>
      <w:proofErr w:type="spellEnd"/>
      <w:r w:rsidRPr="004033CE">
        <w:rPr>
          <w:rFonts w:ascii="Times New Roman" w:hAnsi="Times New Roman" w:cs="Times New Roman"/>
          <w:sz w:val="22"/>
          <w:szCs w:val="22"/>
        </w:rPr>
        <w:t>, G., &amp; Razvi, S. (2017). Thyroid hormones and cardiovascular disease. Nature Reviews Cardiology, 14(1), 39–55.</w:t>
      </w:r>
    </w:p>
    <w:p w14:paraId="7411876E"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30.</w:t>
      </w:r>
      <w:r w:rsidRPr="004033CE">
        <w:rPr>
          <w:rFonts w:ascii="Times New Roman" w:hAnsi="Times New Roman" w:cs="Times New Roman"/>
          <w:sz w:val="22"/>
          <w:szCs w:val="22"/>
        </w:rPr>
        <w:tab/>
        <w:t>James, K. S., &amp; Goli, S. (2016). Demographic changes in India: Is the country prepared for the challenge. Brown J. World Aff., 23, 169.</w:t>
      </w:r>
    </w:p>
    <w:p w14:paraId="5F857853"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31.</w:t>
      </w:r>
      <w:r w:rsidRPr="004033CE">
        <w:rPr>
          <w:rFonts w:ascii="Times New Roman" w:hAnsi="Times New Roman" w:cs="Times New Roman"/>
          <w:sz w:val="22"/>
          <w:szCs w:val="22"/>
        </w:rPr>
        <w:tab/>
      </w:r>
      <w:proofErr w:type="spellStart"/>
      <w:r w:rsidRPr="004033CE">
        <w:rPr>
          <w:rFonts w:ascii="Times New Roman" w:hAnsi="Times New Roman" w:cs="Times New Roman"/>
          <w:sz w:val="22"/>
          <w:szCs w:val="22"/>
        </w:rPr>
        <w:t>Kapwata</w:t>
      </w:r>
      <w:proofErr w:type="spellEnd"/>
      <w:r w:rsidRPr="004033CE">
        <w:rPr>
          <w:rFonts w:ascii="Times New Roman" w:hAnsi="Times New Roman" w:cs="Times New Roman"/>
          <w:sz w:val="22"/>
          <w:szCs w:val="22"/>
        </w:rPr>
        <w:t>, T., &amp; Manda, S. (2018). Geographic assessment of access to health care in patients with cardiovascular disease in South Africa. BMC Health Services Research, 18(1), 197. https://doi.org/10.1186/s12913-018-3006-0</w:t>
      </w:r>
    </w:p>
    <w:p w14:paraId="1E66019D"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32.</w:t>
      </w:r>
      <w:r w:rsidRPr="004033CE">
        <w:rPr>
          <w:rFonts w:ascii="Times New Roman" w:hAnsi="Times New Roman" w:cs="Times New Roman"/>
          <w:sz w:val="22"/>
          <w:szCs w:val="22"/>
        </w:rPr>
        <w:tab/>
        <w:t>Karmakar, R., Reddy, U. S., &amp; Bhagat, R. B. (2024). Understanding patients’ mobility for treatment seeking in India. Scientific Reports, 14(1), 1887.</w:t>
      </w:r>
    </w:p>
    <w:p w14:paraId="4A58A85F"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33.</w:t>
      </w:r>
      <w:r w:rsidRPr="004033CE">
        <w:rPr>
          <w:rFonts w:ascii="Times New Roman" w:hAnsi="Times New Roman" w:cs="Times New Roman"/>
          <w:sz w:val="22"/>
          <w:szCs w:val="22"/>
        </w:rPr>
        <w:tab/>
        <w:t>Krieger, J., &amp; Higgins, D. L. (2002). Housing and Health: Time Again for Public Health Action. American Journal of Public Health, 92(5), 758–768. https://doi.org/10.2105/AJPH.92.5.758</w:t>
      </w:r>
    </w:p>
    <w:p w14:paraId="4640112A"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34.</w:t>
      </w:r>
      <w:r w:rsidRPr="004033CE">
        <w:rPr>
          <w:rFonts w:ascii="Times New Roman" w:hAnsi="Times New Roman" w:cs="Times New Roman"/>
          <w:sz w:val="22"/>
          <w:szCs w:val="22"/>
        </w:rPr>
        <w:tab/>
        <w:t>Kundu, J., &amp; Kundu, S. (2022). Cardiovascular disease (CVD) and its associated risk factors among older adults in India: Evidence from LASI Wave 1. Clinical Epidemiology and Global Health, 13, 100937.</w:t>
      </w:r>
    </w:p>
    <w:p w14:paraId="22DF4B21"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lastRenderedPageBreak/>
        <w:t>35.</w:t>
      </w:r>
      <w:r w:rsidRPr="004033CE">
        <w:rPr>
          <w:rFonts w:ascii="Times New Roman" w:hAnsi="Times New Roman" w:cs="Times New Roman"/>
          <w:sz w:val="22"/>
          <w:szCs w:val="22"/>
        </w:rPr>
        <w:tab/>
        <w:t>Lamas, G. A., Bhatnagar, A., Jones, M. R., Mann, K. K., Nasir, K., Tellez‐Plaza, M., Ujueta, F., Navas‐</w:t>
      </w:r>
      <w:proofErr w:type="spellStart"/>
      <w:r w:rsidRPr="004033CE">
        <w:rPr>
          <w:rFonts w:ascii="Times New Roman" w:hAnsi="Times New Roman" w:cs="Times New Roman"/>
          <w:sz w:val="22"/>
          <w:szCs w:val="22"/>
        </w:rPr>
        <w:t>Acien</w:t>
      </w:r>
      <w:proofErr w:type="spellEnd"/>
      <w:r w:rsidRPr="004033CE">
        <w:rPr>
          <w:rFonts w:ascii="Times New Roman" w:hAnsi="Times New Roman" w:cs="Times New Roman"/>
          <w:sz w:val="22"/>
          <w:szCs w:val="22"/>
        </w:rPr>
        <w:t xml:space="preserve">, A., &amp; the American Heart Association Council on Epidemiology and Prevention; Council on Cardiovascular and Stroke Nursing; Council on Lifestyle and Cardiometabolic Health; Council on Peripheral Vascular Disease; and Council on the Kidney in Cardiovascular Disease. (2023). Contaminant Metals as Cardiovascular Risk Factors: A Scientific Statement </w:t>
      </w:r>
      <w:proofErr w:type="gramStart"/>
      <w:r w:rsidRPr="004033CE">
        <w:rPr>
          <w:rFonts w:ascii="Times New Roman" w:hAnsi="Times New Roman" w:cs="Times New Roman"/>
          <w:sz w:val="22"/>
          <w:szCs w:val="22"/>
        </w:rPr>
        <w:t>From</w:t>
      </w:r>
      <w:proofErr w:type="gramEnd"/>
      <w:r w:rsidRPr="004033CE">
        <w:rPr>
          <w:rFonts w:ascii="Times New Roman" w:hAnsi="Times New Roman" w:cs="Times New Roman"/>
          <w:sz w:val="22"/>
          <w:szCs w:val="22"/>
        </w:rPr>
        <w:t xml:space="preserve"> the American Heart Association. Journal of the American Heart Association, 12(13), e029852. https://doi.org/10.1161/JAHA.123.029852</w:t>
      </w:r>
    </w:p>
    <w:p w14:paraId="6B5206C7"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36.</w:t>
      </w:r>
      <w:r w:rsidRPr="004033CE">
        <w:rPr>
          <w:rFonts w:ascii="Times New Roman" w:hAnsi="Times New Roman" w:cs="Times New Roman"/>
          <w:sz w:val="22"/>
          <w:szCs w:val="22"/>
        </w:rPr>
        <w:tab/>
        <w:t xml:space="preserve">Liao, N. S., Sidney, S., </w:t>
      </w:r>
      <w:proofErr w:type="spellStart"/>
      <w:r w:rsidRPr="004033CE">
        <w:rPr>
          <w:rFonts w:ascii="Times New Roman" w:hAnsi="Times New Roman" w:cs="Times New Roman"/>
          <w:sz w:val="22"/>
          <w:szCs w:val="22"/>
        </w:rPr>
        <w:t>Deosaransingh</w:t>
      </w:r>
      <w:proofErr w:type="spellEnd"/>
      <w:r w:rsidRPr="004033CE">
        <w:rPr>
          <w:rFonts w:ascii="Times New Roman" w:hAnsi="Times New Roman" w:cs="Times New Roman"/>
          <w:sz w:val="22"/>
          <w:szCs w:val="22"/>
        </w:rPr>
        <w:t xml:space="preserve">, K., Van Den Eeden, S. K., Schwartz, J., &amp; Alexeeff, S. E. (2021). Particulate Air Pollution and Risk of Cardiovascular Events Among Adults </w:t>
      </w:r>
      <w:proofErr w:type="gramStart"/>
      <w:r w:rsidRPr="004033CE">
        <w:rPr>
          <w:rFonts w:ascii="Times New Roman" w:hAnsi="Times New Roman" w:cs="Times New Roman"/>
          <w:sz w:val="22"/>
          <w:szCs w:val="22"/>
        </w:rPr>
        <w:t>With</w:t>
      </w:r>
      <w:proofErr w:type="gramEnd"/>
      <w:r w:rsidRPr="004033CE">
        <w:rPr>
          <w:rFonts w:ascii="Times New Roman" w:hAnsi="Times New Roman" w:cs="Times New Roman"/>
          <w:sz w:val="22"/>
          <w:szCs w:val="22"/>
        </w:rPr>
        <w:t xml:space="preserve"> a History of Stroke or Acute Myocardial Infarction. Journal of the American Heart Association, 10(10), e019758. https://doi.org/10.1161/JAHA.120.019758</w:t>
      </w:r>
    </w:p>
    <w:p w14:paraId="44DAFFAC"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37.</w:t>
      </w:r>
      <w:r w:rsidRPr="004033CE">
        <w:rPr>
          <w:rFonts w:ascii="Times New Roman" w:hAnsi="Times New Roman" w:cs="Times New Roman"/>
          <w:sz w:val="22"/>
          <w:szCs w:val="22"/>
        </w:rPr>
        <w:tab/>
        <w:t>Malik, C., Khanna, S., Jain, Y., &amp; Jain, R. (2021). Geriatric population in India: Demography, vulnerabilities, and healthcare challenges. Journal of Family Medicine and Primary Care, 10(1), 72–76.</w:t>
      </w:r>
    </w:p>
    <w:p w14:paraId="208F3B3C"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38.</w:t>
      </w:r>
      <w:r w:rsidRPr="004033CE">
        <w:rPr>
          <w:rFonts w:ascii="Times New Roman" w:hAnsi="Times New Roman" w:cs="Times New Roman"/>
          <w:sz w:val="22"/>
          <w:szCs w:val="22"/>
        </w:rPr>
        <w:tab/>
        <w:t>Malik, V. S., Popkin, B. M., Bray, G. A., Després, J.-P., &amp; Hu, F. B. (2010). Sugar-Sweetened Beverages, Obesity, Type 2 Diabetes Mellitus, and Cardiovascular Disease Risk. Circulation, 121(11), 1356–1364. https://doi.org/10.1161/CIRCULATIONAHA.109.876185</w:t>
      </w:r>
    </w:p>
    <w:p w14:paraId="31E026CB"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39.</w:t>
      </w:r>
      <w:r w:rsidRPr="004033CE">
        <w:rPr>
          <w:rFonts w:ascii="Times New Roman" w:hAnsi="Times New Roman" w:cs="Times New Roman"/>
          <w:sz w:val="22"/>
          <w:szCs w:val="22"/>
        </w:rPr>
        <w:tab/>
        <w:t>Matsumoto, C., Miedema, M. D., Ofman, P., Gaziano, J. M., &amp; Sesso, H. D. (2014). An expanding knowledge of the mechanisms and effects of alcohol consumption on cardiovascular disease. Journal of Cardiopulmonary Rehabilitation and Prevention, 34(3), 159–171.</w:t>
      </w:r>
    </w:p>
    <w:p w14:paraId="7F3D03D9"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40.</w:t>
      </w:r>
      <w:r w:rsidRPr="004033CE">
        <w:rPr>
          <w:rFonts w:ascii="Times New Roman" w:hAnsi="Times New Roman" w:cs="Times New Roman"/>
          <w:sz w:val="22"/>
          <w:szCs w:val="22"/>
        </w:rPr>
        <w:tab/>
        <w:t>McCracken, J. P., Wellenius, G. A., Bloomfield, G. S., Brook, R. D., Tolunay, H. E., Dockery, D. W., Rabadan-Diehl, C., Checkley, W., &amp; Rajagopalan, S. (2012). Household air pollution from solid fuel use: Evidence for links to CVD. Global Heart, 7(3). https://globalheartjournal.com/articles/131/files/submission/proof/131-1-235-1-10-20191212.pdf</w:t>
      </w:r>
    </w:p>
    <w:p w14:paraId="62C98E52"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41.</w:t>
      </w:r>
      <w:r w:rsidRPr="004033CE">
        <w:rPr>
          <w:rFonts w:ascii="Times New Roman" w:hAnsi="Times New Roman" w:cs="Times New Roman"/>
          <w:sz w:val="22"/>
          <w:szCs w:val="22"/>
        </w:rPr>
        <w:tab/>
        <w:t>Mishra, N. K., Biswas, P., &amp; Patel, S. (2024). Future of clean energy for cooking in India: A comprehensive analysis of fuel alternatives. Energy for Sustainable Development, 81, 101500.</w:t>
      </w:r>
    </w:p>
    <w:p w14:paraId="6965CE9B"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42.</w:t>
      </w:r>
      <w:r w:rsidRPr="004033CE">
        <w:rPr>
          <w:rFonts w:ascii="Times New Roman" w:hAnsi="Times New Roman" w:cs="Times New Roman"/>
          <w:sz w:val="22"/>
          <w:szCs w:val="22"/>
        </w:rPr>
        <w:tab/>
        <w:t xml:space="preserve">Mishra, S., Joseph, R. A., Gupta, P. C., </w:t>
      </w:r>
      <w:proofErr w:type="spellStart"/>
      <w:r w:rsidRPr="004033CE">
        <w:rPr>
          <w:rFonts w:ascii="Times New Roman" w:hAnsi="Times New Roman" w:cs="Times New Roman"/>
          <w:sz w:val="22"/>
          <w:szCs w:val="22"/>
        </w:rPr>
        <w:t>Pezzack</w:t>
      </w:r>
      <w:proofErr w:type="spellEnd"/>
      <w:r w:rsidRPr="004033CE">
        <w:rPr>
          <w:rFonts w:ascii="Times New Roman" w:hAnsi="Times New Roman" w:cs="Times New Roman"/>
          <w:sz w:val="22"/>
          <w:szCs w:val="22"/>
        </w:rPr>
        <w:t>, B., Ram, F., Sinha, D. N., Dikshit, R., Patra, J., &amp; Jha, P. (2016). Trends in bidi and cigarette smoking in India from 1998 to 2015, by age, gender and education. BMJ Global Health, 1(1), e000005.</w:t>
      </w:r>
    </w:p>
    <w:p w14:paraId="01B402F4"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43.</w:t>
      </w:r>
      <w:r w:rsidRPr="004033CE">
        <w:rPr>
          <w:rFonts w:ascii="Times New Roman" w:hAnsi="Times New Roman" w:cs="Times New Roman"/>
          <w:sz w:val="22"/>
          <w:szCs w:val="22"/>
        </w:rPr>
        <w:tab/>
      </w:r>
      <w:proofErr w:type="spellStart"/>
      <w:r w:rsidRPr="004033CE">
        <w:rPr>
          <w:rFonts w:ascii="Times New Roman" w:hAnsi="Times New Roman" w:cs="Times New Roman"/>
          <w:sz w:val="22"/>
          <w:szCs w:val="22"/>
        </w:rPr>
        <w:t>Motesaddi</w:t>
      </w:r>
      <w:proofErr w:type="spellEnd"/>
      <w:r w:rsidRPr="004033CE">
        <w:rPr>
          <w:rFonts w:ascii="Times New Roman" w:hAnsi="Times New Roman" w:cs="Times New Roman"/>
          <w:sz w:val="22"/>
          <w:szCs w:val="22"/>
        </w:rPr>
        <w:t xml:space="preserve"> Zarandi, S., Hadei, M., Hashemi, S. S., Shahhosseini, E., Hopke, P. K., Namvar, Z., &amp; </w:t>
      </w:r>
      <w:proofErr w:type="spellStart"/>
      <w:r w:rsidRPr="004033CE">
        <w:rPr>
          <w:rFonts w:ascii="Times New Roman" w:hAnsi="Times New Roman" w:cs="Times New Roman"/>
          <w:sz w:val="22"/>
          <w:szCs w:val="22"/>
        </w:rPr>
        <w:t>Shahsavani</w:t>
      </w:r>
      <w:proofErr w:type="spellEnd"/>
      <w:r w:rsidRPr="004033CE">
        <w:rPr>
          <w:rFonts w:ascii="Times New Roman" w:hAnsi="Times New Roman" w:cs="Times New Roman"/>
          <w:sz w:val="22"/>
          <w:szCs w:val="22"/>
        </w:rPr>
        <w:t>, A. (2022). Effects of ambient air pollutants on hospital admissions and deaths for cardiovascular diseases: A time series analysis in Tehran. Environmental Science and Pollution Research, 1–13.</w:t>
      </w:r>
    </w:p>
    <w:p w14:paraId="71E1FAAB"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44.</w:t>
      </w:r>
      <w:r w:rsidRPr="004033CE">
        <w:rPr>
          <w:rFonts w:ascii="Times New Roman" w:hAnsi="Times New Roman" w:cs="Times New Roman"/>
          <w:sz w:val="22"/>
          <w:szCs w:val="22"/>
        </w:rPr>
        <w:tab/>
        <w:t>Moturi, S., Ghosh-Choudhary, S. K., &amp; Finkel, T. (2022). Cardiovascular disease and the biology of aging. Journal of Molecular and Cellular Cardiology, 167, 109–117.</w:t>
      </w:r>
    </w:p>
    <w:p w14:paraId="055A5C87"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45.</w:t>
      </w:r>
      <w:r w:rsidRPr="004033CE">
        <w:rPr>
          <w:rFonts w:ascii="Times New Roman" w:hAnsi="Times New Roman" w:cs="Times New Roman"/>
          <w:sz w:val="22"/>
          <w:szCs w:val="22"/>
        </w:rPr>
        <w:tab/>
        <w:t xml:space="preserve">Nasir, K., &amp; Khera, R. (2019). Financial toxicity of acute </w:t>
      </w:r>
      <w:proofErr w:type="gramStart"/>
      <w:r w:rsidRPr="004033CE">
        <w:rPr>
          <w:rFonts w:ascii="Times New Roman" w:hAnsi="Times New Roman" w:cs="Times New Roman"/>
          <w:sz w:val="22"/>
          <w:szCs w:val="22"/>
        </w:rPr>
        <w:t>Cardiovascular Disease</w:t>
      </w:r>
      <w:proofErr w:type="gramEnd"/>
      <w:r w:rsidRPr="004033CE">
        <w:rPr>
          <w:rFonts w:ascii="Times New Roman" w:hAnsi="Times New Roman" w:cs="Times New Roman"/>
          <w:sz w:val="22"/>
          <w:szCs w:val="22"/>
        </w:rPr>
        <w:t xml:space="preserve"> in India: A dive beyond the tip of an iceberg. JAMA Network Open, 2(5), e193839–e193839.</w:t>
      </w:r>
    </w:p>
    <w:p w14:paraId="769C4888"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46.</w:t>
      </w:r>
      <w:r w:rsidRPr="004033CE">
        <w:rPr>
          <w:rFonts w:ascii="Times New Roman" w:hAnsi="Times New Roman" w:cs="Times New Roman"/>
          <w:sz w:val="22"/>
          <w:szCs w:val="22"/>
        </w:rPr>
        <w:tab/>
        <w:t xml:space="preserve">Omidi, N., </w:t>
      </w:r>
      <w:proofErr w:type="spellStart"/>
      <w:r w:rsidRPr="004033CE">
        <w:rPr>
          <w:rFonts w:ascii="Times New Roman" w:hAnsi="Times New Roman" w:cs="Times New Roman"/>
          <w:sz w:val="22"/>
          <w:szCs w:val="22"/>
        </w:rPr>
        <w:t>Khorgami</w:t>
      </w:r>
      <w:proofErr w:type="spellEnd"/>
      <w:r w:rsidRPr="004033CE">
        <w:rPr>
          <w:rFonts w:ascii="Times New Roman" w:hAnsi="Times New Roman" w:cs="Times New Roman"/>
          <w:sz w:val="22"/>
          <w:szCs w:val="22"/>
        </w:rPr>
        <w:t xml:space="preserve">, M., </w:t>
      </w:r>
      <w:proofErr w:type="spellStart"/>
      <w:r w:rsidRPr="004033CE">
        <w:rPr>
          <w:rFonts w:ascii="Times New Roman" w:hAnsi="Times New Roman" w:cs="Times New Roman"/>
          <w:sz w:val="22"/>
          <w:szCs w:val="22"/>
        </w:rPr>
        <w:t>Tajrishi</w:t>
      </w:r>
      <w:proofErr w:type="spellEnd"/>
      <w:r w:rsidRPr="004033CE">
        <w:rPr>
          <w:rFonts w:ascii="Times New Roman" w:hAnsi="Times New Roman" w:cs="Times New Roman"/>
          <w:sz w:val="22"/>
          <w:szCs w:val="22"/>
        </w:rPr>
        <w:t xml:space="preserve">, F. Z., </w:t>
      </w:r>
      <w:proofErr w:type="spellStart"/>
      <w:r w:rsidRPr="004033CE">
        <w:rPr>
          <w:rFonts w:ascii="Times New Roman" w:hAnsi="Times New Roman" w:cs="Times New Roman"/>
          <w:sz w:val="22"/>
          <w:szCs w:val="22"/>
        </w:rPr>
        <w:t>Seyedhoseinpour</w:t>
      </w:r>
      <w:proofErr w:type="spellEnd"/>
      <w:r w:rsidRPr="004033CE">
        <w:rPr>
          <w:rFonts w:ascii="Times New Roman" w:hAnsi="Times New Roman" w:cs="Times New Roman"/>
          <w:sz w:val="22"/>
          <w:szCs w:val="22"/>
        </w:rPr>
        <w:t xml:space="preserve">, A., &amp; </w:t>
      </w:r>
      <w:proofErr w:type="spellStart"/>
      <w:r w:rsidRPr="004033CE">
        <w:rPr>
          <w:rFonts w:ascii="Times New Roman" w:hAnsi="Times New Roman" w:cs="Times New Roman"/>
          <w:sz w:val="22"/>
          <w:szCs w:val="22"/>
        </w:rPr>
        <w:t>Pasbakhsh</w:t>
      </w:r>
      <w:proofErr w:type="spellEnd"/>
      <w:r w:rsidRPr="004033CE">
        <w:rPr>
          <w:rFonts w:ascii="Times New Roman" w:hAnsi="Times New Roman" w:cs="Times New Roman"/>
          <w:sz w:val="22"/>
          <w:szCs w:val="22"/>
        </w:rPr>
        <w:t>, P. (2020). The role of thyroid diseases and their medications in cardiovascular disorders: A review of the literature. Current Cardiology Reviews, 16(2), 103–116.</w:t>
      </w:r>
    </w:p>
    <w:p w14:paraId="64979106"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lastRenderedPageBreak/>
        <w:t>47.</w:t>
      </w:r>
      <w:r w:rsidRPr="004033CE">
        <w:rPr>
          <w:rFonts w:ascii="Times New Roman" w:hAnsi="Times New Roman" w:cs="Times New Roman"/>
          <w:sz w:val="22"/>
          <w:szCs w:val="22"/>
        </w:rPr>
        <w:tab/>
        <w:t xml:space="preserve">Pandey, J. S., Kumar, R., &amp; </w:t>
      </w:r>
      <w:proofErr w:type="spellStart"/>
      <w:r w:rsidRPr="004033CE">
        <w:rPr>
          <w:rFonts w:ascii="Times New Roman" w:hAnsi="Times New Roman" w:cs="Times New Roman"/>
          <w:sz w:val="22"/>
          <w:szCs w:val="22"/>
        </w:rPr>
        <w:t>Devotta</w:t>
      </w:r>
      <w:proofErr w:type="spellEnd"/>
      <w:r w:rsidRPr="004033CE">
        <w:rPr>
          <w:rFonts w:ascii="Times New Roman" w:hAnsi="Times New Roman" w:cs="Times New Roman"/>
          <w:sz w:val="22"/>
          <w:szCs w:val="22"/>
        </w:rPr>
        <w:t>, S. (2005). Health risks of NO2, SPM and SO2 in Delhi (India). Atmospheric Environment, 39(36), 6868–6874.</w:t>
      </w:r>
    </w:p>
    <w:p w14:paraId="25A38AB1"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48.</w:t>
      </w:r>
      <w:r w:rsidRPr="004033CE">
        <w:rPr>
          <w:rFonts w:ascii="Times New Roman" w:hAnsi="Times New Roman" w:cs="Times New Roman"/>
          <w:sz w:val="22"/>
          <w:szCs w:val="22"/>
        </w:rPr>
        <w:tab/>
        <w:t xml:space="preserve">Paschou, S. A., Bletsa, E., </w:t>
      </w:r>
      <w:proofErr w:type="spellStart"/>
      <w:r w:rsidRPr="004033CE">
        <w:rPr>
          <w:rFonts w:ascii="Times New Roman" w:hAnsi="Times New Roman" w:cs="Times New Roman"/>
          <w:sz w:val="22"/>
          <w:szCs w:val="22"/>
        </w:rPr>
        <w:t>Stampouloglou</w:t>
      </w:r>
      <w:proofErr w:type="spellEnd"/>
      <w:r w:rsidRPr="004033CE">
        <w:rPr>
          <w:rFonts w:ascii="Times New Roman" w:hAnsi="Times New Roman" w:cs="Times New Roman"/>
          <w:sz w:val="22"/>
          <w:szCs w:val="22"/>
        </w:rPr>
        <w:t xml:space="preserve">, P. K., </w:t>
      </w:r>
      <w:proofErr w:type="spellStart"/>
      <w:r w:rsidRPr="004033CE">
        <w:rPr>
          <w:rFonts w:ascii="Times New Roman" w:hAnsi="Times New Roman" w:cs="Times New Roman"/>
          <w:sz w:val="22"/>
          <w:szCs w:val="22"/>
        </w:rPr>
        <w:t>Tsigkou</w:t>
      </w:r>
      <w:proofErr w:type="spellEnd"/>
      <w:r w:rsidRPr="004033CE">
        <w:rPr>
          <w:rFonts w:ascii="Times New Roman" w:hAnsi="Times New Roman" w:cs="Times New Roman"/>
          <w:sz w:val="22"/>
          <w:szCs w:val="22"/>
        </w:rPr>
        <w:t xml:space="preserve">, V., Valatsou, A., </w:t>
      </w:r>
      <w:proofErr w:type="spellStart"/>
      <w:r w:rsidRPr="004033CE">
        <w:rPr>
          <w:rFonts w:ascii="Times New Roman" w:hAnsi="Times New Roman" w:cs="Times New Roman"/>
          <w:sz w:val="22"/>
          <w:szCs w:val="22"/>
        </w:rPr>
        <w:t>Stefanaki</w:t>
      </w:r>
      <w:proofErr w:type="spellEnd"/>
      <w:r w:rsidRPr="004033CE">
        <w:rPr>
          <w:rFonts w:ascii="Times New Roman" w:hAnsi="Times New Roman" w:cs="Times New Roman"/>
          <w:sz w:val="22"/>
          <w:szCs w:val="22"/>
        </w:rPr>
        <w:t xml:space="preserve">, K., </w:t>
      </w:r>
      <w:proofErr w:type="spellStart"/>
      <w:r w:rsidRPr="004033CE">
        <w:rPr>
          <w:rFonts w:ascii="Times New Roman" w:hAnsi="Times New Roman" w:cs="Times New Roman"/>
          <w:sz w:val="22"/>
          <w:szCs w:val="22"/>
        </w:rPr>
        <w:t>Kazakou</w:t>
      </w:r>
      <w:proofErr w:type="spellEnd"/>
      <w:r w:rsidRPr="004033CE">
        <w:rPr>
          <w:rFonts w:ascii="Times New Roman" w:hAnsi="Times New Roman" w:cs="Times New Roman"/>
          <w:sz w:val="22"/>
          <w:szCs w:val="22"/>
        </w:rPr>
        <w:t xml:space="preserve">, P., Spartalis, M., Spartalis, E., Oikonomou, E., &amp; </w:t>
      </w:r>
      <w:proofErr w:type="spellStart"/>
      <w:r w:rsidRPr="004033CE">
        <w:rPr>
          <w:rFonts w:ascii="Times New Roman" w:hAnsi="Times New Roman" w:cs="Times New Roman"/>
          <w:sz w:val="22"/>
          <w:szCs w:val="22"/>
        </w:rPr>
        <w:t>Siasos</w:t>
      </w:r>
      <w:proofErr w:type="spellEnd"/>
      <w:r w:rsidRPr="004033CE">
        <w:rPr>
          <w:rFonts w:ascii="Times New Roman" w:hAnsi="Times New Roman" w:cs="Times New Roman"/>
          <w:sz w:val="22"/>
          <w:szCs w:val="22"/>
        </w:rPr>
        <w:t>, G. (2022). Thyroid disorders and cardiovascular manifestations: An update. Endocrine, 75(3), 672–683. https://doi.org/10.1007/s12020-022-02982-4</w:t>
      </w:r>
    </w:p>
    <w:p w14:paraId="0E0C7747"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49.</w:t>
      </w:r>
      <w:r w:rsidRPr="004033CE">
        <w:rPr>
          <w:rFonts w:ascii="Times New Roman" w:hAnsi="Times New Roman" w:cs="Times New Roman"/>
          <w:sz w:val="22"/>
          <w:szCs w:val="22"/>
        </w:rPr>
        <w:tab/>
        <w:t>Piano, M. R. (2017). Alcohol’s effects on the cardiovascular system. Alcohol Research: Current Reviews, 38(2), 219.</w:t>
      </w:r>
    </w:p>
    <w:p w14:paraId="0F48A381"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50.</w:t>
      </w:r>
      <w:r w:rsidRPr="004033CE">
        <w:rPr>
          <w:rFonts w:ascii="Times New Roman" w:hAnsi="Times New Roman" w:cs="Times New Roman"/>
          <w:sz w:val="22"/>
          <w:szCs w:val="22"/>
        </w:rPr>
        <w:tab/>
      </w:r>
      <w:proofErr w:type="spellStart"/>
      <w:r w:rsidRPr="004033CE">
        <w:rPr>
          <w:rFonts w:ascii="Times New Roman" w:hAnsi="Times New Roman" w:cs="Times New Roman"/>
          <w:sz w:val="22"/>
          <w:szCs w:val="22"/>
        </w:rPr>
        <w:t>Piepoli</w:t>
      </w:r>
      <w:proofErr w:type="spellEnd"/>
      <w:r w:rsidRPr="004033CE">
        <w:rPr>
          <w:rFonts w:ascii="Times New Roman" w:hAnsi="Times New Roman" w:cs="Times New Roman"/>
          <w:sz w:val="22"/>
          <w:szCs w:val="22"/>
        </w:rPr>
        <w:t xml:space="preserve">, M. F., Abreu, A., Albus, C., Ambrosetti, M., </w:t>
      </w:r>
      <w:proofErr w:type="spellStart"/>
      <w:r w:rsidRPr="004033CE">
        <w:rPr>
          <w:rFonts w:ascii="Times New Roman" w:hAnsi="Times New Roman" w:cs="Times New Roman"/>
          <w:sz w:val="22"/>
          <w:szCs w:val="22"/>
        </w:rPr>
        <w:t>Brotons</w:t>
      </w:r>
      <w:proofErr w:type="spellEnd"/>
      <w:r w:rsidRPr="004033CE">
        <w:rPr>
          <w:rFonts w:ascii="Times New Roman" w:hAnsi="Times New Roman" w:cs="Times New Roman"/>
          <w:sz w:val="22"/>
          <w:szCs w:val="22"/>
        </w:rPr>
        <w:t xml:space="preserve">, C., Catapano, A. L., Corra, U., </w:t>
      </w:r>
      <w:proofErr w:type="spellStart"/>
      <w:r w:rsidRPr="004033CE">
        <w:rPr>
          <w:rFonts w:ascii="Times New Roman" w:hAnsi="Times New Roman" w:cs="Times New Roman"/>
          <w:sz w:val="22"/>
          <w:szCs w:val="22"/>
        </w:rPr>
        <w:t>Cosyns</w:t>
      </w:r>
      <w:proofErr w:type="spellEnd"/>
      <w:r w:rsidRPr="004033CE">
        <w:rPr>
          <w:rFonts w:ascii="Times New Roman" w:hAnsi="Times New Roman" w:cs="Times New Roman"/>
          <w:sz w:val="22"/>
          <w:szCs w:val="22"/>
        </w:rPr>
        <w:t>, B., Deaton, C., Graham, I., Hoes, A., Lochen, M.-L., Matrone, B., Redon, J., Sattar, N., Smulders, Y., &amp; Tiberi, M. (2020). Update on cardiovascular prevention in clinical practice: A position paper of the European Association of Preventive Cardiology of the European Society of Cardiology. European Journal of Preventive Cardiology, 27(2), 181–205. https://doi.org/10.1177/2047487319893035</w:t>
      </w:r>
    </w:p>
    <w:p w14:paraId="70B554FE"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51.</w:t>
      </w:r>
      <w:r w:rsidRPr="004033CE">
        <w:rPr>
          <w:rFonts w:ascii="Times New Roman" w:hAnsi="Times New Roman" w:cs="Times New Roman"/>
          <w:sz w:val="22"/>
          <w:szCs w:val="22"/>
        </w:rPr>
        <w:tab/>
        <w:t xml:space="preserve">Powell-Wiley, T. M., Poirier, P., Burke, L. E., Després, J.-P., Gordon-Larsen, P., Lavie, C. J., Lear, S. A., </w:t>
      </w:r>
      <w:proofErr w:type="spellStart"/>
      <w:r w:rsidRPr="004033CE">
        <w:rPr>
          <w:rFonts w:ascii="Times New Roman" w:hAnsi="Times New Roman" w:cs="Times New Roman"/>
          <w:sz w:val="22"/>
          <w:szCs w:val="22"/>
        </w:rPr>
        <w:t>Ndumele</w:t>
      </w:r>
      <w:proofErr w:type="spellEnd"/>
      <w:r w:rsidRPr="004033CE">
        <w:rPr>
          <w:rFonts w:ascii="Times New Roman" w:hAnsi="Times New Roman" w:cs="Times New Roman"/>
          <w:sz w:val="22"/>
          <w:szCs w:val="22"/>
        </w:rPr>
        <w:t xml:space="preserve">, C. E., Neeland, I. J., Sanders, P., St-Onge, M.-P., &amp; On behalf of the American Heart Association Council on Lifestyle and Cardiometabolic Health; Council on Cardiovascular and Stroke Nursing; Council on Clinical Cardiology; Council on Epidemiology and Prevention; and Stroke Council. (2021). Obesity and Cardiovascular Disease: A Scientific Statement </w:t>
      </w:r>
      <w:proofErr w:type="gramStart"/>
      <w:r w:rsidRPr="004033CE">
        <w:rPr>
          <w:rFonts w:ascii="Times New Roman" w:hAnsi="Times New Roman" w:cs="Times New Roman"/>
          <w:sz w:val="22"/>
          <w:szCs w:val="22"/>
        </w:rPr>
        <w:t>From</w:t>
      </w:r>
      <w:proofErr w:type="gramEnd"/>
      <w:r w:rsidRPr="004033CE">
        <w:rPr>
          <w:rFonts w:ascii="Times New Roman" w:hAnsi="Times New Roman" w:cs="Times New Roman"/>
          <w:sz w:val="22"/>
          <w:szCs w:val="22"/>
        </w:rPr>
        <w:t xml:space="preserve"> the American Heart Association. Circulation, 143(21). https://doi.org/10.1161/CIR.0000000000000973</w:t>
      </w:r>
    </w:p>
    <w:p w14:paraId="778A78E6"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52.</w:t>
      </w:r>
      <w:r w:rsidRPr="004033CE">
        <w:rPr>
          <w:rFonts w:ascii="Times New Roman" w:hAnsi="Times New Roman" w:cs="Times New Roman"/>
          <w:sz w:val="22"/>
          <w:szCs w:val="22"/>
        </w:rPr>
        <w:tab/>
        <w:t>Qin, P., Zhang, M., Han, M., Liu, D., Luo, X., Xu, L., Zeng, Y., Chen, Q., Wang, T., &amp; Chen, X. (2021). Fried-food consumption and risk of cardiovascular disease and all-cause mortality: A meta-analysis of observational studies. Heart, 107(19), 1567–1575.</w:t>
      </w:r>
    </w:p>
    <w:p w14:paraId="164D0DA9"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53.</w:t>
      </w:r>
      <w:r w:rsidRPr="004033CE">
        <w:rPr>
          <w:rFonts w:ascii="Times New Roman" w:hAnsi="Times New Roman" w:cs="Times New Roman"/>
          <w:sz w:val="22"/>
          <w:szCs w:val="22"/>
        </w:rPr>
        <w:tab/>
        <w:t>Rao, K. D., Bhatnagar, A., &amp; Berman, P. (2012). So many, yet few: Human resources for health in India. Human Resources for Health, 10(1), 19. https://doi.org/10.1186/1478-4491-10-19</w:t>
      </w:r>
    </w:p>
    <w:p w14:paraId="2511DAD9"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54.</w:t>
      </w:r>
      <w:r w:rsidRPr="004033CE">
        <w:rPr>
          <w:rFonts w:ascii="Times New Roman" w:hAnsi="Times New Roman" w:cs="Times New Roman"/>
          <w:sz w:val="22"/>
          <w:szCs w:val="22"/>
        </w:rPr>
        <w:tab/>
        <w:t xml:space="preserve">Ronco, C., Haapio, M., House, A. A., </w:t>
      </w:r>
      <w:proofErr w:type="spellStart"/>
      <w:r w:rsidRPr="004033CE">
        <w:rPr>
          <w:rFonts w:ascii="Times New Roman" w:hAnsi="Times New Roman" w:cs="Times New Roman"/>
          <w:sz w:val="22"/>
          <w:szCs w:val="22"/>
        </w:rPr>
        <w:t>Anavekar</w:t>
      </w:r>
      <w:proofErr w:type="spellEnd"/>
      <w:r w:rsidRPr="004033CE">
        <w:rPr>
          <w:rFonts w:ascii="Times New Roman" w:hAnsi="Times New Roman" w:cs="Times New Roman"/>
          <w:sz w:val="22"/>
          <w:szCs w:val="22"/>
        </w:rPr>
        <w:t>, N., &amp; Bellomo, R. (2008). Cardiorenal Syndrome. Journal of the American College of Cardiology, 52(19), 1527–1539. https://doi.org/10.1016/j.jacc.2008.07.051</w:t>
      </w:r>
    </w:p>
    <w:p w14:paraId="39057121"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55.</w:t>
      </w:r>
      <w:r w:rsidRPr="004033CE">
        <w:rPr>
          <w:rFonts w:ascii="Times New Roman" w:hAnsi="Times New Roman" w:cs="Times New Roman"/>
          <w:sz w:val="22"/>
          <w:szCs w:val="22"/>
        </w:rPr>
        <w:tab/>
        <w:t xml:space="preserve">Roy, A., Prabhakaran, D., </w:t>
      </w:r>
      <w:proofErr w:type="spellStart"/>
      <w:r w:rsidRPr="004033CE">
        <w:rPr>
          <w:rFonts w:ascii="Times New Roman" w:hAnsi="Times New Roman" w:cs="Times New Roman"/>
          <w:sz w:val="22"/>
          <w:szCs w:val="22"/>
        </w:rPr>
        <w:t>Jeemon</w:t>
      </w:r>
      <w:proofErr w:type="spellEnd"/>
      <w:r w:rsidRPr="004033CE">
        <w:rPr>
          <w:rFonts w:ascii="Times New Roman" w:hAnsi="Times New Roman" w:cs="Times New Roman"/>
          <w:sz w:val="22"/>
          <w:szCs w:val="22"/>
        </w:rPr>
        <w:t xml:space="preserve">, P., </w:t>
      </w:r>
      <w:proofErr w:type="spellStart"/>
      <w:r w:rsidRPr="004033CE">
        <w:rPr>
          <w:rFonts w:ascii="Times New Roman" w:hAnsi="Times New Roman" w:cs="Times New Roman"/>
          <w:sz w:val="22"/>
          <w:szCs w:val="22"/>
        </w:rPr>
        <w:t>Thankappan</w:t>
      </w:r>
      <w:proofErr w:type="spellEnd"/>
      <w:r w:rsidRPr="004033CE">
        <w:rPr>
          <w:rFonts w:ascii="Times New Roman" w:hAnsi="Times New Roman" w:cs="Times New Roman"/>
          <w:sz w:val="22"/>
          <w:szCs w:val="22"/>
        </w:rPr>
        <w:t>, K. R., Mohan, V., Ramakrishnan, L., Joshi, P., Ahmed, F., Mohan, B. V. M., &amp; Saran, R. K. (2010). Impact of alcohol on coronary heart disease in Indian men. Atherosclerosis, 210(2), 531–535.</w:t>
      </w:r>
    </w:p>
    <w:p w14:paraId="20D1BE9B"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56.</w:t>
      </w:r>
      <w:r w:rsidRPr="004033CE">
        <w:rPr>
          <w:rFonts w:ascii="Times New Roman" w:hAnsi="Times New Roman" w:cs="Times New Roman"/>
          <w:sz w:val="22"/>
          <w:szCs w:val="22"/>
        </w:rPr>
        <w:tab/>
        <w:t>Roy, A., Rawal, I., Jabbour, S., &amp; Prabhakaran, D. (2017). Tobacco and cardiovascular disease: A summary of evidence. Cardiovascular, Respiratory, and Related Disorders, 30212086. https://books.google.com/books?hl=en&amp;lr=&amp;id=WqtCDwAAQBAJ&amp;oi=fnd&amp;pg=PT140&amp;dq=Tobacco+and+Cardiovascular+Disease:+A+Summary+of+Evidence&amp;ots=ywPcCrxglm&amp;sig=oYh-kdXefH1La1UPQIT8a-0AyH4</w:t>
      </w:r>
    </w:p>
    <w:p w14:paraId="2989FBF4"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57.</w:t>
      </w:r>
      <w:r w:rsidRPr="004033CE">
        <w:rPr>
          <w:rFonts w:ascii="Times New Roman" w:hAnsi="Times New Roman" w:cs="Times New Roman"/>
          <w:sz w:val="22"/>
          <w:szCs w:val="22"/>
        </w:rPr>
        <w:tab/>
        <w:t>Sahoo, P. M., Rout, H. S., &amp; Jakovljevic, M. (2023). Consequences of India’s population aging to its healthcare financing and provision. Journal of Medical Economics, 26(1), 308–315. https://doi.org/10.1080/13696998.2023.2178164</w:t>
      </w:r>
    </w:p>
    <w:p w14:paraId="2D938999"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lastRenderedPageBreak/>
        <w:t>58.</w:t>
      </w:r>
      <w:r w:rsidRPr="004033CE">
        <w:rPr>
          <w:rFonts w:ascii="Times New Roman" w:hAnsi="Times New Roman" w:cs="Times New Roman"/>
          <w:sz w:val="22"/>
          <w:szCs w:val="22"/>
        </w:rPr>
        <w:tab/>
        <w:t>Sajid, M. R., Muhammad, N., Zakaria, R., &amp; Bukhari, S. A. C. (2020). Modifiable Risk Factors and Overall Cardiovascular Mortality: Moderation of Urbanization. Journal of Public Health Research, 9(4), jphr.2020.1893. https://doi.org/10.4081/jphr.2020.1893</w:t>
      </w:r>
    </w:p>
    <w:p w14:paraId="101270C7"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59.</w:t>
      </w:r>
      <w:r w:rsidRPr="004033CE">
        <w:rPr>
          <w:rFonts w:ascii="Times New Roman" w:hAnsi="Times New Roman" w:cs="Times New Roman"/>
          <w:sz w:val="22"/>
          <w:szCs w:val="22"/>
        </w:rPr>
        <w:tab/>
        <w:t xml:space="preserve">Salvi, S., Apte, K., </w:t>
      </w:r>
      <w:proofErr w:type="spellStart"/>
      <w:r w:rsidRPr="004033CE">
        <w:rPr>
          <w:rFonts w:ascii="Times New Roman" w:hAnsi="Times New Roman" w:cs="Times New Roman"/>
          <w:sz w:val="22"/>
          <w:szCs w:val="22"/>
        </w:rPr>
        <w:t>Madas</w:t>
      </w:r>
      <w:proofErr w:type="spellEnd"/>
      <w:r w:rsidRPr="004033CE">
        <w:rPr>
          <w:rFonts w:ascii="Times New Roman" w:hAnsi="Times New Roman" w:cs="Times New Roman"/>
          <w:sz w:val="22"/>
          <w:szCs w:val="22"/>
        </w:rPr>
        <w:t xml:space="preserve">, S., Barne, M., </w:t>
      </w:r>
      <w:proofErr w:type="spellStart"/>
      <w:r w:rsidRPr="004033CE">
        <w:rPr>
          <w:rFonts w:ascii="Times New Roman" w:hAnsi="Times New Roman" w:cs="Times New Roman"/>
          <w:sz w:val="22"/>
          <w:szCs w:val="22"/>
        </w:rPr>
        <w:t>Chhowala</w:t>
      </w:r>
      <w:proofErr w:type="spellEnd"/>
      <w:r w:rsidRPr="004033CE">
        <w:rPr>
          <w:rFonts w:ascii="Times New Roman" w:hAnsi="Times New Roman" w:cs="Times New Roman"/>
          <w:sz w:val="22"/>
          <w:szCs w:val="22"/>
        </w:rPr>
        <w:t xml:space="preserve">, S., Sethi, T., Aggarwal, K., Agrawal, A., &amp; </w:t>
      </w:r>
      <w:proofErr w:type="spellStart"/>
      <w:r w:rsidRPr="004033CE">
        <w:rPr>
          <w:rFonts w:ascii="Times New Roman" w:hAnsi="Times New Roman" w:cs="Times New Roman"/>
          <w:sz w:val="22"/>
          <w:szCs w:val="22"/>
        </w:rPr>
        <w:t>Gogtay</w:t>
      </w:r>
      <w:proofErr w:type="spellEnd"/>
      <w:r w:rsidRPr="004033CE">
        <w:rPr>
          <w:rFonts w:ascii="Times New Roman" w:hAnsi="Times New Roman" w:cs="Times New Roman"/>
          <w:sz w:val="22"/>
          <w:szCs w:val="22"/>
        </w:rPr>
        <w:t>, J. (2015). Symptoms and medical conditions in 204 912 patients visiting primary health-care practitioners in India: A 1-day point prevalence study (the POSEIDON study). The Lancet Global Health, 3(12), e776–e784.</w:t>
      </w:r>
    </w:p>
    <w:p w14:paraId="2E7D2CA1"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60.</w:t>
      </w:r>
      <w:r w:rsidRPr="004033CE">
        <w:rPr>
          <w:rFonts w:ascii="Times New Roman" w:hAnsi="Times New Roman" w:cs="Times New Roman"/>
          <w:sz w:val="22"/>
          <w:szCs w:val="22"/>
        </w:rPr>
        <w:tab/>
        <w:t>Singh, A., &amp; Dixit, S. (2016). Lower socio-economic status and cardiovascular disease: Role of healthcare facility and policy in India. Indian Journal of Community Health, 28(3), 215–221.</w:t>
      </w:r>
    </w:p>
    <w:p w14:paraId="1325E805"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61.</w:t>
      </w:r>
      <w:r w:rsidRPr="004033CE">
        <w:rPr>
          <w:rFonts w:ascii="Times New Roman" w:hAnsi="Times New Roman" w:cs="Times New Roman"/>
          <w:sz w:val="22"/>
          <w:szCs w:val="22"/>
        </w:rPr>
        <w:tab/>
        <w:t xml:space="preserve">Singh, N., Gupta, M., Fell, D., &amp; </w:t>
      </w:r>
      <w:proofErr w:type="spellStart"/>
      <w:r w:rsidRPr="004033CE">
        <w:rPr>
          <w:rFonts w:ascii="Times New Roman" w:hAnsi="Times New Roman" w:cs="Times New Roman"/>
          <w:sz w:val="22"/>
          <w:szCs w:val="22"/>
        </w:rPr>
        <w:t>Gangbar</w:t>
      </w:r>
      <w:proofErr w:type="spellEnd"/>
      <w:r w:rsidRPr="004033CE">
        <w:rPr>
          <w:rFonts w:ascii="Times New Roman" w:hAnsi="Times New Roman" w:cs="Times New Roman"/>
          <w:sz w:val="22"/>
          <w:szCs w:val="22"/>
        </w:rPr>
        <w:t>, E. (1999). Impact and inequity of inpatient waiting times for advanced cardiovascular services in community hospitals across the greater Toronto area. The Canadian Journal of Cardiology, 15(7), 777–782.</w:t>
      </w:r>
    </w:p>
    <w:p w14:paraId="3042BEE4"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62.</w:t>
      </w:r>
      <w:r w:rsidRPr="004033CE">
        <w:rPr>
          <w:rFonts w:ascii="Times New Roman" w:hAnsi="Times New Roman" w:cs="Times New Roman"/>
          <w:sz w:val="22"/>
          <w:szCs w:val="22"/>
        </w:rPr>
        <w:tab/>
        <w:t>Song, L., Wang, Y., Chen, B., Yang, T., Zhang, W., &amp; Wang, Y. (2020). The association between health insurance and all-cause, cardiovascular disease, cancer and cause-specific mortality: A prospective cohort study. International Journal of Environmental Research and Public Health, 17(5), 1525.</w:t>
      </w:r>
    </w:p>
    <w:p w14:paraId="0BA1F7B7"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63.</w:t>
      </w:r>
      <w:r w:rsidRPr="004033CE">
        <w:rPr>
          <w:rFonts w:ascii="Times New Roman" w:hAnsi="Times New Roman" w:cs="Times New Roman"/>
          <w:sz w:val="22"/>
          <w:szCs w:val="22"/>
        </w:rPr>
        <w:tab/>
        <w:t xml:space="preserve">Strand, B. H., &amp; </w:t>
      </w:r>
      <w:proofErr w:type="spellStart"/>
      <w:r w:rsidRPr="004033CE">
        <w:rPr>
          <w:rFonts w:ascii="Times New Roman" w:hAnsi="Times New Roman" w:cs="Times New Roman"/>
          <w:sz w:val="22"/>
          <w:szCs w:val="22"/>
        </w:rPr>
        <w:t>Tverdal</w:t>
      </w:r>
      <w:proofErr w:type="spellEnd"/>
      <w:r w:rsidRPr="004033CE">
        <w:rPr>
          <w:rFonts w:ascii="Times New Roman" w:hAnsi="Times New Roman" w:cs="Times New Roman"/>
          <w:sz w:val="22"/>
          <w:szCs w:val="22"/>
        </w:rPr>
        <w:t xml:space="preserve">, A. (2004). Can cardiovascular risk factors and lifestyle explain the educational inequalities in mortality from ischaemic heart disease and from other heart diseases? 26 </w:t>
      </w:r>
      <w:proofErr w:type="gramStart"/>
      <w:r w:rsidRPr="004033CE">
        <w:rPr>
          <w:rFonts w:ascii="Times New Roman" w:hAnsi="Times New Roman" w:cs="Times New Roman"/>
          <w:sz w:val="22"/>
          <w:szCs w:val="22"/>
        </w:rPr>
        <w:t>year</w:t>
      </w:r>
      <w:proofErr w:type="gramEnd"/>
      <w:r w:rsidRPr="004033CE">
        <w:rPr>
          <w:rFonts w:ascii="Times New Roman" w:hAnsi="Times New Roman" w:cs="Times New Roman"/>
          <w:sz w:val="22"/>
          <w:szCs w:val="22"/>
        </w:rPr>
        <w:t xml:space="preserve"> follow up of 50 000 Norwegian men and women. Journal of Epidemiology &amp; Community Health, 58(8), 705–709.</w:t>
      </w:r>
    </w:p>
    <w:p w14:paraId="5FA8D483"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64.</w:t>
      </w:r>
      <w:r w:rsidRPr="004033CE">
        <w:rPr>
          <w:rFonts w:ascii="Times New Roman" w:hAnsi="Times New Roman" w:cs="Times New Roman"/>
          <w:sz w:val="22"/>
          <w:szCs w:val="22"/>
        </w:rPr>
        <w:tab/>
        <w:t>Teo, K. K., &amp; Rafiq, T. (2021). Cardiovascular risk factors and prevention: A perspective from developing countries. Canadian Journal of Cardiology, 37(5), 733–743.</w:t>
      </w:r>
    </w:p>
    <w:p w14:paraId="6AED85CC"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65.</w:t>
      </w:r>
      <w:r w:rsidRPr="004033CE">
        <w:rPr>
          <w:rFonts w:ascii="Times New Roman" w:hAnsi="Times New Roman" w:cs="Times New Roman"/>
          <w:sz w:val="22"/>
          <w:szCs w:val="22"/>
        </w:rPr>
        <w:tab/>
        <w:t>Thompson, S. C., Nedkoff, L., Katzenellenbogen, J., Hussain, M. A., &amp; Sanfilippo, F. (2019). Challenges in managing acute cardiovascular diseases and follow up care in rural areas: A narrative review. International Journal of Environmental Research and Public Health, 16(24), 5126.</w:t>
      </w:r>
    </w:p>
    <w:p w14:paraId="3532C5A4"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66.</w:t>
      </w:r>
      <w:r w:rsidRPr="004033CE">
        <w:rPr>
          <w:rFonts w:ascii="Times New Roman" w:hAnsi="Times New Roman" w:cs="Times New Roman"/>
          <w:sz w:val="22"/>
          <w:szCs w:val="22"/>
        </w:rPr>
        <w:tab/>
        <w:t>Tian, D., &amp; Meng, J. (2019). Exercise for Prevention and Relief of Cardiovascular Disease: Prognoses, Mechanisms, and Approaches. Oxidative Medicine and Cellular Longevity, 2019, 1–11. https://doi.org/10.1155/2019/3756750</w:t>
      </w:r>
    </w:p>
    <w:p w14:paraId="77D4F905" w14:textId="77777777" w:rsidR="004033CE" w:rsidRPr="004033CE" w:rsidRDefault="004033CE" w:rsidP="004033CE">
      <w:pPr>
        <w:rPr>
          <w:rFonts w:ascii="Times New Roman" w:hAnsi="Times New Roman" w:cs="Times New Roman"/>
          <w:sz w:val="22"/>
          <w:szCs w:val="22"/>
        </w:rPr>
      </w:pPr>
      <w:r w:rsidRPr="004033CE">
        <w:rPr>
          <w:rFonts w:ascii="Times New Roman" w:hAnsi="Times New Roman" w:cs="Times New Roman"/>
          <w:sz w:val="22"/>
          <w:szCs w:val="22"/>
        </w:rPr>
        <w:t>67.</w:t>
      </w:r>
      <w:r w:rsidRPr="004033CE">
        <w:rPr>
          <w:rFonts w:ascii="Times New Roman" w:hAnsi="Times New Roman" w:cs="Times New Roman"/>
          <w:sz w:val="22"/>
          <w:szCs w:val="22"/>
        </w:rPr>
        <w:tab/>
        <w:t>Watanabe, H., Watanabe, T., Sasaki, S., Nagai, K., Roden, D. M., &amp; Aizawa, Y. (2009). Close bidirectional relationship between chronic kidney disease and atrial fibrillation: The Niigata preventive medicine study. American Heart Journal, 158(4), 629–636.</w:t>
      </w:r>
    </w:p>
    <w:p w14:paraId="46B51D5C" w14:textId="77777777" w:rsidR="00233A43" w:rsidRPr="004033CE" w:rsidRDefault="00233A43" w:rsidP="00233A43">
      <w:pPr>
        <w:rPr>
          <w:sz w:val="22"/>
          <w:szCs w:val="22"/>
        </w:rPr>
      </w:pPr>
    </w:p>
    <w:sectPr w:rsidR="00233A43" w:rsidRPr="004033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B23B4" w14:textId="77777777" w:rsidR="00BC394D" w:rsidRDefault="00BC394D" w:rsidP="00382A05">
      <w:pPr>
        <w:spacing w:after="0" w:line="240" w:lineRule="auto"/>
      </w:pPr>
      <w:r>
        <w:separator/>
      </w:r>
    </w:p>
  </w:endnote>
  <w:endnote w:type="continuationSeparator" w:id="0">
    <w:p w14:paraId="1E2888C8" w14:textId="77777777" w:rsidR="00BC394D" w:rsidRDefault="00BC394D" w:rsidP="00382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9835A" w14:textId="77777777" w:rsidR="00BC394D" w:rsidRDefault="00BC394D" w:rsidP="00382A05">
      <w:pPr>
        <w:spacing w:after="0" w:line="240" w:lineRule="auto"/>
      </w:pPr>
      <w:r>
        <w:separator/>
      </w:r>
    </w:p>
  </w:footnote>
  <w:footnote w:type="continuationSeparator" w:id="0">
    <w:p w14:paraId="2CC3C5A5" w14:textId="77777777" w:rsidR="00BC394D" w:rsidRDefault="00BC394D" w:rsidP="00382A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rYwsDQyNzY0NTU2sjBR0lEKTi0uzszPAykwrQUAsFFF3CwAAAA="/>
  </w:docVars>
  <w:rsids>
    <w:rsidRoot w:val="00382A05"/>
    <w:rsid w:val="000F55F3"/>
    <w:rsid w:val="00101B97"/>
    <w:rsid w:val="00222F86"/>
    <w:rsid w:val="00233A43"/>
    <w:rsid w:val="00310BC9"/>
    <w:rsid w:val="00382A05"/>
    <w:rsid w:val="004033CE"/>
    <w:rsid w:val="00480E11"/>
    <w:rsid w:val="005D756E"/>
    <w:rsid w:val="00616325"/>
    <w:rsid w:val="00706041"/>
    <w:rsid w:val="007559AE"/>
    <w:rsid w:val="00AC599C"/>
    <w:rsid w:val="00B02614"/>
    <w:rsid w:val="00B625C1"/>
    <w:rsid w:val="00BC394D"/>
    <w:rsid w:val="00BC3CA0"/>
    <w:rsid w:val="00C00370"/>
    <w:rsid w:val="00C6225E"/>
    <w:rsid w:val="00D33672"/>
    <w:rsid w:val="00D833EA"/>
    <w:rsid w:val="00DA0CAA"/>
    <w:rsid w:val="00FB59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3538C"/>
  <w15:chartTrackingRefBased/>
  <w15:docId w15:val="{22B07583-2B12-4A92-BEF1-042D32718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2A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2A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2A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2A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2A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2A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A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A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A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A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2A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2A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2A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2A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2A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A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A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A05"/>
    <w:rPr>
      <w:rFonts w:eastAsiaTheme="majorEastAsia" w:cstheme="majorBidi"/>
      <w:color w:val="272727" w:themeColor="text1" w:themeTint="D8"/>
    </w:rPr>
  </w:style>
  <w:style w:type="paragraph" w:styleId="Title">
    <w:name w:val="Title"/>
    <w:basedOn w:val="Normal"/>
    <w:next w:val="Normal"/>
    <w:link w:val="TitleChar"/>
    <w:uiPriority w:val="10"/>
    <w:qFormat/>
    <w:rsid w:val="00382A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A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A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A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A05"/>
    <w:pPr>
      <w:spacing w:before="160"/>
      <w:jc w:val="center"/>
    </w:pPr>
    <w:rPr>
      <w:i/>
      <w:iCs/>
      <w:color w:val="404040" w:themeColor="text1" w:themeTint="BF"/>
    </w:rPr>
  </w:style>
  <w:style w:type="character" w:customStyle="1" w:styleId="QuoteChar">
    <w:name w:val="Quote Char"/>
    <w:basedOn w:val="DefaultParagraphFont"/>
    <w:link w:val="Quote"/>
    <w:uiPriority w:val="29"/>
    <w:rsid w:val="00382A05"/>
    <w:rPr>
      <w:i/>
      <w:iCs/>
      <w:color w:val="404040" w:themeColor="text1" w:themeTint="BF"/>
    </w:rPr>
  </w:style>
  <w:style w:type="paragraph" w:styleId="ListParagraph">
    <w:name w:val="List Paragraph"/>
    <w:basedOn w:val="Normal"/>
    <w:uiPriority w:val="34"/>
    <w:qFormat/>
    <w:rsid w:val="00382A05"/>
    <w:pPr>
      <w:ind w:left="720"/>
      <w:contextualSpacing/>
    </w:pPr>
  </w:style>
  <w:style w:type="character" w:styleId="IntenseEmphasis">
    <w:name w:val="Intense Emphasis"/>
    <w:basedOn w:val="DefaultParagraphFont"/>
    <w:uiPriority w:val="21"/>
    <w:qFormat/>
    <w:rsid w:val="00382A05"/>
    <w:rPr>
      <w:i/>
      <w:iCs/>
      <w:color w:val="2F5496" w:themeColor="accent1" w:themeShade="BF"/>
    </w:rPr>
  </w:style>
  <w:style w:type="paragraph" w:styleId="IntenseQuote">
    <w:name w:val="Intense Quote"/>
    <w:basedOn w:val="Normal"/>
    <w:next w:val="Normal"/>
    <w:link w:val="IntenseQuoteChar"/>
    <w:uiPriority w:val="30"/>
    <w:qFormat/>
    <w:rsid w:val="00382A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2A05"/>
    <w:rPr>
      <w:i/>
      <w:iCs/>
      <w:color w:val="2F5496" w:themeColor="accent1" w:themeShade="BF"/>
    </w:rPr>
  </w:style>
  <w:style w:type="character" w:styleId="IntenseReference">
    <w:name w:val="Intense Reference"/>
    <w:basedOn w:val="DefaultParagraphFont"/>
    <w:uiPriority w:val="32"/>
    <w:qFormat/>
    <w:rsid w:val="00382A05"/>
    <w:rPr>
      <w:b/>
      <w:bCs/>
      <w:smallCaps/>
      <w:color w:val="2F5496" w:themeColor="accent1" w:themeShade="BF"/>
      <w:spacing w:val="5"/>
    </w:rPr>
  </w:style>
  <w:style w:type="table" w:styleId="TableGrid">
    <w:name w:val="Table Grid"/>
    <w:basedOn w:val="TableNormal"/>
    <w:uiPriority w:val="39"/>
    <w:rsid w:val="00382A0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2A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2A05"/>
  </w:style>
  <w:style w:type="paragraph" w:styleId="Footer">
    <w:name w:val="footer"/>
    <w:basedOn w:val="Normal"/>
    <w:link w:val="FooterChar"/>
    <w:uiPriority w:val="99"/>
    <w:unhideWhenUsed/>
    <w:rsid w:val="00382A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2A05"/>
  </w:style>
  <w:style w:type="paragraph" w:styleId="Caption">
    <w:name w:val="caption"/>
    <w:basedOn w:val="Normal"/>
    <w:next w:val="Normal"/>
    <w:uiPriority w:val="35"/>
    <w:unhideWhenUsed/>
    <w:qFormat/>
    <w:rsid w:val="00D833EA"/>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14</Pages>
  <Words>18292</Words>
  <Characters>104267</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Gayathri B</dc:creator>
  <cp:keywords/>
  <dc:description/>
  <cp:lastModifiedBy>Gayathri B</cp:lastModifiedBy>
  <cp:revision>7</cp:revision>
  <dcterms:created xsi:type="dcterms:W3CDTF">2026-05-21T03:54:00Z</dcterms:created>
  <dcterms:modified xsi:type="dcterms:W3CDTF">2026-08-08T07:04:00Z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67fb36d6-e7c8-4892-b7d4-598a0a95a8e5</vt:lpwstr>
  </property>
</Properties>
</file>