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69" w:rsidRPr="00CF75DA" w:rsidRDefault="00183869" w:rsidP="00183869">
      <w:r>
        <w:rPr>
          <w:color w:val="000000"/>
        </w:rPr>
        <w:t xml:space="preserve">Additional file 1: </w:t>
      </w:r>
      <w:r w:rsidRPr="00CF75DA">
        <w:rPr>
          <w:color w:val="000000"/>
        </w:rPr>
        <w:t xml:space="preserve">Table </w:t>
      </w:r>
      <w:r>
        <w:rPr>
          <w:color w:val="000000"/>
        </w:rPr>
        <w:t>S</w:t>
      </w:r>
      <w:r w:rsidRPr="00CF75DA">
        <w:rPr>
          <w:color w:val="000000"/>
        </w:rPr>
        <w:t>1</w:t>
      </w:r>
      <w:r>
        <w:rPr>
          <w:color w:val="000000"/>
        </w:rPr>
        <w:t xml:space="preserve"> </w:t>
      </w:r>
      <w:r w:rsidRPr="00CF75DA">
        <w:t xml:space="preserve">Ongoing clinical trials mentioned </w:t>
      </w:r>
    </w:p>
    <w:p w:rsidR="00183869" w:rsidRPr="00CF75DA" w:rsidRDefault="00183869" w:rsidP="00183869">
      <w:pPr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1"/>
        <w:gridCol w:w="747"/>
        <w:gridCol w:w="5154"/>
        <w:gridCol w:w="2184"/>
      </w:tblGrid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69" w:rsidRPr="00CF75DA" w:rsidRDefault="00183869" w:rsidP="001634C1">
            <w:r w:rsidRPr="00CF75DA">
              <w:t>Clinical Trial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69" w:rsidRPr="00CF75DA" w:rsidRDefault="00183869" w:rsidP="001634C1">
            <w:r w:rsidRPr="00CF75DA">
              <w:t>Phase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69" w:rsidRPr="00CF75DA" w:rsidRDefault="00183869" w:rsidP="001634C1">
            <w:r w:rsidRPr="00CF75DA">
              <w:t>Description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869" w:rsidRPr="00CF75DA" w:rsidRDefault="00183869" w:rsidP="001634C1">
            <w:r w:rsidRPr="00CF75DA">
              <w:t>Primary endpoint</w:t>
            </w:r>
          </w:p>
        </w:tc>
      </w:tr>
      <w:tr w:rsidR="00183869" w:rsidRPr="00083DB6" w:rsidTr="001634C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Targeted therapies trials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NCT01947023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Lapatinib (HER2/3 blocker) in combination with Dabrafenib (BRAF inhibitor) for patients with advanced DTC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To determine the maximum tolerated dose of lapatinib (lapatinib ditosylate) that can be used in combination of dabrafenib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NCT03065387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pan-ERBB Inhibitor Neratinib is being assessed for its effect in advanced solid tumors harboring any HER mutation, including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Maximum Tolerated Dose of Neratinib Combination Therapy</w:t>
            </w:r>
          </w:p>
        </w:tc>
      </w:tr>
      <w:tr w:rsidR="00183869" w:rsidRPr="00083DB6" w:rsidTr="001634C1">
        <w:trPr>
          <w:trHeight w:val="563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NCT02289144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the role of Ceritinib in patients with advanced ATC with positive ALK abnormalities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Development of Progression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NCT01025453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the effect of Temsirolimus with Sorafenib in RAI-R thyroid cancer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Determine the objective response rate of the combination sorafenib and temsirolimus in I-131 refractory thyroid cancer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NCT01141309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 xml:space="preserve">evaluating the combination of Everolimus (mTOR inhibitor) and </w:t>
            </w:r>
            <w:r w:rsidRPr="00CF75DA">
              <w:rPr>
                <w:rStyle w:val="hitinf"/>
              </w:rPr>
              <w:t>Sorafenib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Determine the response rate of the combination sorafenib and everolimus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NCT01263951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testing the effect of combination of Everolimus (mTOR inhibitor) and Sorafenib in DTC patients who progressed on Sorafenib therapy alone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 xml:space="preserve">To determine the efficacy of everolimus and sorafenib (progression free survival, objective response rate and </w:t>
            </w:r>
            <w:r w:rsidRPr="00CF75DA">
              <w:lastRenderedPageBreak/>
              <w:t>stable disease) in patients with advanced differentiated thyroid cancer who have progressed on sorafenib alone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lastRenderedPageBreak/>
              <w:t>NCT02143726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assesses the efficacy and safety of Sorafenib with or without Everolimus in treating patients with advanced, RAI-R Hurthle cell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69" w:rsidRPr="00CF75DA" w:rsidRDefault="00183869" w:rsidP="001634C1">
            <w:r w:rsidRPr="00CF75DA">
              <w:t>Progression Free Survival</w:t>
            </w:r>
          </w:p>
          <w:p w:rsidR="00183869" w:rsidRPr="00CF75DA" w:rsidRDefault="00183869" w:rsidP="001634C1"/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NCT02289144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the effect Ribociclib (targeting RB mutation) and Everolimus (mTOR inhibitor) in metastatic Rb+ ATC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Development of Progression</w:t>
            </w:r>
          </w:p>
        </w:tc>
      </w:tr>
      <w:tr w:rsidR="00183869" w:rsidRPr="00083DB6" w:rsidTr="001634C1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NCT01843062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3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the efficacy of Selumetinib vs placebo in DTC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Complete remission rate in overall study population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NCT02034110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Efficacy of Dabrafenib (BRAF inhibitor) and Trametinib (MEK inhibitor) in 16 patients with BRAF V600E (ATC)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69" w:rsidRPr="00CF75DA" w:rsidRDefault="00183869" w:rsidP="001634C1">
            <w:r w:rsidRPr="00CF75DA">
              <w:t>Overall response rate</w:t>
            </w:r>
          </w:p>
          <w:p w:rsidR="00183869" w:rsidRPr="00CF75DA" w:rsidRDefault="00183869" w:rsidP="001634C1"/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NCT01723202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Efficacy of adding Trametinib to Dabrafenib as compared to Dabrafenib alone in BRAF mutated PTC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Overall objective response rate</w:t>
            </w:r>
          </w:p>
          <w:p w:rsidR="00183869" w:rsidRPr="00CF75DA" w:rsidRDefault="00183869" w:rsidP="001634C1"/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color w:val="000000"/>
              </w:rPr>
              <w:t>NCT01843062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3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color w:val="000000"/>
              </w:rPr>
              <w:t>placebo-controlled trial with Selumetinib in locally-advanced, recurrent, or metastatic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Complete remission rate in overall study population</w:t>
            </w:r>
          </w:p>
        </w:tc>
      </w:tr>
      <w:tr w:rsidR="00183869" w:rsidRPr="00083DB6" w:rsidTr="001634C1">
        <w:trPr>
          <w:trHeight w:val="31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color w:val="000000"/>
              </w:rPr>
              <w:t>NCT02393690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color w:val="000000"/>
              </w:rPr>
              <w:t>placebo-controlled trial with Selumetinib in RAI-avid recurrent and/or metastatic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 xml:space="preserve">To determine the response rate at 6 months following treatment with 131I (iodine I-131) in combination with placebo or selumetinib for radioactive iodine-avid (RAIA) recurrent </w:t>
            </w:r>
            <w:r w:rsidRPr="00CF75DA">
              <w:rPr>
                <w:rFonts w:eastAsia="Times New Roman"/>
                <w:color w:val="000000"/>
                <w:shd w:val="clear" w:color="auto" w:fill="FFFFFF"/>
              </w:rPr>
              <w:lastRenderedPageBreak/>
              <w:t>and/or metastatic thyroid cancer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lastRenderedPageBreak/>
              <w:t>NCT02152995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color w:val="000000"/>
              </w:rPr>
              <w:t xml:space="preserve">placebo-controlled trial with MEK inhibitor </w:t>
            </w:r>
            <w:r w:rsidRPr="00CF75DA">
              <w:t>Trametinib</w:t>
            </w:r>
            <w:r w:rsidRPr="00CF75DA">
              <w:rPr>
                <w:color w:val="000000"/>
              </w:rPr>
              <w:t xml:space="preserve"> in locally-advanced, recurrent, or metastatic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Times New Roman"/>
                <w:color w:val="000000"/>
                <w:shd w:val="clear" w:color="auto" w:fill="FFFFFF"/>
              </w:rPr>
              <w:t>To evaluate the effect of trametinib on enhancing radioiodine (RAI) activity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NCT01346358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CSF-1R antibody LY3022855 (also known as IMC-CS4) is tested in advanced 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Pharmacokinetics assessment</w:t>
            </w:r>
          </w:p>
        </w:tc>
      </w:tr>
      <w:tr w:rsidR="00183869" w:rsidRPr="00083DB6" w:rsidTr="001634C1">
        <w:trPr>
          <w:trHeight w:val="2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Immunotherapy trials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NCT01525602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 the effect of CSF-1R inhibitor (PLX3397) plus paclitaxel in patients with advanced 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t>Assess the s</w:t>
            </w:r>
            <w:r w:rsidRPr="00CF75DA">
              <w:rPr>
                <w:rFonts w:eastAsia="Times New Roman"/>
                <w:color w:val="000000"/>
                <w:shd w:val="clear" w:color="auto" w:fill="FFFFFF"/>
              </w:rPr>
              <w:t>afety of PLX3397 in combination with paclitaxel</w:t>
            </w:r>
          </w:p>
          <w:p w:rsidR="00183869" w:rsidRPr="00CF75DA" w:rsidRDefault="00183869" w:rsidP="001634C1"/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NCT01856920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 xml:space="preserve">testing </w:t>
            </w:r>
            <w:r w:rsidRPr="00CF75DA">
              <w:t xml:space="preserve">GI-6207, </w:t>
            </w:r>
            <w:r w:rsidRPr="00CF75DA">
              <w:rPr>
                <w:rFonts w:eastAsia="Shaker2Lancet-Regular"/>
              </w:rPr>
              <w:t>a vaccine made from baker’s yeast targeting the CEA in patients with MTC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To test the safety and effectiveness of the GI-6207 vaccine for advanced medullary thyroid cancer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NCT02239861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 specific adoptive cytotoxic T cells targeting several tumor antigens (NY-ESO-1, MAGEA4, PRAME, survivin, and SSX) in patients with advanced solid tumors, including thyroid cancer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evaluating the safety and feasibility of administering TAA-CTLs to patients with solid tumors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NCT02054806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testing Pembrolizumab effect as monotherapy in advanced solid tumor patients including a cohort of thyroid cancer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assess the efficacy and safety of pembrolizumab (MK-3475)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NCT02452424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1/2a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testing CSF-1R inhibitor (PLX3397) plus PD-1 inhibitor (Pembrolizumab) against advanced melanoma and other solid tumors, including thyroid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Assess the safety of PLX3397 in combination with Pembrolizumab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NCT02718911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 xml:space="preserve">testing CSF-1R inhibitor (LY3022855) plus Tremelimumab or Durvalumab (PD-1 inhibitors) in </w:t>
            </w:r>
            <w:r w:rsidRPr="00CF75DA">
              <w:rPr>
                <w:rFonts w:eastAsia="Shaker2Lancet-Regular"/>
              </w:rPr>
              <w:lastRenderedPageBreak/>
              <w:t>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lastRenderedPageBreak/>
              <w:t xml:space="preserve">Assess the maximum </w:t>
            </w:r>
            <w:r w:rsidRPr="00CF75DA">
              <w:lastRenderedPageBreak/>
              <w:t>tolerated dose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lastRenderedPageBreak/>
              <w:t>NCT02614495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1/2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the role of Sulfatinib in advanced MTC and RAI-R DTC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assess the efficacy and safety of Sulfatinib 300 mg Sulfatinib in advanced Medullary Thyroid Carcinoma ( MTC) and iodine-refractory differentiated thyroid carcinoma (DTC)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NCT02501096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1b/2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the maximum tolerated dose (MTD) for Lenvatinib in combination with Pembrolizumab during phase IB of the trial, and a subsequent expansion phase II trial will evaluate the safety and efficacy of this combination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maximum tolerated dose, objective response rate, and dose limiting toxicity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NCT01988896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the effect of combining the PDL-1 inhibitor Atezolizumab, plus the mitogen-activated protein kinase (MAPK) inhibitor, Cobimetinib, in locally advanced or metastatic 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dose-limiting toxicities and maximum tolerated dose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NCT01346358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CSF-1R antibody LY3022855 (also known as IMC-CS4) is tested in advanced solid tumors, including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establish the safety profile and characterize the pharmacokinetic profile of IMC-CS4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NCT01525602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Testing the effect of CSF-1R inhibitor (PLX3397) plus paclitaxel in patients with advanced solid tumors, including thyroid cancer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incidence of adverse events, response to treatment, and progression-free survival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NCT01856920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 xml:space="preserve">Testing </w:t>
            </w:r>
            <w:r w:rsidRPr="00CF75DA">
              <w:t xml:space="preserve">GI-6207, </w:t>
            </w:r>
            <w:r w:rsidRPr="00CF75DA">
              <w:rPr>
                <w:rFonts w:eastAsia="Shaker2Lancet-Regular"/>
              </w:rPr>
              <w:t>a vaccine made from baker’s yeast, targeting the CEA in patients with MTC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pPr>
              <w:rPr>
                <w:rFonts w:eastAsia="Times New Roman"/>
              </w:rPr>
            </w:pPr>
            <w:r w:rsidRPr="00CF75DA">
              <w:rPr>
                <w:rFonts w:eastAsia="Times New Roman"/>
                <w:color w:val="000000"/>
                <w:shd w:val="clear" w:color="auto" w:fill="FFFFFF"/>
              </w:rPr>
              <w:t>test the safety and effectiveness of the GI-6207 vaccine for advanced medullary thyroid cancer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lastRenderedPageBreak/>
              <w:t>NCT02239861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Testing specific adoptive cytotoxic T cells targeting several tumor antigens (NY-ESO-1, MAGEA4, PRAME, survivin, and SSX) in patients with advanced solid tumors, including thyroid cancer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dose-limiting toxicity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NCT02054806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Testing Pembrolizumab effect as monotherapy in advanced solid tumor patients, including a cohort of thyroid cancer patients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overall response rate, progression-free survival, and overall survival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NCT02452424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1/2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Testing CSF-1R inhibitor (PLX3397) plus PD-1 inhibitor (Pembrolizumab) against advanced melanoma and other solid tumors, including thyroid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safety and objective response rate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NCT02718911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Testing CSF-1R inhibitor (LY3022855) plus Tremelimumab or Durvalumab (PD-1 inhibitors) in 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 xml:space="preserve">Assess maximum tolerated dose and response rates 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NCT02614495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assessing the role of Sulfatinib in advanced MTC and RAI-R DTC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objective response rate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NCT02501096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1b/2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currently recruiting patients with solid tumors to assess the maximum tolerated dose (MTD) for Lenvatinib in combination with Pembrolizumab during phase IB of the trial. A subsequent expansion phase II trial will evaluate the safety and efficacy of this combination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maximum tolerated dose, objective response rate, and dose-limiting toxicity</w:t>
            </w:r>
          </w:p>
        </w:tc>
      </w:tr>
      <w:tr w:rsidR="00183869" w:rsidRPr="00083DB6" w:rsidTr="001634C1">
        <w:trPr>
          <w:trHeight w:val="227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NCT01988896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Testing the effect of combining the PDL-1 inhibitor Atezolizumab, plus the mitogen-activated protein kinase (MAPK) inhibitor, Cobimetinib, in Locally Advanced or Metastatic Solid Tumors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maximum tolerated dose and dose-limiting toxicity</w:t>
            </w:r>
          </w:p>
        </w:tc>
      </w:tr>
      <w:tr w:rsidR="00183869" w:rsidRPr="00083DB6" w:rsidTr="001634C1">
        <w:trPr>
          <w:trHeight w:val="7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>NCT01656642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1b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rPr>
                <w:rFonts w:eastAsia="Shaker2Lancet-Regular"/>
              </w:rPr>
              <w:t xml:space="preserve">investigating PD-L1 antibody Atezolizumab plus mutant BRAF inhibitor Vemurafenib for patients with </w:t>
            </w:r>
            <w:r w:rsidRPr="00CF75DA">
              <w:t>BRAFV600 mutation-positive metastatic melanoma (even though this trial has no thyroid patients, its results will help in designing future thyroid trials using such a combination based on pharmacodynamics and kinetics of this study)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69" w:rsidRPr="00CF75DA" w:rsidRDefault="00183869" w:rsidP="001634C1">
            <w:r w:rsidRPr="00CF75DA">
              <w:t>Assess dose limiting toxicity and adverse events</w:t>
            </w:r>
          </w:p>
        </w:tc>
      </w:tr>
    </w:tbl>
    <w:p w:rsidR="00ED6B8A" w:rsidRDefault="00ED6B8A"/>
    <w:sectPr w:rsidR="00ED6B8A" w:rsidSect="00ED6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aker2Lancet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183869"/>
    <w:rsid w:val="00000C6F"/>
    <w:rsid w:val="000D551F"/>
    <w:rsid w:val="0015521D"/>
    <w:rsid w:val="00183869"/>
    <w:rsid w:val="003014A7"/>
    <w:rsid w:val="0043034D"/>
    <w:rsid w:val="005D7BEA"/>
    <w:rsid w:val="006324A8"/>
    <w:rsid w:val="007361DB"/>
    <w:rsid w:val="007828A9"/>
    <w:rsid w:val="009D455D"/>
    <w:rsid w:val="00B54808"/>
    <w:rsid w:val="00D025DA"/>
    <w:rsid w:val="00ED6B8A"/>
    <w:rsid w:val="00F23577"/>
    <w:rsid w:val="00F7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1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552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5521D"/>
    <w:pPr>
      <w:keepNext/>
      <w:keepLines/>
      <w:spacing w:before="200" w:after="0" w:line="360" w:lineRule="auto"/>
      <w:outlineLvl w:val="1"/>
    </w:pPr>
    <w:rPr>
      <w:rFonts w:ascii="Times" w:eastAsiaTheme="majorEastAsia" w:hAnsi="Times" w:cstheme="majorBidi"/>
      <w:b/>
      <w:bCs/>
      <w:smallCaps/>
      <w:color w:val="000000" w:themeColor="text1"/>
      <w:sz w:val="28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2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5521D"/>
    <w:rPr>
      <w:rFonts w:ascii="Times" w:eastAsiaTheme="majorEastAsia" w:hAnsi="Times" w:cstheme="majorBidi"/>
      <w:b/>
      <w:bCs/>
      <w:smallCaps/>
      <w:color w:val="000000" w:themeColor="text1"/>
      <w:sz w:val="28"/>
      <w:szCs w:val="26"/>
      <w:lang w:val="en-GB"/>
    </w:rPr>
  </w:style>
  <w:style w:type="paragraph" w:customStyle="1" w:styleId="Chaptertitles">
    <w:name w:val="Chapter titles"/>
    <w:basedOn w:val="Heading1"/>
    <w:link w:val="ChaptertitlesChar"/>
    <w:qFormat/>
    <w:rsid w:val="0015521D"/>
    <w:pPr>
      <w:spacing w:before="0" w:after="720" w:line="240" w:lineRule="auto"/>
      <w:jc w:val="center"/>
    </w:pPr>
    <w:rPr>
      <w:rFonts w:ascii="Times" w:hAnsi="Times"/>
      <w:b w:val="0"/>
      <w:caps/>
      <w:color w:val="000000" w:themeColor="text1"/>
      <w:sz w:val="40"/>
      <w:szCs w:val="32"/>
    </w:rPr>
  </w:style>
  <w:style w:type="character" w:customStyle="1" w:styleId="ChaptertitlesChar">
    <w:name w:val="Chapter titles Char"/>
    <w:basedOn w:val="Heading1Char"/>
    <w:link w:val="Chaptertitles"/>
    <w:rsid w:val="0015521D"/>
    <w:rPr>
      <w:rFonts w:ascii="Times" w:hAnsi="Times"/>
      <w:bCs/>
      <w:caps/>
      <w:color w:val="000000" w:themeColor="text1"/>
      <w:sz w:val="40"/>
      <w:szCs w:val="32"/>
    </w:rPr>
  </w:style>
  <w:style w:type="paragraph" w:customStyle="1" w:styleId="Thesisbody">
    <w:name w:val="Thesis body"/>
    <w:basedOn w:val="Normal"/>
    <w:qFormat/>
    <w:rsid w:val="0015521D"/>
    <w:pPr>
      <w:spacing w:before="240" w:after="240" w:line="480" w:lineRule="auto"/>
    </w:pPr>
    <w:rPr>
      <w:rFonts w:ascii="Times" w:eastAsiaTheme="minorEastAsia" w:hAnsi="Times"/>
      <w:sz w:val="24"/>
      <w:szCs w:val="24"/>
      <w:lang w:val="en-AU" w:eastAsia="ja-JP"/>
    </w:rPr>
  </w:style>
  <w:style w:type="character" w:customStyle="1" w:styleId="hitinf">
    <w:name w:val="hit_inf"/>
    <w:basedOn w:val="DefaultParagraphFont"/>
    <w:rsid w:val="00183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1562</Words>
  <Characters>6252</Characters>
  <Application>Microsoft Office Word</Application>
  <DocSecurity>0</DocSecurity>
  <Lines>3126</Lines>
  <Paragraphs>868</Paragraphs>
  <ScaleCrop>false</ScaleCrop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2018-02-03T04:38:00Z</dcterms:created>
  <dcterms:modified xsi:type="dcterms:W3CDTF">2018-02-03T04:48:00Z</dcterms:modified>
</cp:coreProperties>
</file>