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E1B" w:rsidRPr="00FF6FCC" w:rsidRDefault="00BE4E1B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8"/>
          <w:szCs w:val="28"/>
        </w:rPr>
      </w:pPr>
      <w:r w:rsidRPr="00FF6FCC">
        <w:rPr>
          <w:rFonts w:ascii="Times New Roman" w:eastAsiaTheme="minorEastAsia" w:hAnsi="Times New Roman"/>
          <w:b/>
          <w:kern w:val="0"/>
          <w:sz w:val="28"/>
          <w:szCs w:val="28"/>
        </w:rPr>
        <w:t>Supplementary Materials and Methods</w:t>
      </w:r>
    </w:p>
    <w:p w:rsidR="00A26B33" w:rsidRPr="00FF6FCC" w:rsidRDefault="0040014B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Antibodies and </w:t>
      </w:r>
      <w:r w:rsidR="00606DB3" w:rsidRPr="00FF6FCC">
        <w:rPr>
          <w:rFonts w:ascii="Times New Roman" w:eastAsiaTheme="minorEastAsia" w:hAnsi="Times New Roman" w:hint="eastAsia"/>
          <w:b/>
          <w:kern w:val="0"/>
          <w:sz w:val="24"/>
          <w:szCs w:val="24"/>
        </w:rPr>
        <w:t>R</w:t>
      </w: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eagents</w:t>
      </w:r>
      <w:bookmarkStart w:id="0" w:name="_GoBack"/>
      <w:bookmarkEnd w:id="0"/>
    </w:p>
    <w:p w:rsidR="00014C03" w:rsidRPr="00FF6FCC" w:rsidRDefault="0040014B" w:rsidP="006371E4">
      <w:pPr>
        <w:spacing w:line="480" w:lineRule="auto"/>
        <w:ind w:firstLineChars="200"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The following antibodies were used in this study: </w:t>
      </w:r>
      <w:r w:rsidR="006046C7" w:rsidRPr="00FF6FCC">
        <w:rPr>
          <w:rFonts w:ascii="Times New Roman" w:eastAsiaTheme="minorEastAsia" w:hAnsi="Times New Roman"/>
          <w:kern w:val="0"/>
          <w:sz w:val="24"/>
          <w:szCs w:val="24"/>
        </w:rPr>
        <w:t>anti-FLAG (</w:t>
      </w:r>
      <w:r w:rsidR="00CA5AE5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F1804 M2, </w:t>
      </w:r>
      <w:r w:rsidR="006046C7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Sigma), </w:t>
      </w:r>
      <w:r w:rsidR="00DC5A78" w:rsidRPr="00FF6FCC">
        <w:rPr>
          <w:rFonts w:ascii="Times New Roman" w:eastAsiaTheme="minorEastAsia" w:hAnsi="Times New Roman"/>
          <w:kern w:val="0"/>
          <w:sz w:val="24"/>
          <w:szCs w:val="24"/>
        </w:rPr>
        <w:t>anti-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>STAT5 (</w:t>
      </w:r>
      <w:r w:rsidR="001E0E6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9358 3H7, 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Cell Signaling), </w:t>
      </w:r>
      <w:r w:rsidR="006046C7" w:rsidRPr="00FF6FCC">
        <w:rPr>
          <w:rFonts w:ascii="Times New Roman" w:eastAsiaTheme="minorEastAsia" w:hAnsi="Times New Roman"/>
          <w:kern w:val="0"/>
          <w:sz w:val="24"/>
          <w:szCs w:val="24"/>
        </w:rPr>
        <w:t>anti-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>phospho-STAT5 (Tyr694) (</w:t>
      </w:r>
      <w:smartTag w:uri="urn:schemas-microsoft-com:office:smarttags" w:element="chmetcnv">
        <w:smartTagPr>
          <w:attr w:name="UnitName" w:val="C"/>
          <w:attr w:name="SourceValue" w:val="9359"/>
          <w:attr w:name="HasSpace" w:val="True"/>
          <w:attr w:name="Negative" w:val="False"/>
          <w:attr w:name="NumberType" w:val="1"/>
          <w:attr w:name="TCSC" w:val="0"/>
        </w:smartTagPr>
        <w:r w:rsidR="001E0E6B" w:rsidRPr="00FF6FCC">
          <w:rPr>
            <w:rFonts w:ascii="Times New Roman" w:eastAsiaTheme="minorEastAsia" w:hAnsi="Times New Roman"/>
            <w:kern w:val="0"/>
            <w:sz w:val="24"/>
            <w:szCs w:val="24"/>
          </w:rPr>
          <w:t>9359 C</w:t>
        </w:r>
      </w:smartTag>
      <w:smartTag w:uri="urn:schemas-microsoft-com:office:smarttags" w:element="chmetcnv">
        <w:smartTagPr>
          <w:attr w:name="UnitName" w:val="C"/>
          <w:attr w:name="SourceValue" w:val="11"/>
          <w:attr w:name="HasSpace" w:val="False"/>
          <w:attr w:name="Negative" w:val="False"/>
          <w:attr w:name="NumberType" w:val="1"/>
          <w:attr w:name="TCSC" w:val="0"/>
        </w:smartTagPr>
        <w:r w:rsidR="001E0E6B" w:rsidRPr="00FF6FCC">
          <w:rPr>
            <w:rFonts w:ascii="Times New Roman" w:eastAsiaTheme="minorEastAsia" w:hAnsi="Times New Roman"/>
            <w:kern w:val="0"/>
            <w:sz w:val="24"/>
            <w:szCs w:val="24"/>
          </w:rPr>
          <w:t>11C</w:t>
        </w:r>
      </w:smartTag>
      <w:r w:rsidR="001E0E6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5, 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Cell Signaling), </w:t>
      </w:r>
      <w:r w:rsidR="00EC3B55" w:rsidRPr="00FF6FCC">
        <w:rPr>
          <w:rFonts w:ascii="Times New Roman" w:eastAsiaTheme="minorEastAsia" w:hAnsi="Times New Roman"/>
          <w:kern w:val="0"/>
          <w:sz w:val="24"/>
          <w:szCs w:val="24"/>
        </w:rPr>
        <w:t>anti-Transferrin receptor/CD71 (</w:t>
      </w:r>
      <w:r w:rsidR="001E0E6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10084-2-ap, </w:t>
      </w:r>
      <w:proofErr w:type="spellStart"/>
      <w:r w:rsidR="00EC3B55" w:rsidRPr="00FF6FCC">
        <w:rPr>
          <w:rFonts w:ascii="Times New Roman" w:eastAsiaTheme="minorEastAsia" w:hAnsi="Times New Roman"/>
          <w:kern w:val="0"/>
          <w:sz w:val="24"/>
          <w:szCs w:val="24"/>
        </w:rPr>
        <w:t>Proteintech</w:t>
      </w:r>
      <w:proofErr w:type="spellEnd"/>
      <w:r w:rsidR="00EC3B55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), </w:t>
      </w:r>
      <w:r w:rsidR="00AC0E4A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and </w:t>
      </w:r>
      <w:r w:rsidR="001B0BA0" w:rsidRPr="00FF6FCC">
        <w:rPr>
          <w:rFonts w:ascii="Times New Roman" w:eastAsiaTheme="minorEastAsia" w:hAnsi="Times New Roman"/>
          <w:kern w:val="0"/>
          <w:sz w:val="24"/>
          <w:szCs w:val="24"/>
        </w:rPr>
        <w:t>anti-</w:t>
      </w:r>
      <w:r w:rsidR="008C748B" w:rsidRPr="00FF6FCC">
        <w:rPr>
          <w:rFonts w:ascii="Times New Roman" w:eastAsiaTheme="minorEastAsia" w:hAnsi="Times New Roman"/>
          <w:kern w:val="0"/>
          <w:sz w:val="24"/>
          <w:szCs w:val="24"/>
        </w:rPr>
        <w:t>SESN3</w:t>
      </w:r>
      <w:r w:rsidR="00D05656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(</w:t>
      </w:r>
      <w:r w:rsidR="001E0E6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11431-2-ap, </w:t>
      </w:r>
      <w:proofErr w:type="spellStart"/>
      <w:r w:rsidR="00D05656" w:rsidRPr="00FF6FCC">
        <w:rPr>
          <w:rFonts w:ascii="Times New Roman" w:eastAsiaTheme="minorEastAsia" w:hAnsi="Times New Roman"/>
          <w:kern w:val="0"/>
          <w:sz w:val="24"/>
          <w:szCs w:val="24"/>
        </w:rPr>
        <w:t>Proteintech</w:t>
      </w:r>
      <w:proofErr w:type="spellEnd"/>
      <w:r w:rsidR="00D05656" w:rsidRPr="00FF6FCC">
        <w:rPr>
          <w:rFonts w:ascii="Times New Roman" w:eastAsiaTheme="minorEastAsia" w:hAnsi="Times New Roman"/>
          <w:kern w:val="0"/>
          <w:sz w:val="24"/>
          <w:szCs w:val="24"/>
        </w:rPr>
        <w:t>)</w:t>
      </w:r>
      <w:r w:rsidR="00AC0E4A" w:rsidRPr="00FF6FCC">
        <w:rPr>
          <w:rFonts w:ascii="Times New Roman" w:eastAsiaTheme="minorEastAsia" w:hAnsi="Times New Roman"/>
          <w:kern w:val="0"/>
          <w:sz w:val="24"/>
          <w:szCs w:val="24"/>
        </w:rPr>
        <w:t>.</w:t>
      </w:r>
      <w:r w:rsidR="006371E4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014C03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The inhibitors were purchased as follows: </w:t>
      </w:r>
      <w:r w:rsidR="002D0EF8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Imatinib (SC-267106, Santa Cruz), </w:t>
      </w:r>
      <w:r w:rsidR="00253528" w:rsidRPr="00FF6FCC">
        <w:rPr>
          <w:rFonts w:ascii="Times New Roman" w:eastAsiaTheme="minorEastAsia" w:hAnsi="Times New Roman" w:hint="eastAsia"/>
          <w:kern w:val="0"/>
          <w:sz w:val="24"/>
          <w:szCs w:val="24"/>
        </w:rPr>
        <w:t>STAT5-IN-1</w:t>
      </w:r>
      <w:r w:rsidR="00253528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253528" w:rsidRPr="00FF6FCC">
        <w:rPr>
          <w:rFonts w:ascii="Times New Roman" w:eastAsiaTheme="minorEastAsia" w:hAnsi="Times New Roman" w:hint="eastAsia"/>
          <w:kern w:val="0"/>
          <w:sz w:val="24"/>
          <w:szCs w:val="24"/>
        </w:rPr>
        <w:t>(</w:t>
      </w:r>
      <w:r w:rsidR="00097E99" w:rsidRPr="00FF6FCC">
        <w:rPr>
          <w:rFonts w:ascii="Times New Roman" w:eastAsiaTheme="minorEastAsia" w:hAnsi="Times New Roman"/>
          <w:kern w:val="0"/>
          <w:sz w:val="24"/>
          <w:szCs w:val="24"/>
        </w:rPr>
        <w:t>HY-101853</w:t>
      </w:r>
      <w:r w:rsidR="00097E99" w:rsidRPr="00FF6FCC">
        <w:rPr>
          <w:rFonts w:ascii="Times New Roman" w:eastAsiaTheme="minorEastAsia" w:hAnsi="Times New Roman" w:hint="eastAsia"/>
          <w:kern w:val="0"/>
          <w:sz w:val="24"/>
          <w:szCs w:val="24"/>
        </w:rPr>
        <w:t>,</w:t>
      </w:r>
      <w:r w:rsidR="00097E99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proofErr w:type="spellStart"/>
      <w:r w:rsidR="00097E99" w:rsidRPr="00FF6FCC">
        <w:rPr>
          <w:rFonts w:ascii="Times New Roman" w:eastAsiaTheme="minorEastAsia" w:hAnsi="Times New Roman"/>
          <w:kern w:val="0"/>
          <w:sz w:val="24"/>
          <w:szCs w:val="24"/>
        </w:rPr>
        <w:t>MedChemExpress</w:t>
      </w:r>
      <w:proofErr w:type="spellEnd"/>
      <w:r w:rsidR="00253528" w:rsidRPr="00FF6FCC">
        <w:rPr>
          <w:rFonts w:ascii="Times New Roman" w:eastAsiaTheme="minorEastAsia" w:hAnsi="Times New Roman"/>
          <w:kern w:val="0"/>
          <w:sz w:val="24"/>
          <w:szCs w:val="24"/>
        </w:rPr>
        <w:t>)</w:t>
      </w:r>
      <w:r w:rsidR="00265A13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, LY294002 (L9908, Sigma), </w:t>
      </w:r>
      <w:r w:rsidR="00CC5072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and </w:t>
      </w:r>
      <w:proofErr w:type="spellStart"/>
      <w:r w:rsidR="00265A13" w:rsidRPr="00FF6FCC">
        <w:rPr>
          <w:rFonts w:ascii="Times New Roman" w:eastAsiaTheme="minorEastAsia" w:hAnsi="Times New Roman"/>
          <w:kern w:val="0"/>
          <w:sz w:val="24"/>
          <w:szCs w:val="24"/>
        </w:rPr>
        <w:t>AKTi</w:t>
      </w:r>
      <w:proofErr w:type="spellEnd"/>
      <w:r w:rsidR="005708A0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(124018, Merck)</w:t>
      </w:r>
      <w:r w:rsidR="00CC5072" w:rsidRPr="00FF6FCC">
        <w:rPr>
          <w:rFonts w:ascii="Times New Roman" w:eastAsiaTheme="minorEastAsia" w:hAnsi="Times New Roman"/>
          <w:kern w:val="0"/>
          <w:sz w:val="24"/>
          <w:szCs w:val="24"/>
        </w:rPr>
        <w:t>.</w:t>
      </w:r>
      <w:r w:rsidR="0049624A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5B142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All other </w:t>
      </w:r>
      <w:r w:rsidR="00DC5A78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antibodies and </w:t>
      </w:r>
      <w:r w:rsidR="005B142B" w:rsidRPr="00FF6FCC">
        <w:rPr>
          <w:rFonts w:ascii="Times New Roman" w:eastAsiaTheme="minorEastAsia" w:hAnsi="Times New Roman"/>
          <w:kern w:val="0"/>
          <w:sz w:val="24"/>
          <w:szCs w:val="24"/>
        </w:rPr>
        <w:t>reagents were obtained as previously described</w:t>
      </w:r>
      <w:r w:rsidR="00C23CBF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547CD6" w:rsidRPr="00FF6FCC">
        <w:rPr>
          <w:rFonts w:ascii="Times New Roman" w:eastAsiaTheme="minorEastAsia" w:hAnsi="Times New Roman"/>
          <w:kern w:val="0"/>
          <w:sz w:val="24"/>
          <w:szCs w:val="24"/>
        </w:rPr>
        <w:t>(Guo et al. 2015, Guo et al. 2014, Yang et al. 2013)</w:t>
      </w:r>
      <w:r w:rsidR="005B142B" w:rsidRPr="00FF6FCC">
        <w:rPr>
          <w:rFonts w:ascii="Times New Roman" w:eastAsiaTheme="minorEastAsia" w:hAnsi="Times New Roman"/>
          <w:kern w:val="0"/>
          <w:sz w:val="24"/>
          <w:szCs w:val="24"/>
        </w:rPr>
        <w:t>.</w:t>
      </w:r>
    </w:p>
    <w:p w:rsidR="000E6814" w:rsidRPr="00FF6FCC" w:rsidRDefault="000E6814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4"/>
          <w:szCs w:val="24"/>
        </w:rPr>
      </w:pPr>
    </w:p>
    <w:p w:rsidR="0040014B" w:rsidRPr="00FF6FCC" w:rsidRDefault="0040014B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DNA </w:t>
      </w:r>
      <w:r w:rsidR="00606DB3"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C</w:t>
      </w: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onstruction</w:t>
      </w:r>
      <w:r w:rsidR="00C64762"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 and Cell Line Generation</w:t>
      </w:r>
    </w:p>
    <w:p w:rsidR="00277CBF" w:rsidRPr="00FF6FCC" w:rsidRDefault="0066003B" w:rsidP="00515E07">
      <w:pPr>
        <w:spacing w:line="480" w:lineRule="auto"/>
        <w:ind w:firstLineChars="200"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SESN3, CD71 </w:t>
      </w:r>
      <w:r w:rsidR="00D0488B" w:rsidRPr="00FF6FCC">
        <w:rPr>
          <w:rFonts w:ascii="Times New Roman" w:eastAsiaTheme="minorEastAsia" w:hAnsi="Times New Roman"/>
          <w:kern w:val="0"/>
          <w:sz w:val="24"/>
          <w:szCs w:val="24"/>
        </w:rPr>
        <w:t>and each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transcript of lncRNA-</w:t>
      </w:r>
      <w:r w:rsidR="00FC022B" w:rsidRPr="00FF6FCC">
        <w:rPr>
          <w:rFonts w:ascii="Times New Roman" w:eastAsiaTheme="minorEastAsia" w:hAnsi="Times New Roman"/>
          <w:kern w:val="0"/>
          <w:sz w:val="24"/>
          <w:szCs w:val="24"/>
        </w:rPr>
        <w:t>IUR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were</w:t>
      </w:r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7126D7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respectively </w:t>
      </w:r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subcloned into 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>pNL-</w:t>
      </w:r>
      <w:r w:rsidR="00633A70" w:rsidRPr="00FF6FCC">
        <w:rPr>
          <w:rFonts w:ascii="Times New Roman" w:eastAsiaTheme="minorEastAsia" w:hAnsi="Times New Roman"/>
          <w:kern w:val="0"/>
          <w:sz w:val="24"/>
          <w:szCs w:val="24"/>
        </w:rPr>
        <w:t>EGFP-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>CMV-WPREDU3</w:t>
      </w:r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C0761E" w:rsidRPr="00FF6FCC">
        <w:rPr>
          <w:rFonts w:ascii="Times New Roman" w:eastAsiaTheme="minorEastAsia" w:hAnsi="Times New Roman"/>
          <w:kern w:val="0"/>
          <w:sz w:val="24"/>
          <w:szCs w:val="24"/>
        </w:rPr>
        <w:t>vector</w:t>
      </w:r>
      <w:r w:rsidR="009D2C01" w:rsidRPr="00FF6FCC">
        <w:rPr>
          <w:rFonts w:ascii="Times New Roman" w:eastAsiaTheme="minorEastAsia" w:hAnsi="Times New Roman"/>
          <w:kern w:val="0"/>
          <w:sz w:val="24"/>
          <w:szCs w:val="24"/>
        </w:rPr>
        <w:t>, in which</w:t>
      </w:r>
      <w:r w:rsidR="00C0761E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5B4EEC" w:rsidRPr="00FF6FCC">
        <w:rPr>
          <w:rFonts w:ascii="Times New Roman" w:eastAsiaTheme="minorEastAsia" w:hAnsi="Times New Roman"/>
          <w:kern w:val="0"/>
          <w:sz w:val="24"/>
          <w:szCs w:val="24"/>
        </w:rPr>
        <w:t>taking place of EGFP</w:t>
      </w:r>
      <w:r w:rsidR="009D2C01" w:rsidRPr="00FF6FCC">
        <w:rPr>
          <w:rFonts w:ascii="Times New Roman" w:eastAsiaTheme="minorEastAsia" w:hAnsi="Times New Roman"/>
          <w:kern w:val="0"/>
          <w:sz w:val="24"/>
          <w:szCs w:val="24"/>
        </w:rPr>
        <w:t>,</w:t>
      </w:r>
      <w:r w:rsidR="005B4EEC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>to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generate </w:t>
      </w:r>
      <w:r w:rsidR="00B25A13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pNL-SESN3, pNL-CD71, and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pNL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>-lncRNA-</w:t>
      </w:r>
      <w:r w:rsidR="00FC022B" w:rsidRPr="00FF6FCC">
        <w:rPr>
          <w:rFonts w:ascii="Times New Roman" w:eastAsiaTheme="minorEastAsia" w:hAnsi="Times New Roman"/>
          <w:kern w:val="0"/>
          <w:sz w:val="24"/>
          <w:szCs w:val="24"/>
        </w:rPr>
        <w:t>IUR</w:t>
      </w:r>
      <w:r w:rsidR="005B4EEC" w:rsidRPr="00FF6FCC">
        <w:rPr>
          <w:rFonts w:ascii="Times New Roman" w:eastAsiaTheme="minorEastAsia" w:hAnsi="Times New Roman"/>
          <w:kern w:val="0"/>
          <w:sz w:val="24"/>
          <w:szCs w:val="24"/>
        </w:rPr>
        <w:t>.</w:t>
      </w:r>
      <w:r w:rsidR="00B25A13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Bcr-Abl</w:t>
      </w:r>
      <w:proofErr w:type="spellEnd"/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was subcloned into </w:t>
      </w:r>
      <w:proofErr w:type="spellStart"/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>pMIG</w:t>
      </w:r>
      <w:proofErr w:type="spellEnd"/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-IRES-GFP to generate </w:t>
      </w:r>
      <w:proofErr w:type="spellStart"/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>pMIG</w:t>
      </w:r>
      <w:proofErr w:type="spellEnd"/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>-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Bcr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>-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Abl</w:t>
      </w:r>
      <w:proofErr w:type="spellEnd"/>
      <w:r w:rsidR="0040014B" w:rsidRPr="00FF6FCC">
        <w:rPr>
          <w:rFonts w:ascii="Times New Roman" w:eastAsiaTheme="minorEastAsia" w:hAnsi="Times New Roman"/>
          <w:kern w:val="0"/>
          <w:sz w:val="24"/>
          <w:szCs w:val="24"/>
        </w:rPr>
        <w:t>-GFP.</w:t>
      </w:r>
      <w:r w:rsidR="00704F12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LncRNA</w:t>
      </w:r>
      <w:r w:rsidR="00C93C10" w:rsidRPr="00FF6FCC">
        <w:rPr>
          <w:rFonts w:ascii="Times New Roman" w:eastAsiaTheme="minorEastAsia" w:hAnsi="Times New Roman"/>
          <w:kern w:val="0"/>
          <w:sz w:val="24"/>
          <w:szCs w:val="24"/>
        </w:rPr>
        <w:t>-</w:t>
      </w:r>
      <w:r w:rsidR="00FC022B" w:rsidRPr="00FF6FCC">
        <w:rPr>
          <w:rFonts w:ascii="Times New Roman" w:eastAsiaTheme="minorEastAsia" w:hAnsi="Times New Roman"/>
          <w:kern w:val="0"/>
          <w:sz w:val="24"/>
          <w:szCs w:val="24"/>
        </w:rPr>
        <w:t>IUR</w:t>
      </w:r>
      <w:r w:rsidR="00C93C10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-5 and CD71 were cloned into pll3.7 vector </w:t>
      </w:r>
      <w:hyperlink r:id="rId6" w:history="1">
        <w:r w:rsidR="00C93C10" w:rsidRPr="00FF6FCC">
          <w:rPr>
            <w:rFonts w:ascii="Times New Roman" w:eastAsiaTheme="minorEastAsia" w:hAnsi="Times New Roman"/>
            <w:kern w:val="0"/>
            <w:sz w:val="24"/>
            <w:szCs w:val="24"/>
          </w:rPr>
          <w:t>simultaneously</w:t>
        </w:r>
      </w:hyperlink>
      <w:r w:rsidR="00C93C10" w:rsidRPr="00FF6FCC">
        <w:rPr>
          <w:rFonts w:ascii="Times New Roman" w:eastAsiaTheme="minorEastAsia" w:hAnsi="Times New Roman"/>
          <w:kern w:val="0"/>
          <w:sz w:val="24"/>
          <w:szCs w:val="24"/>
        </w:rPr>
        <w:t>.</w:t>
      </w:r>
    </w:p>
    <w:p w:rsidR="00CC4990" w:rsidRPr="00FF6FCC" w:rsidRDefault="00CC4990" w:rsidP="00515E07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kern w:val="0"/>
          <w:sz w:val="24"/>
          <w:szCs w:val="24"/>
        </w:rPr>
        <w:t>Gene overexpress</w:t>
      </w:r>
      <w:r w:rsidR="005B5810" w:rsidRPr="00FF6FCC">
        <w:rPr>
          <w:rFonts w:ascii="Times New Roman" w:eastAsiaTheme="minorEastAsia" w:hAnsi="Times New Roman"/>
          <w:kern w:val="0"/>
          <w:sz w:val="24"/>
          <w:szCs w:val="24"/>
        </w:rPr>
        <w:t>ion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cell lines were generated by infecting the cells with viruses encoding indicated gene using the viral vector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pNL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or pll3.7 as previously described. ShRNA-expressing stable cell</w:t>
      </w:r>
      <w:r w:rsidR="00C92199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lines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were generated by infection of the cells with lentiviruses expressing specific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shRNAs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in pSIH-H1-GFP vector (System Biosciences) as described previously. </w:t>
      </w:r>
      <w:r w:rsidR="00C64762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The shRNA target sequences are listed in </w:t>
      </w:r>
      <w:r w:rsidR="00FA0A43" w:rsidRPr="00FF6FCC">
        <w:rPr>
          <w:rFonts w:ascii="Times New Roman" w:hAnsi="Times New Roman"/>
          <w:sz w:val="24"/>
          <w:szCs w:val="24"/>
        </w:rPr>
        <w:t xml:space="preserve">Additional file 1: </w:t>
      </w:r>
      <w:r w:rsidR="001A5FA8" w:rsidRPr="00FF6FCC">
        <w:rPr>
          <w:rFonts w:ascii="Times New Roman" w:eastAsiaTheme="minorEastAsia" w:hAnsi="Times New Roman"/>
          <w:kern w:val="0"/>
          <w:sz w:val="24"/>
          <w:szCs w:val="24"/>
        </w:rPr>
        <w:t>T</w:t>
      </w:r>
      <w:r w:rsidR="00C64762" w:rsidRPr="00FF6FCC">
        <w:rPr>
          <w:rFonts w:ascii="Times New Roman" w:eastAsiaTheme="minorEastAsia" w:hAnsi="Times New Roman"/>
          <w:kern w:val="0"/>
          <w:sz w:val="24"/>
          <w:szCs w:val="24"/>
        </w:rPr>
        <w:t>able S</w:t>
      </w:r>
      <w:r w:rsidR="009D27E2" w:rsidRPr="00FF6FCC">
        <w:rPr>
          <w:rFonts w:ascii="Times New Roman" w:eastAsiaTheme="minorEastAsia" w:hAnsi="Times New Roman"/>
          <w:kern w:val="0"/>
          <w:sz w:val="24"/>
          <w:szCs w:val="24"/>
        </w:rPr>
        <w:t>1</w:t>
      </w:r>
      <w:r w:rsidR="00C64762" w:rsidRPr="00FF6FCC">
        <w:rPr>
          <w:rFonts w:ascii="Times New Roman" w:eastAsiaTheme="minorEastAsia" w:hAnsi="Times New Roman"/>
          <w:kern w:val="0"/>
          <w:sz w:val="24"/>
          <w:szCs w:val="24"/>
        </w:rPr>
        <w:t>.</w:t>
      </w:r>
    </w:p>
    <w:p w:rsidR="000E6814" w:rsidRPr="00FF6FCC" w:rsidRDefault="000E6814" w:rsidP="00EE5D41">
      <w:pPr>
        <w:spacing w:line="480" w:lineRule="auto"/>
        <w:rPr>
          <w:rFonts w:ascii="Times New Roman" w:eastAsiaTheme="minorEastAsia" w:hAnsi="Times New Roman"/>
          <w:kern w:val="0"/>
          <w:sz w:val="24"/>
          <w:szCs w:val="24"/>
          <w:highlight w:val="yellow"/>
        </w:rPr>
      </w:pPr>
    </w:p>
    <w:p w:rsidR="00102484" w:rsidRPr="00FF6FCC" w:rsidRDefault="00686744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Subcellular </w:t>
      </w:r>
      <w:r w:rsidR="00606DB3"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F</w:t>
      </w: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ractionation</w:t>
      </w:r>
    </w:p>
    <w:p w:rsidR="0040014B" w:rsidRPr="00FF6FCC" w:rsidRDefault="00102484" w:rsidP="00200AA4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kern w:val="0"/>
          <w:sz w:val="24"/>
          <w:szCs w:val="24"/>
        </w:rPr>
        <w:t>Cytoplasmic and nuclear fractions were separated as described previously (Yoon et al.,</w:t>
      </w:r>
      <w:r w:rsidR="00BF1D95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2012). Briefly, K562 cells were lysed with TD buffer (25 mM Tris-HCl pH 7.4; 100 mM NaCl; 5 mM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KCl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>; and 0.7mM Na2HPO4) containing 1% NP-40 for 5 min. The lysates were centrifuged with 12,000 rpm for 5 min at 4ºC. The supernatant was collected and used for the cytoplasmic fraction. The nuclear pellets were washed with TD buffer containing 0.5% NP-40 on ice for 5 min and collected</w:t>
      </w:r>
      <w:r w:rsidR="00200AA4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>after centrifugation at 4ºC for 5 min at 12,000 rpm.</w:t>
      </w:r>
    </w:p>
    <w:p w:rsidR="00102484" w:rsidRPr="00FF6FCC" w:rsidRDefault="00102484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4"/>
          <w:szCs w:val="24"/>
        </w:rPr>
      </w:pPr>
    </w:p>
    <w:p w:rsidR="0040014B" w:rsidRPr="00FF6FCC" w:rsidRDefault="0040014B" w:rsidP="00EE5D41">
      <w:pPr>
        <w:spacing w:line="480" w:lineRule="auto"/>
        <w:rPr>
          <w:rFonts w:ascii="Times New Roman" w:eastAsiaTheme="minorEastAsia" w:hAnsi="Times New Roman"/>
          <w:b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RT-PCR, </w:t>
      </w:r>
      <w:r w:rsidR="00606DB3"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Q</w:t>
      </w: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uantitative </w:t>
      </w:r>
      <w:r w:rsidR="00606DB3"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R</w:t>
      </w: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 xml:space="preserve">eal-time PCR, and Western </w:t>
      </w:r>
      <w:r w:rsidR="0007619E"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B</w:t>
      </w:r>
      <w:r w:rsidRPr="00FF6FCC">
        <w:rPr>
          <w:rFonts w:ascii="Times New Roman" w:eastAsiaTheme="minorEastAsia" w:hAnsi="Times New Roman"/>
          <w:b/>
          <w:kern w:val="0"/>
          <w:sz w:val="24"/>
          <w:szCs w:val="24"/>
        </w:rPr>
        <w:t>lotting</w:t>
      </w:r>
    </w:p>
    <w:p w:rsidR="00D123D0" w:rsidRPr="00FF6FCC" w:rsidRDefault="00D123D0" w:rsidP="00200AA4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eastAsiaTheme="minorEastAsia" w:hAnsi="Times New Roman"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Total RNA was extracted from cells or tissues using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TRIzol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reagent (Invitrogen, Carlsbad, CA, USA). The cDNA was synthesized using 5 u</w:t>
      </w:r>
      <w:r w:rsidR="00896ED1" w:rsidRPr="00FF6FCC">
        <w:rPr>
          <w:rFonts w:ascii="Times New Roman" w:eastAsiaTheme="minorEastAsia" w:hAnsi="Times New Roman"/>
          <w:kern w:val="0"/>
          <w:sz w:val="24"/>
          <w:szCs w:val="24"/>
        </w:rPr>
        <w:t>g of total RNA,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reverse transcriptase (RT; Promega, Madison, WI, USA),</w:t>
      </w:r>
      <w:r w:rsidR="00896ED1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and oligo (dT) primers (Takara, Dalian, P.R. China).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896ED1" w:rsidRPr="00FF6FCC">
        <w:rPr>
          <w:rFonts w:ascii="Times New Roman" w:eastAsiaTheme="minorEastAsia" w:hAnsi="Times New Roman"/>
          <w:kern w:val="0"/>
          <w:sz w:val="24"/>
          <w:szCs w:val="24"/>
        </w:rPr>
        <w:t>The following PCR was performed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using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rTaq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DNA polymerase and quantitative PCR using SYBR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PremixEx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TaqII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(</w:t>
      </w:r>
      <w:proofErr w:type="spellStart"/>
      <w:r w:rsidRPr="00FF6FCC">
        <w:rPr>
          <w:rFonts w:ascii="Times New Roman" w:eastAsiaTheme="minorEastAsia" w:hAnsi="Times New Roman"/>
          <w:kern w:val="0"/>
          <w:sz w:val="24"/>
          <w:szCs w:val="24"/>
        </w:rPr>
        <w:t>TaKaRa</w:t>
      </w:r>
      <w:proofErr w:type="spellEnd"/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, Tokyo, Japan) with gene specific primers shown in </w:t>
      </w:r>
      <w:r w:rsidR="00FA0A43" w:rsidRPr="00FF6FCC">
        <w:rPr>
          <w:rFonts w:ascii="Times New Roman" w:hAnsi="Times New Roman"/>
          <w:sz w:val="24"/>
          <w:szCs w:val="24"/>
        </w:rPr>
        <w:t>Additional file 1:</w:t>
      </w:r>
      <w:r w:rsidR="00236380"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 </w:t>
      </w:r>
      <w:r w:rsidR="001A5FA8" w:rsidRPr="00FF6FCC">
        <w:rPr>
          <w:rFonts w:ascii="Times New Roman" w:eastAsiaTheme="minorEastAsia" w:hAnsi="Times New Roman"/>
          <w:kern w:val="0"/>
          <w:sz w:val="24"/>
          <w:szCs w:val="24"/>
        </w:rPr>
        <w:t>T</w:t>
      </w:r>
      <w:r w:rsidR="00236380" w:rsidRPr="00FF6FCC">
        <w:rPr>
          <w:rFonts w:ascii="Times New Roman" w:eastAsiaTheme="minorEastAsia" w:hAnsi="Times New Roman"/>
          <w:kern w:val="0"/>
          <w:sz w:val="24"/>
          <w:szCs w:val="24"/>
        </w:rPr>
        <w:t>able S2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>. GAPDH was chosen as a reference gene for internal standardization.</w:t>
      </w:r>
    </w:p>
    <w:p w:rsidR="0040014B" w:rsidRPr="00FF6FCC" w:rsidRDefault="0040014B" w:rsidP="00EE5D41">
      <w:pPr>
        <w:spacing w:line="480" w:lineRule="auto"/>
        <w:ind w:firstLine="482"/>
        <w:rPr>
          <w:rFonts w:ascii="Times New Roman" w:eastAsiaTheme="minorEastAsia" w:hAnsi="Times New Roman"/>
          <w:kern w:val="0"/>
          <w:sz w:val="24"/>
          <w:szCs w:val="24"/>
        </w:rPr>
      </w:pP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For Western blotting, </w:t>
      </w:r>
      <w:r w:rsidR="00BA4F32" w:rsidRPr="00FF6FCC">
        <w:rPr>
          <w:rFonts w:ascii="Times New Roman" w:eastAsiaTheme="minorEastAsia" w:hAnsi="Times New Roman"/>
          <w:kern w:val="0"/>
          <w:sz w:val="24"/>
          <w:szCs w:val="24"/>
        </w:rPr>
        <w:t>s</w:t>
      </w:r>
      <w:r w:rsidRPr="00FF6FCC">
        <w:rPr>
          <w:rFonts w:ascii="Times New Roman" w:eastAsiaTheme="minorEastAsia" w:hAnsi="Times New Roman"/>
          <w:kern w:val="0"/>
          <w:sz w:val="24"/>
          <w:szCs w:val="24"/>
        </w:rPr>
        <w:t xml:space="preserve">amples were separated on SDS-polyacrylamide gel, transferred to a nitrocellulose membrane, and probed with antibodies as indicated. </w:t>
      </w:r>
    </w:p>
    <w:p w:rsidR="00AA552D" w:rsidRPr="00FF6FCC" w:rsidRDefault="00AA552D" w:rsidP="00EE5D41">
      <w:pPr>
        <w:autoSpaceDE w:val="0"/>
        <w:autoSpaceDN w:val="0"/>
        <w:adjustRightInd w:val="0"/>
        <w:spacing w:line="480" w:lineRule="auto"/>
        <w:jc w:val="left"/>
        <w:rPr>
          <w:rFonts w:ascii="Times New Roman" w:eastAsiaTheme="minorEastAsia" w:hAnsi="Times New Roman"/>
          <w:b/>
          <w:kern w:val="0"/>
          <w:sz w:val="24"/>
          <w:szCs w:val="24"/>
        </w:rPr>
      </w:pPr>
    </w:p>
    <w:p w:rsidR="00430A38" w:rsidRPr="00FF6FCC" w:rsidRDefault="00430A38" w:rsidP="00430A3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FF6FCC">
        <w:rPr>
          <w:rFonts w:ascii="Times New Roman" w:hAnsi="Times New Roman"/>
          <w:b/>
          <w:kern w:val="0"/>
          <w:sz w:val="24"/>
          <w:szCs w:val="24"/>
        </w:rPr>
        <w:t xml:space="preserve">Histopathological </w:t>
      </w:r>
      <w:r w:rsidRPr="00FF6FCC">
        <w:rPr>
          <w:rFonts w:ascii="Times New Roman" w:hAnsi="Times New Roman" w:hint="eastAsia"/>
          <w:b/>
          <w:kern w:val="0"/>
          <w:sz w:val="24"/>
          <w:szCs w:val="24"/>
        </w:rPr>
        <w:t>A</w:t>
      </w:r>
      <w:r w:rsidRPr="00FF6FCC">
        <w:rPr>
          <w:rFonts w:ascii="Times New Roman" w:hAnsi="Times New Roman"/>
          <w:b/>
          <w:kern w:val="0"/>
          <w:sz w:val="24"/>
          <w:szCs w:val="24"/>
        </w:rPr>
        <w:t>nalysis</w:t>
      </w:r>
    </w:p>
    <w:p w:rsidR="00430A38" w:rsidRPr="00FF6FCC" w:rsidRDefault="00430A38" w:rsidP="00430A38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FF6FCC">
        <w:rPr>
          <w:rFonts w:ascii="Times New Roman" w:hAnsi="Times New Roman"/>
          <w:kern w:val="0"/>
          <w:sz w:val="24"/>
          <w:szCs w:val="24"/>
        </w:rPr>
        <w:lastRenderedPageBreak/>
        <w:t xml:space="preserve">Mouse </w:t>
      </w:r>
      <w:r w:rsidRPr="00FF6FCC">
        <w:rPr>
          <w:rFonts w:ascii="Times New Roman" w:hAnsi="Times New Roman" w:hint="eastAsia"/>
          <w:kern w:val="0"/>
          <w:sz w:val="24"/>
          <w:szCs w:val="24"/>
        </w:rPr>
        <w:t>spleen</w:t>
      </w:r>
      <w:r w:rsidR="00A831D8" w:rsidRPr="00FF6FCC">
        <w:rPr>
          <w:rFonts w:ascii="Times New Roman" w:hAnsi="Times New Roman"/>
          <w:kern w:val="0"/>
          <w:sz w:val="24"/>
          <w:szCs w:val="24"/>
        </w:rPr>
        <w:t>s</w:t>
      </w:r>
      <w:r w:rsidRPr="00FF6FCC">
        <w:rPr>
          <w:rFonts w:ascii="Times New Roman" w:hAnsi="Times New Roman"/>
          <w:kern w:val="0"/>
          <w:sz w:val="24"/>
          <w:szCs w:val="24"/>
        </w:rPr>
        <w:t xml:space="preserve"> were fixed in 4% paraformaldehyde and </w:t>
      </w:r>
      <w:r w:rsidRPr="00FF6FCC">
        <w:rPr>
          <w:rFonts w:ascii="Times New Roman" w:hAnsi="Times New Roman" w:hint="eastAsia"/>
          <w:kern w:val="0"/>
          <w:sz w:val="24"/>
          <w:szCs w:val="24"/>
        </w:rPr>
        <w:t xml:space="preserve">then </w:t>
      </w:r>
      <w:r w:rsidRPr="00FF6FCC">
        <w:rPr>
          <w:rFonts w:ascii="Times New Roman" w:hAnsi="Times New Roman"/>
          <w:kern w:val="0"/>
          <w:sz w:val="24"/>
          <w:szCs w:val="24"/>
        </w:rPr>
        <w:t>embedded</w:t>
      </w:r>
      <w:r w:rsidRPr="00FF6FC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F6FCC">
        <w:rPr>
          <w:rFonts w:ascii="Times New Roman" w:hAnsi="Times New Roman"/>
          <w:kern w:val="0"/>
          <w:sz w:val="24"/>
          <w:szCs w:val="24"/>
        </w:rPr>
        <w:t>in paraffin. 4 mm thick sections were prepared</w:t>
      </w:r>
      <w:r w:rsidRPr="00FF6FC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F6FCC">
        <w:rPr>
          <w:rFonts w:ascii="Times New Roman" w:hAnsi="Times New Roman"/>
          <w:kern w:val="0"/>
          <w:sz w:val="24"/>
          <w:szCs w:val="24"/>
        </w:rPr>
        <w:t>and stained with hematoxylin and eosin (HE). The</w:t>
      </w:r>
      <w:r w:rsidRPr="00FF6FC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F6FCC">
        <w:rPr>
          <w:rFonts w:ascii="Times New Roman" w:hAnsi="Times New Roman"/>
          <w:kern w:val="0"/>
          <w:sz w:val="24"/>
          <w:szCs w:val="24"/>
        </w:rPr>
        <w:t>slides were visualized under an Olympus BH-2 microscope</w:t>
      </w:r>
      <w:r w:rsidRPr="00FF6FCC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F6FCC">
        <w:rPr>
          <w:rFonts w:ascii="Times New Roman" w:hAnsi="Times New Roman"/>
          <w:kern w:val="0"/>
          <w:sz w:val="24"/>
          <w:szCs w:val="24"/>
        </w:rPr>
        <w:t>(Tokyo, Japan).</w:t>
      </w:r>
    </w:p>
    <w:p w:rsidR="00430A38" w:rsidRPr="00FF6FCC" w:rsidRDefault="00430A38" w:rsidP="00EE5D4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4"/>
          <w:szCs w:val="24"/>
          <w:highlight w:val="yellow"/>
        </w:rPr>
      </w:pPr>
    </w:p>
    <w:p w:rsidR="00A845C7" w:rsidRPr="00FF6FCC" w:rsidRDefault="00A845C7" w:rsidP="00E47A2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FF6FCC">
        <w:rPr>
          <w:rFonts w:ascii="Times New Roman" w:hAnsi="Times New Roman"/>
          <w:b/>
          <w:kern w:val="0"/>
          <w:sz w:val="24"/>
          <w:szCs w:val="24"/>
        </w:rPr>
        <w:t>Cell Cycle Analysis</w:t>
      </w:r>
    </w:p>
    <w:p w:rsidR="00A845C7" w:rsidRPr="00FF6FCC" w:rsidRDefault="00492521" w:rsidP="00BD5090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FF6FCC">
        <w:rPr>
          <w:rFonts w:ascii="Times New Roman" w:hAnsi="Times New Roman"/>
          <w:kern w:val="0"/>
          <w:sz w:val="24"/>
          <w:szCs w:val="24"/>
        </w:rPr>
        <w:t>Cell cycle analysis was performed as previously described. Briefly, cells were collected and fixed in 75% ethanol at 4°C overnight, then washed and incubated with propidium iodide (5 mg/ml with 0.1% RNase A) for 30 min. The samples were analyzed with a fluorescence-activated cell sorter (BD Bioscience).</w:t>
      </w:r>
    </w:p>
    <w:p w:rsidR="008E7F3D" w:rsidRPr="00FF6FCC" w:rsidRDefault="008E7F3D" w:rsidP="008E7F3D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:rsidR="008E7F3D" w:rsidRPr="00FF6FCC" w:rsidRDefault="008E7F3D" w:rsidP="008E7F3D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FF6FCC">
        <w:rPr>
          <w:rFonts w:ascii="Times New Roman" w:hAnsi="Times New Roman"/>
          <w:b/>
          <w:kern w:val="0"/>
          <w:sz w:val="24"/>
          <w:szCs w:val="24"/>
        </w:rPr>
        <w:t xml:space="preserve">RNA-seq </w:t>
      </w:r>
      <w:r w:rsidR="0066234D" w:rsidRPr="00FF6FCC">
        <w:rPr>
          <w:rFonts w:ascii="Times New Roman" w:hAnsi="Times New Roman"/>
          <w:b/>
          <w:kern w:val="0"/>
          <w:sz w:val="24"/>
          <w:szCs w:val="24"/>
        </w:rPr>
        <w:t>A</w:t>
      </w:r>
      <w:r w:rsidRPr="00FF6FCC">
        <w:rPr>
          <w:rFonts w:ascii="Times New Roman" w:hAnsi="Times New Roman"/>
          <w:b/>
          <w:kern w:val="0"/>
          <w:sz w:val="24"/>
          <w:szCs w:val="24"/>
        </w:rPr>
        <w:t>nalysis</w:t>
      </w:r>
    </w:p>
    <w:p w:rsidR="008E7F3D" w:rsidRPr="00FF6FCC" w:rsidRDefault="008E7F3D" w:rsidP="008E7F3D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FF6FCC">
        <w:rPr>
          <w:rFonts w:ascii="Times New Roman" w:hAnsi="Times New Roman"/>
          <w:kern w:val="0"/>
          <w:sz w:val="24"/>
          <w:szCs w:val="24"/>
        </w:rPr>
        <w:t xml:space="preserve">Total RNAs were isolated from three independent groups of K562 cell lines expressing shRNA targeting lncRNA-IUR-5 and control cells, using </w:t>
      </w:r>
      <w:proofErr w:type="spellStart"/>
      <w:r w:rsidRPr="00FF6FCC">
        <w:rPr>
          <w:rFonts w:ascii="Times New Roman" w:hAnsi="Times New Roman"/>
          <w:kern w:val="0"/>
          <w:sz w:val="24"/>
          <w:szCs w:val="24"/>
        </w:rPr>
        <w:t>TRIzol</w:t>
      </w:r>
      <w:proofErr w:type="spellEnd"/>
      <w:r w:rsidRPr="00FF6FCC">
        <w:rPr>
          <w:rFonts w:ascii="Times New Roman" w:hAnsi="Times New Roman"/>
          <w:kern w:val="0"/>
          <w:sz w:val="24"/>
          <w:szCs w:val="24"/>
        </w:rPr>
        <w:t xml:space="preserve"> reagent (Invitrogen, Carlsbad, CA, USA). RNA libraries were prepared for sequencing using standard Illumina protocols. At the data procession step, Illumina </w:t>
      </w:r>
      <w:proofErr w:type="spellStart"/>
      <w:r w:rsidRPr="00FF6FCC">
        <w:rPr>
          <w:rFonts w:ascii="Times New Roman" w:hAnsi="Times New Roman"/>
          <w:kern w:val="0"/>
          <w:sz w:val="24"/>
          <w:szCs w:val="24"/>
        </w:rPr>
        <w:t>Casava</w:t>
      </w:r>
      <w:proofErr w:type="spellEnd"/>
      <w:r w:rsidRPr="00FF6FCC">
        <w:rPr>
          <w:rFonts w:ascii="Times New Roman" w:hAnsi="Times New Roman"/>
          <w:kern w:val="0"/>
          <w:sz w:val="24"/>
          <w:szCs w:val="24"/>
        </w:rPr>
        <w:t xml:space="preserve"> software was used for </w:t>
      </w:r>
      <w:proofErr w:type="spellStart"/>
      <w:r w:rsidRPr="00FF6FCC">
        <w:rPr>
          <w:rFonts w:ascii="Times New Roman" w:hAnsi="Times New Roman"/>
          <w:kern w:val="0"/>
          <w:sz w:val="24"/>
          <w:szCs w:val="24"/>
        </w:rPr>
        <w:t>basecalling</w:t>
      </w:r>
      <w:proofErr w:type="spellEnd"/>
      <w:r w:rsidRPr="00FF6FCC">
        <w:rPr>
          <w:rFonts w:ascii="Times New Roman" w:hAnsi="Times New Roman"/>
          <w:kern w:val="0"/>
          <w:sz w:val="24"/>
          <w:szCs w:val="24"/>
        </w:rPr>
        <w:t>. Sequenced reads were trimmed for adaptor sequence, and masked for low-complexity or low-quality sequence, then mapped to hg38 whole genome. Reads Per Kilo bases per Million reads (RPKM) were calculated</w:t>
      </w:r>
      <w:r w:rsidRPr="00FF6FCC">
        <w:t xml:space="preserve"> </w:t>
      </w:r>
      <w:r w:rsidRPr="00FF6FCC">
        <w:rPr>
          <w:rFonts w:ascii="Times New Roman" w:hAnsi="Times New Roman"/>
          <w:kern w:val="0"/>
          <w:sz w:val="24"/>
          <w:szCs w:val="24"/>
        </w:rPr>
        <w:t xml:space="preserve">and analyzed using </w:t>
      </w:r>
      <w:proofErr w:type="spellStart"/>
      <w:r w:rsidRPr="00FF6FCC">
        <w:rPr>
          <w:rFonts w:ascii="Times New Roman" w:hAnsi="Times New Roman"/>
          <w:kern w:val="0"/>
          <w:sz w:val="24"/>
          <w:szCs w:val="24"/>
        </w:rPr>
        <w:t>samtools</w:t>
      </w:r>
      <w:proofErr w:type="spellEnd"/>
      <w:r w:rsidRPr="00FF6FCC">
        <w:rPr>
          <w:rFonts w:ascii="Times New Roman" w:hAnsi="Times New Roman"/>
          <w:kern w:val="0"/>
          <w:sz w:val="24"/>
          <w:szCs w:val="24"/>
        </w:rPr>
        <w:t xml:space="preserve"> v0.1.19.</w:t>
      </w:r>
    </w:p>
    <w:p w:rsidR="00555FE2" w:rsidRPr="00FF6FCC" w:rsidRDefault="00555FE2" w:rsidP="00555FE2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p w:rsidR="00EC5871" w:rsidRPr="00FF6FCC" w:rsidRDefault="00EC5871" w:rsidP="00EC5871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bookmarkStart w:id="1" w:name="_Hlk524963762"/>
      <w:r w:rsidRPr="00FF6FCC">
        <w:rPr>
          <w:rFonts w:ascii="Times New Roman" w:hAnsi="Times New Roman"/>
          <w:b/>
          <w:bCs/>
          <w:kern w:val="0"/>
          <w:sz w:val="24"/>
          <w:szCs w:val="24"/>
        </w:rPr>
        <w:t>RNA Pull-</w:t>
      </w:r>
      <w:r w:rsidR="00D9751A" w:rsidRPr="00FF6FCC">
        <w:rPr>
          <w:rFonts w:ascii="Times New Roman" w:hAnsi="Times New Roman"/>
          <w:b/>
          <w:bCs/>
          <w:kern w:val="0"/>
          <w:sz w:val="24"/>
          <w:szCs w:val="24"/>
        </w:rPr>
        <w:t>d</w:t>
      </w:r>
      <w:r w:rsidRPr="00FF6FCC">
        <w:rPr>
          <w:rFonts w:ascii="Times New Roman" w:hAnsi="Times New Roman"/>
          <w:b/>
          <w:bCs/>
          <w:kern w:val="0"/>
          <w:sz w:val="24"/>
          <w:szCs w:val="24"/>
        </w:rPr>
        <w:t>own Assay</w:t>
      </w:r>
    </w:p>
    <w:p w:rsidR="00136E9B" w:rsidRPr="00FF6FCC" w:rsidRDefault="00EC5871" w:rsidP="00C43D51">
      <w:pPr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 w:rsidRPr="00FF6FCC">
        <w:rPr>
          <w:rFonts w:ascii="Times New Roman" w:hAnsi="Times New Roman"/>
          <w:kern w:val="0"/>
          <w:sz w:val="24"/>
          <w:szCs w:val="24"/>
        </w:rPr>
        <w:t xml:space="preserve">Briefly, K562 cell lines overexpressing S1, lncRNA-IUR-5, lncRNA-IUR-5-S1 </w:t>
      </w:r>
      <w:r w:rsidRPr="00FF6FCC">
        <w:rPr>
          <w:rFonts w:ascii="Times New Roman" w:hAnsi="Times New Roman"/>
          <w:kern w:val="0"/>
          <w:sz w:val="24"/>
          <w:szCs w:val="24"/>
        </w:rPr>
        <w:lastRenderedPageBreak/>
        <w:t>were generated as previously described. Then, these cell lines were lysed in ice-cold gentle lysis buffer (GLB), and followed by incubation with streptavidin beads (Invitrogen, 65601) at 4°C for 3 h. After washing with ice-cold GLB five times, the purified ribonucleoproteins (RNPs) were eluted from the beads in</w:t>
      </w:r>
      <w:bookmarkStart w:id="2" w:name="OLE_LINK38"/>
      <w:bookmarkStart w:id="3" w:name="OLE_LINK39"/>
      <w:r w:rsidRPr="00FF6FCC">
        <w:rPr>
          <w:rFonts w:ascii="Times New Roman" w:hAnsi="Times New Roman"/>
          <w:kern w:val="0"/>
          <w:sz w:val="24"/>
          <w:szCs w:val="24"/>
        </w:rPr>
        <w:t xml:space="preserve"> 2X SDS</w:t>
      </w:r>
      <w:bookmarkEnd w:id="2"/>
      <w:bookmarkEnd w:id="3"/>
      <w:r w:rsidRPr="00FF6FCC">
        <w:rPr>
          <w:rFonts w:ascii="Times New Roman" w:hAnsi="Times New Roman"/>
          <w:kern w:val="0"/>
          <w:sz w:val="24"/>
          <w:szCs w:val="24"/>
        </w:rPr>
        <w:t xml:space="preserve"> sample buffer by heating at 100°C for 5</w:t>
      </w:r>
      <w:r w:rsidR="00B70CF1" w:rsidRPr="00FF6FCC">
        <w:rPr>
          <w:rFonts w:ascii="Times New Roman" w:hAnsi="Times New Roman"/>
          <w:kern w:val="0"/>
          <w:sz w:val="24"/>
          <w:szCs w:val="24"/>
        </w:rPr>
        <w:t xml:space="preserve"> </w:t>
      </w:r>
      <w:r w:rsidRPr="00FF6FCC">
        <w:rPr>
          <w:rFonts w:ascii="Times New Roman" w:hAnsi="Times New Roman"/>
          <w:kern w:val="0"/>
          <w:sz w:val="24"/>
          <w:szCs w:val="24"/>
        </w:rPr>
        <w:t xml:space="preserve">min, and resolved by </w:t>
      </w:r>
      <w:bookmarkStart w:id="4" w:name="_Hlk526074613"/>
      <w:r w:rsidRPr="00FF6FCC">
        <w:rPr>
          <w:rFonts w:ascii="Times New Roman" w:hAnsi="Times New Roman"/>
          <w:kern w:val="0"/>
          <w:sz w:val="24"/>
          <w:szCs w:val="24"/>
        </w:rPr>
        <w:t>10% SDS-PAGE</w:t>
      </w:r>
      <w:bookmarkEnd w:id="4"/>
      <w:r w:rsidRPr="00FF6FCC">
        <w:rPr>
          <w:rFonts w:ascii="Times New Roman" w:hAnsi="Times New Roman"/>
          <w:kern w:val="0"/>
          <w:sz w:val="24"/>
          <w:szCs w:val="24"/>
        </w:rPr>
        <w:t xml:space="preserve">. The proteins in the gel were excised and followed by </w:t>
      </w:r>
      <w:r w:rsidR="003C23F2" w:rsidRPr="00FF6FCC">
        <w:rPr>
          <w:rFonts w:ascii="Times New Roman" w:hAnsi="Times New Roman"/>
          <w:kern w:val="0"/>
          <w:sz w:val="24"/>
          <w:szCs w:val="24"/>
        </w:rPr>
        <w:t>m</w:t>
      </w:r>
      <w:r w:rsidRPr="00FF6FCC">
        <w:rPr>
          <w:rFonts w:ascii="Times New Roman" w:hAnsi="Times New Roman"/>
          <w:kern w:val="0"/>
          <w:sz w:val="24"/>
          <w:szCs w:val="24"/>
        </w:rPr>
        <w:t xml:space="preserve">ass </w:t>
      </w:r>
      <w:r w:rsidR="003C23F2" w:rsidRPr="00FF6FCC">
        <w:rPr>
          <w:rFonts w:ascii="Times New Roman" w:hAnsi="Times New Roman"/>
          <w:kern w:val="0"/>
          <w:sz w:val="24"/>
          <w:szCs w:val="24"/>
        </w:rPr>
        <w:t>s</w:t>
      </w:r>
      <w:r w:rsidRPr="00FF6FCC">
        <w:rPr>
          <w:rFonts w:ascii="Times New Roman" w:hAnsi="Times New Roman"/>
          <w:kern w:val="0"/>
          <w:sz w:val="24"/>
          <w:szCs w:val="24"/>
        </w:rPr>
        <w:t>pectrometry.</w:t>
      </w:r>
      <w:bookmarkEnd w:id="1"/>
    </w:p>
    <w:sectPr w:rsidR="00136E9B" w:rsidRPr="00FF6FCC" w:rsidSect="00877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21F" w:rsidRDefault="00DC021F" w:rsidP="002240BE">
      <w:r>
        <w:separator/>
      </w:r>
    </w:p>
  </w:endnote>
  <w:endnote w:type="continuationSeparator" w:id="0">
    <w:p w:rsidR="00DC021F" w:rsidRDefault="00DC021F" w:rsidP="0022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21F" w:rsidRDefault="00DC021F" w:rsidP="002240BE">
      <w:r>
        <w:separator/>
      </w:r>
    </w:p>
  </w:footnote>
  <w:footnote w:type="continuationSeparator" w:id="0">
    <w:p w:rsidR="00DC021F" w:rsidRDefault="00DC021F" w:rsidP="00224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4B"/>
    <w:rsid w:val="0000044E"/>
    <w:rsid w:val="000105BE"/>
    <w:rsid w:val="00014C03"/>
    <w:rsid w:val="00017FBF"/>
    <w:rsid w:val="000403F3"/>
    <w:rsid w:val="00040447"/>
    <w:rsid w:val="000618DB"/>
    <w:rsid w:val="000748F3"/>
    <w:rsid w:val="0007619E"/>
    <w:rsid w:val="00087088"/>
    <w:rsid w:val="00097E99"/>
    <w:rsid w:val="000B333A"/>
    <w:rsid w:val="000C2362"/>
    <w:rsid w:val="000E6814"/>
    <w:rsid w:val="000F0819"/>
    <w:rsid w:val="00102484"/>
    <w:rsid w:val="00136E9B"/>
    <w:rsid w:val="00166225"/>
    <w:rsid w:val="0016775A"/>
    <w:rsid w:val="00181EDF"/>
    <w:rsid w:val="001A5FA8"/>
    <w:rsid w:val="001B0BA0"/>
    <w:rsid w:val="001E0E6B"/>
    <w:rsid w:val="001F3271"/>
    <w:rsid w:val="00200AA4"/>
    <w:rsid w:val="0021385B"/>
    <w:rsid w:val="002240BE"/>
    <w:rsid w:val="00236380"/>
    <w:rsid w:val="0023669B"/>
    <w:rsid w:val="00253528"/>
    <w:rsid w:val="00265A13"/>
    <w:rsid w:val="00277CBF"/>
    <w:rsid w:val="002D0EF8"/>
    <w:rsid w:val="002D5D89"/>
    <w:rsid w:val="00330632"/>
    <w:rsid w:val="0036023E"/>
    <w:rsid w:val="003813C2"/>
    <w:rsid w:val="003C23F2"/>
    <w:rsid w:val="0040014B"/>
    <w:rsid w:val="00430A38"/>
    <w:rsid w:val="00454556"/>
    <w:rsid w:val="00455D1F"/>
    <w:rsid w:val="00481EFC"/>
    <w:rsid w:val="00492521"/>
    <w:rsid w:val="0049624A"/>
    <w:rsid w:val="004A2C54"/>
    <w:rsid w:val="004B132A"/>
    <w:rsid w:val="004B30BF"/>
    <w:rsid w:val="004E56D3"/>
    <w:rsid w:val="00515E07"/>
    <w:rsid w:val="00547CD6"/>
    <w:rsid w:val="00555FE2"/>
    <w:rsid w:val="005708A0"/>
    <w:rsid w:val="005839ED"/>
    <w:rsid w:val="005966FF"/>
    <w:rsid w:val="005A172A"/>
    <w:rsid w:val="005A7020"/>
    <w:rsid w:val="005B142B"/>
    <w:rsid w:val="005B4EEC"/>
    <w:rsid w:val="005B5810"/>
    <w:rsid w:val="005C0E61"/>
    <w:rsid w:val="005C1F6C"/>
    <w:rsid w:val="005E4ABD"/>
    <w:rsid w:val="005E6AED"/>
    <w:rsid w:val="005F0A14"/>
    <w:rsid w:val="006046C7"/>
    <w:rsid w:val="00606DB3"/>
    <w:rsid w:val="00633A70"/>
    <w:rsid w:val="006371E4"/>
    <w:rsid w:val="0066003B"/>
    <w:rsid w:val="0066234D"/>
    <w:rsid w:val="00665000"/>
    <w:rsid w:val="0067161D"/>
    <w:rsid w:val="00686744"/>
    <w:rsid w:val="006D0D27"/>
    <w:rsid w:val="00704F12"/>
    <w:rsid w:val="007126D7"/>
    <w:rsid w:val="007D7096"/>
    <w:rsid w:val="00844CC5"/>
    <w:rsid w:val="008511D5"/>
    <w:rsid w:val="008526CE"/>
    <w:rsid w:val="0087795A"/>
    <w:rsid w:val="00896ED1"/>
    <w:rsid w:val="008A0FC5"/>
    <w:rsid w:val="008C748B"/>
    <w:rsid w:val="008E7F3D"/>
    <w:rsid w:val="00931CD7"/>
    <w:rsid w:val="0094069A"/>
    <w:rsid w:val="00943258"/>
    <w:rsid w:val="00956236"/>
    <w:rsid w:val="009C7B8E"/>
    <w:rsid w:val="009D27E2"/>
    <w:rsid w:val="009D2C01"/>
    <w:rsid w:val="009D7047"/>
    <w:rsid w:val="009F6637"/>
    <w:rsid w:val="00A01766"/>
    <w:rsid w:val="00A26B33"/>
    <w:rsid w:val="00A72933"/>
    <w:rsid w:val="00A805D3"/>
    <w:rsid w:val="00A831D8"/>
    <w:rsid w:val="00A845C7"/>
    <w:rsid w:val="00A856B5"/>
    <w:rsid w:val="00A9704B"/>
    <w:rsid w:val="00AA552D"/>
    <w:rsid w:val="00AA7718"/>
    <w:rsid w:val="00AC0E4A"/>
    <w:rsid w:val="00AE4B82"/>
    <w:rsid w:val="00B25A13"/>
    <w:rsid w:val="00B2603B"/>
    <w:rsid w:val="00B408FF"/>
    <w:rsid w:val="00B70CF1"/>
    <w:rsid w:val="00BA4F32"/>
    <w:rsid w:val="00BA6A48"/>
    <w:rsid w:val="00BC49F4"/>
    <w:rsid w:val="00BD5090"/>
    <w:rsid w:val="00BE4E1B"/>
    <w:rsid w:val="00BF1D95"/>
    <w:rsid w:val="00C0761E"/>
    <w:rsid w:val="00C23CBF"/>
    <w:rsid w:val="00C40496"/>
    <w:rsid w:val="00C43D51"/>
    <w:rsid w:val="00C64762"/>
    <w:rsid w:val="00C92199"/>
    <w:rsid w:val="00C93C10"/>
    <w:rsid w:val="00C93E46"/>
    <w:rsid w:val="00CA5AE5"/>
    <w:rsid w:val="00CC4990"/>
    <w:rsid w:val="00CC5072"/>
    <w:rsid w:val="00CD1715"/>
    <w:rsid w:val="00CD1D6C"/>
    <w:rsid w:val="00D00BF1"/>
    <w:rsid w:val="00D0488B"/>
    <w:rsid w:val="00D05656"/>
    <w:rsid w:val="00D123D0"/>
    <w:rsid w:val="00D9751A"/>
    <w:rsid w:val="00DC021F"/>
    <w:rsid w:val="00DC5A78"/>
    <w:rsid w:val="00DC61C9"/>
    <w:rsid w:val="00DD3E9E"/>
    <w:rsid w:val="00E1033C"/>
    <w:rsid w:val="00E207A4"/>
    <w:rsid w:val="00E268A4"/>
    <w:rsid w:val="00E47A22"/>
    <w:rsid w:val="00E673DA"/>
    <w:rsid w:val="00EA5757"/>
    <w:rsid w:val="00EC3B55"/>
    <w:rsid w:val="00EC5871"/>
    <w:rsid w:val="00EE3172"/>
    <w:rsid w:val="00EE35DF"/>
    <w:rsid w:val="00EE5D41"/>
    <w:rsid w:val="00F05A34"/>
    <w:rsid w:val="00F15ACF"/>
    <w:rsid w:val="00F318D0"/>
    <w:rsid w:val="00FA0A43"/>
    <w:rsid w:val="00FC022B"/>
    <w:rsid w:val="00FF56D8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EA9FE044-180C-4B34-AEFE-C85D798C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1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240B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24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240BE"/>
    <w:rPr>
      <w:rFonts w:ascii="Calibri" w:eastAsia="宋体" w:hAnsi="Calibri" w:cs="Times New Roman"/>
      <w:sz w:val="18"/>
      <w:szCs w:val="18"/>
    </w:rPr>
  </w:style>
  <w:style w:type="character" w:styleId="a7">
    <w:name w:val="Strong"/>
    <w:basedOn w:val="a0"/>
    <w:uiPriority w:val="22"/>
    <w:qFormat/>
    <w:rsid w:val="00D05656"/>
    <w:rPr>
      <w:b/>
      <w:bCs/>
    </w:rPr>
  </w:style>
  <w:style w:type="character" w:styleId="a8">
    <w:name w:val="Hyperlink"/>
    <w:basedOn w:val="a0"/>
    <w:uiPriority w:val="99"/>
    <w:semiHidden/>
    <w:unhideWhenUsed/>
    <w:rsid w:val="00D05656"/>
    <w:rPr>
      <w:color w:val="0000FF"/>
      <w:u w:val="single"/>
    </w:rPr>
  </w:style>
  <w:style w:type="character" w:customStyle="1" w:styleId="skip">
    <w:name w:val="skip"/>
    <w:basedOn w:val="a0"/>
    <w:rsid w:val="00C93C10"/>
  </w:style>
  <w:style w:type="paragraph" w:styleId="a9">
    <w:name w:val="Normal (Web)"/>
    <w:basedOn w:val="a"/>
    <w:uiPriority w:val="99"/>
    <w:semiHidden/>
    <w:unhideWhenUsed/>
    <w:rsid w:val="00014C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wangxf</dc:creator>
  <cp:lastModifiedBy>雪飞 王</cp:lastModifiedBy>
  <cp:revision>5</cp:revision>
  <dcterms:created xsi:type="dcterms:W3CDTF">2019-03-27T09:06:00Z</dcterms:created>
  <dcterms:modified xsi:type="dcterms:W3CDTF">2019-03-27T09:09:00Z</dcterms:modified>
</cp:coreProperties>
</file>