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3462" w:rsidRDefault="00793462" w:rsidP="00793462">
      <w:pPr>
        <w:spacing w:beforeLines="50" w:before="120" w:afterLines="50" w:after="120"/>
        <w:rPr>
          <w:rFonts w:ascii="Arial" w:hAnsi="Arial" w:cs="Arial"/>
          <w:szCs w:val="21"/>
        </w:rPr>
      </w:pPr>
      <w:r>
        <w:rPr>
          <w:noProof/>
          <w:lang w:eastAsia="en-PH"/>
        </w:rPr>
        <w:drawing>
          <wp:anchor distT="0" distB="0" distL="114300" distR="114300" simplePos="0" relativeHeight="251659264" behindDoc="0" locked="0" layoutInCell="1" allowOverlap="1" wp14:anchorId="5B348160" wp14:editId="08543990">
            <wp:simplePos x="0" y="0"/>
            <wp:positionH relativeFrom="column">
              <wp:posOffset>-1010285</wp:posOffset>
            </wp:positionH>
            <wp:positionV relativeFrom="paragraph">
              <wp:posOffset>57150</wp:posOffset>
            </wp:positionV>
            <wp:extent cx="7331710" cy="3743325"/>
            <wp:effectExtent l="0" t="0" r="2540" b="9525"/>
            <wp:wrapTopAndBottom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490"/>
                    <a:stretch/>
                  </pic:blipFill>
                  <pic:spPr bwMode="auto">
                    <a:xfrm>
                      <a:off x="0" y="0"/>
                      <a:ext cx="7331710" cy="374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A7EBD">
        <w:rPr>
          <w:rFonts w:ascii="Arial" w:hAnsi="Arial" w:cs="Arial" w:hint="eastAsia"/>
          <w:b/>
          <w:bCs/>
          <w:color w:val="000000" w:themeColor="text1"/>
          <w:szCs w:val="21"/>
        </w:rPr>
        <w:t>Figure</w:t>
      </w:r>
      <w:r w:rsidRPr="009A7EBD">
        <w:rPr>
          <w:rFonts w:ascii="Arial" w:hAnsi="Arial" w:cs="Arial"/>
          <w:b/>
          <w:bCs/>
          <w:color w:val="000000" w:themeColor="text1"/>
          <w:szCs w:val="21"/>
        </w:rPr>
        <w:t xml:space="preserve"> </w:t>
      </w:r>
      <w:r w:rsidRPr="009A7EBD">
        <w:rPr>
          <w:rFonts w:ascii="Arial" w:hAnsi="Arial" w:cs="Arial" w:hint="eastAsia"/>
          <w:b/>
          <w:bCs/>
          <w:color w:val="000000" w:themeColor="text1"/>
          <w:szCs w:val="21"/>
        </w:rPr>
        <w:t>S</w:t>
      </w:r>
      <w:r>
        <w:rPr>
          <w:rFonts w:ascii="Arial" w:hAnsi="Arial" w:cs="Arial"/>
          <w:b/>
          <w:bCs/>
          <w:color w:val="000000" w:themeColor="text1"/>
          <w:szCs w:val="21"/>
        </w:rPr>
        <w:t>3</w:t>
      </w:r>
      <w:r w:rsidRPr="009A7EBD">
        <w:rPr>
          <w:rFonts w:ascii="Arial" w:hAnsi="Arial" w:cs="Arial"/>
          <w:b/>
          <w:bCs/>
          <w:color w:val="000000" w:themeColor="text1"/>
          <w:szCs w:val="21"/>
        </w:rPr>
        <w:t>.</w:t>
      </w:r>
      <w:r>
        <w:rPr>
          <w:rFonts w:ascii="Arial" w:hAnsi="Arial" w:cs="Arial"/>
          <w:b/>
          <w:bCs/>
          <w:color w:val="000000" w:themeColor="text1"/>
          <w:szCs w:val="21"/>
        </w:rPr>
        <w:t xml:space="preserve"> ALKBH5 inhibits cell growth, migration and EMT by regulation of YAP</w:t>
      </w:r>
    </w:p>
    <w:p w:rsidR="00793462" w:rsidRDefault="00793462" w:rsidP="00793462">
      <w:pPr>
        <w:spacing w:before="50" w:after="50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>A549 a</w:t>
      </w:r>
      <w:bookmarkStart w:id="0" w:name="_GoBack"/>
      <w:bookmarkEnd w:id="0"/>
      <w:r>
        <w:rPr>
          <w:rFonts w:ascii="Arial" w:hAnsi="Arial" w:cs="Arial"/>
          <w:szCs w:val="21"/>
        </w:rPr>
        <w:t>nd H1299 cells were transfected with indicated genes of ALKBH5</w:t>
      </w:r>
      <w:r w:rsidRPr="00E82F59">
        <w:rPr>
          <w:rFonts w:ascii="Arial" w:hAnsi="Arial" w:cs="Arial"/>
          <w:szCs w:val="21"/>
        </w:rPr>
        <w:t xml:space="preserve"> </w:t>
      </w:r>
      <w:r>
        <w:rPr>
          <w:rFonts w:ascii="Arial" w:hAnsi="Arial" w:cs="Arial"/>
          <w:szCs w:val="21"/>
        </w:rPr>
        <w:t>and</w:t>
      </w:r>
      <w:r w:rsidRPr="00E82F59">
        <w:rPr>
          <w:rFonts w:ascii="Arial" w:hAnsi="Arial" w:cs="Arial"/>
          <w:szCs w:val="21"/>
        </w:rPr>
        <w:t xml:space="preserve"> </w:t>
      </w:r>
      <w:r>
        <w:rPr>
          <w:rFonts w:ascii="Arial" w:hAnsi="Arial" w:cs="Arial"/>
          <w:szCs w:val="21"/>
        </w:rPr>
        <w:t>YAP, respectively.</w:t>
      </w:r>
      <w:r w:rsidRPr="00EE1CEA">
        <w:rPr>
          <w:rFonts w:ascii="Arial" w:hAnsi="Arial" w:cs="Arial" w:hint="eastAsia"/>
          <w:szCs w:val="21"/>
        </w:rPr>
        <w:t xml:space="preserve"> </w:t>
      </w:r>
      <w:r>
        <w:rPr>
          <w:rFonts w:ascii="Arial" w:hAnsi="Arial" w:cs="Arial"/>
          <w:szCs w:val="21"/>
        </w:rPr>
        <w:t>(</w:t>
      </w:r>
      <w:r w:rsidRPr="00411982">
        <w:rPr>
          <w:rFonts w:ascii="Arial" w:hAnsi="Arial" w:cs="Arial"/>
          <w:b/>
          <w:bCs/>
          <w:szCs w:val="21"/>
        </w:rPr>
        <w:t>a</w:t>
      </w:r>
      <w:r>
        <w:rPr>
          <w:rFonts w:ascii="Arial" w:hAnsi="Arial" w:cs="Arial"/>
          <w:szCs w:val="21"/>
        </w:rPr>
        <w:t xml:space="preserve">) The mRNA levels of ALKBH5 and YAP were </w:t>
      </w:r>
      <w:r w:rsidRPr="00D16043">
        <w:rPr>
          <w:rFonts w:ascii="Arial" w:hAnsi="Arial" w:cs="Arial"/>
          <w:szCs w:val="21"/>
        </w:rPr>
        <w:t>analyzed by</w:t>
      </w:r>
      <w:r>
        <w:rPr>
          <w:rFonts w:ascii="Arial" w:hAnsi="Arial" w:cs="Arial"/>
          <w:szCs w:val="21"/>
        </w:rPr>
        <w:t xml:space="preserve"> qPCR assay. (</w:t>
      </w:r>
      <w:r w:rsidRPr="00411982">
        <w:rPr>
          <w:rFonts w:ascii="Arial" w:hAnsi="Arial" w:cs="Arial"/>
          <w:b/>
          <w:bCs/>
          <w:szCs w:val="21"/>
        </w:rPr>
        <w:t>b</w:t>
      </w:r>
      <w:r>
        <w:rPr>
          <w:rFonts w:ascii="Arial" w:hAnsi="Arial" w:cs="Arial"/>
          <w:szCs w:val="21"/>
        </w:rPr>
        <w:t xml:space="preserve">) The cellular viability was </w:t>
      </w:r>
      <w:r w:rsidRPr="00D16043">
        <w:rPr>
          <w:rFonts w:ascii="Arial" w:hAnsi="Arial" w:cs="Arial"/>
          <w:szCs w:val="21"/>
        </w:rPr>
        <w:t>analyzed by</w:t>
      </w:r>
      <w:r>
        <w:rPr>
          <w:rFonts w:ascii="Arial" w:hAnsi="Arial" w:cs="Arial"/>
          <w:szCs w:val="21"/>
        </w:rPr>
        <w:t xml:space="preserve"> CCK8 assay. (</w:t>
      </w:r>
      <w:r w:rsidRPr="00411982">
        <w:rPr>
          <w:rFonts w:ascii="Arial" w:hAnsi="Arial" w:cs="Arial"/>
          <w:b/>
          <w:bCs/>
          <w:szCs w:val="21"/>
        </w:rPr>
        <w:t>c</w:t>
      </w:r>
      <w:r>
        <w:rPr>
          <w:rFonts w:ascii="Arial" w:hAnsi="Arial" w:cs="Arial"/>
          <w:szCs w:val="21"/>
        </w:rPr>
        <w:t>)</w:t>
      </w:r>
      <w:r w:rsidDel="001A5B8C">
        <w:rPr>
          <w:rFonts w:ascii="Arial" w:hAnsi="Arial" w:cs="Arial"/>
          <w:szCs w:val="21"/>
        </w:rPr>
        <w:t xml:space="preserve"> </w:t>
      </w:r>
      <w:r w:rsidRPr="002F0F94">
        <w:rPr>
          <w:rFonts w:ascii="Arial" w:hAnsi="Arial" w:cs="Arial"/>
          <w:szCs w:val="21"/>
        </w:rPr>
        <w:t>Colony formation ability was analyzed by colony formation assay.</w:t>
      </w:r>
      <w:r>
        <w:rPr>
          <w:rFonts w:ascii="Arial" w:hAnsi="Arial" w:cs="Arial"/>
          <w:szCs w:val="21"/>
        </w:rPr>
        <w:t xml:space="preserve"> (</w:t>
      </w:r>
      <w:r w:rsidRPr="00411982">
        <w:rPr>
          <w:rFonts w:ascii="Arial" w:hAnsi="Arial" w:cs="Arial"/>
          <w:b/>
          <w:bCs/>
          <w:szCs w:val="21"/>
        </w:rPr>
        <w:t>d</w:t>
      </w:r>
      <w:r>
        <w:rPr>
          <w:rFonts w:ascii="Arial" w:hAnsi="Arial" w:cs="Arial"/>
          <w:szCs w:val="21"/>
        </w:rPr>
        <w:t xml:space="preserve">) </w:t>
      </w:r>
      <w:r w:rsidRPr="00B94A02">
        <w:rPr>
          <w:rFonts w:ascii="Arial" w:hAnsi="Arial" w:cs="Arial"/>
          <w:szCs w:val="21"/>
        </w:rPr>
        <w:t>The</w:t>
      </w:r>
      <w:r>
        <w:rPr>
          <w:rFonts w:ascii="Arial" w:hAnsi="Arial" w:cs="Arial"/>
          <w:szCs w:val="21"/>
        </w:rPr>
        <w:t xml:space="preserve"> cellular </w:t>
      </w:r>
      <w:r w:rsidRPr="00B94A02">
        <w:rPr>
          <w:rFonts w:ascii="Arial" w:hAnsi="Arial" w:cs="Arial"/>
          <w:szCs w:val="21"/>
        </w:rPr>
        <w:t>migration</w:t>
      </w:r>
      <w:r>
        <w:rPr>
          <w:rFonts w:ascii="Arial" w:hAnsi="Arial" w:cs="Arial"/>
          <w:szCs w:val="21"/>
        </w:rPr>
        <w:t xml:space="preserve"> growth</w:t>
      </w:r>
      <w:r w:rsidRPr="00B94A02">
        <w:rPr>
          <w:rFonts w:ascii="Arial" w:hAnsi="Arial" w:cs="Arial"/>
          <w:szCs w:val="21"/>
        </w:rPr>
        <w:t xml:space="preserve"> </w:t>
      </w:r>
      <w:r>
        <w:rPr>
          <w:rFonts w:ascii="Arial" w:hAnsi="Arial" w:cs="Arial"/>
          <w:szCs w:val="21"/>
        </w:rPr>
        <w:t xml:space="preserve">was </w:t>
      </w:r>
      <w:r w:rsidRPr="00B94A02">
        <w:rPr>
          <w:rFonts w:ascii="Arial" w:hAnsi="Arial" w:cs="Arial"/>
          <w:szCs w:val="21"/>
        </w:rPr>
        <w:t>analyzed by scratch assay</w:t>
      </w:r>
      <w:r>
        <w:rPr>
          <w:rFonts w:ascii="Arial" w:hAnsi="Arial" w:cs="Arial"/>
          <w:szCs w:val="21"/>
        </w:rPr>
        <w:t>. (</w:t>
      </w:r>
      <w:r w:rsidRPr="00411982">
        <w:rPr>
          <w:rFonts w:ascii="Arial" w:hAnsi="Arial" w:cs="Arial"/>
          <w:b/>
          <w:bCs/>
          <w:szCs w:val="21"/>
        </w:rPr>
        <w:t>e</w:t>
      </w:r>
      <w:r>
        <w:rPr>
          <w:rFonts w:ascii="Arial" w:hAnsi="Arial" w:cs="Arial"/>
          <w:szCs w:val="21"/>
        </w:rPr>
        <w:t xml:space="preserve">) The mRNA levels of E-cadherin and Vimentin were </w:t>
      </w:r>
      <w:r w:rsidRPr="00D16043">
        <w:rPr>
          <w:rFonts w:ascii="Arial" w:hAnsi="Arial" w:cs="Arial"/>
          <w:szCs w:val="21"/>
        </w:rPr>
        <w:t>analyzed by</w:t>
      </w:r>
      <w:r>
        <w:rPr>
          <w:rFonts w:ascii="Arial" w:hAnsi="Arial" w:cs="Arial"/>
          <w:szCs w:val="21"/>
        </w:rPr>
        <w:t xml:space="preserve"> qPCR assay. </w:t>
      </w:r>
      <w:r w:rsidRPr="002E5163">
        <w:rPr>
          <w:rFonts w:ascii="Arial" w:hAnsi="Arial" w:cs="Arial"/>
          <w:szCs w:val="21"/>
        </w:rPr>
        <w:t>Results were presented as mean ± SD of three independent experiments.</w:t>
      </w:r>
      <w:r>
        <w:rPr>
          <w:rFonts w:ascii="Arial" w:hAnsi="Arial" w:cs="Arial"/>
          <w:szCs w:val="21"/>
        </w:rPr>
        <w:t xml:space="preserve"> </w:t>
      </w:r>
      <w:r w:rsidRPr="00D167F2">
        <w:rPr>
          <w:rFonts w:ascii="Arial" w:hAnsi="Arial" w:cs="Arial"/>
          <w:i/>
          <w:iCs/>
          <w:szCs w:val="21"/>
        </w:rPr>
        <w:t>*P</w:t>
      </w:r>
      <w:r w:rsidRPr="00D167F2">
        <w:rPr>
          <w:rFonts w:ascii="Arial" w:hAnsi="Arial" w:cs="Arial"/>
          <w:szCs w:val="21"/>
        </w:rPr>
        <w:t xml:space="preserve"> &lt; 0.05 or </w:t>
      </w:r>
      <w:r w:rsidRPr="00D167F2">
        <w:rPr>
          <w:rFonts w:ascii="Arial" w:hAnsi="Arial" w:cs="Arial"/>
          <w:i/>
          <w:iCs/>
          <w:szCs w:val="21"/>
        </w:rPr>
        <w:t xml:space="preserve">**P </w:t>
      </w:r>
      <w:r w:rsidRPr="00D167F2">
        <w:rPr>
          <w:rFonts w:ascii="Arial" w:hAnsi="Arial" w:cs="Arial"/>
          <w:szCs w:val="21"/>
        </w:rPr>
        <w:t>&lt; 0.01 indicates a significant difference between the indicated groups.</w:t>
      </w:r>
    </w:p>
    <w:p w:rsidR="00C74947" w:rsidRPr="00793462" w:rsidRDefault="00C74947" w:rsidP="00793462"/>
    <w:sectPr w:rsidR="00C74947" w:rsidRPr="0079346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947"/>
    <w:rsid w:val="0013523E"/>
    <w:rsid w:val="00141238"/>
    <w:rsid w:val="00793462"/>
    <w:rsid w:val="00C74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558</Characters>
  <Application>Microsoft Office Word</Application>
  <DocSecurity>0</DocSecurity>
  <Lines>9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GBARBA</dc:creator>
  <cp:lastModifiedBy>GBARBA</cp:lastModifiedBy>
  <cp:revision>2</cp:revision>
  <dcterms:created xsi:type="dcterms:W3CDTF">2020-02-15T16:35:00Z</dcterms:created>
  <dcterms:modified xsi:type="dcterms:W3CDTF">2020-02-15T16:35:00Z</dcterms:modified>
</cp:coreProperties>
</file>