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6AE32" w14:textId="54C21097" w:rsidR="00B90E27" w:rsidRDefault="007876B7" w:rsidP="007876B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="00DF3639">
        <w:rPr>
          <w:rFonts w:ascii="Times New Roman" w:hAnsi="Times New Roman" w:cs="Times New Roman" w:hint="eastAsia"/>
          <w:b/>
          <w:sz w:val="24"/>
          <w:szCs w:val="24"/>
        </w:rPr>
        <w:t xml:space="preserve"> Methods</w:t>
      </w:r>
    </w:p>
    <w:p w14:paraId="2F951B85" w14:textId="60EB3127" w:rsidR="00DF3639" w:rsidRPr="00391BD7" w:rsidRDefault="00724EA1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1"/>
        </w:rPr>
        <w:t>Cell</w:t>
      </w:r>
      <w:r w:rsidR="00DF3639"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 xml:space="preserve"> culture</w:t>
      </w:r>
    </w:p>
    <w:p w14:paraId="064D8148" w14:textId="39C98FA4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>The human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gastric cancer cell 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>line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MGC803 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>was obtained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Cell Bank of the Chinese Academy of Sciences (Shanghai, China) and cultured in RPMI-1640 (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Gibco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, Grand Island, NY, USA) medium containing 10% fetal bovine serum (FBS</w:t>
      </w:r>
      <w:bookmarkStart w:id="0" w:name="OLE_LINK9"/>
      <w:bookmarkStart w:id="1" w:name="OLE_LINK10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0"/>
      <w:bookmarkEnd w:id="1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(PAA Laboratories, Inc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>.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Pasching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Austria) 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with 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5% CO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>37°C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bookmarkStart w:id="2" w:name="OLE_LINK36"/>
      <w:bookmarkStart w:id="3" w:name="OLE_LINK37"/>
      <w:r>
        <w:rPr>
          <w:rFonts w:ascii="Times New Roman" w:hAnsi="Times New Roman" w:cs="Times New Roman"/>
          <w:color w:val="000000" w:themeColor="text1"/>
          <w:sz w:val="24"/>
          <w:szCs w:val="24"/>
        </w:rPr>
        <w:t>Primary gastric cancer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originate from fresh tissues of gastric cancer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 obtained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surgery at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Nanfang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Hospital.</w:t>
      </w:r>
      <w:bookmarkEnd w:id="2"/>
      <w:bookmarkEnd w:id="3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samples are cut into small pieces and digested, they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dissociated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single cell 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>suspensions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cultured in culture flasks. Primary gastric cancer cells were cultured with trypsin and purified manually. </w:t>
      </w:r>
    </w:p>
    <w:p w14:paraId="666550F7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Overexpression and RNA interference</w:t>
      </w:r>
    </w:p>
    <w:p w14:paraId="57DFFB35" w14:textId="313909F3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Plasmids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expressing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CRNDE,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shCRNDE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, SRSF6</w:t>
      </w:r>
      <w:r w:rsidR="00724EA1" w:rsidRPr="00724EA1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</w:t>
      </w:r>
      <w:r w:rsidR="00724EA1">
        <w:rPr>
          <w:rFonts w:ascii="Times New Roman" w:hAnsi="Times New Roman" w:cs="Times New Roman"/>
          <w:color w:val="000000" w:themeColor="text1"/>
          <w:sz w:val="24"/>
          <w:szCs w:val="21"/>
        </w:rPr>
        <w:t>and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shSRSF6 and all siRNA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oligos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were purchased from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GenePharma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(Suzhou, China).</w:t>
      </w:r>
      <w:r w:rsidRPr="00391BD7">
        <w:rPr>
          <w:rFonts w:ascii="Times New Roman" w:hAnsi="Times New Roman" w:cs="Times New Roman"/>
          <w:sz w:val="24"/>
        </w:rPr>
        <w:t xml:space="preserve"> 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GC cells at exponential growth phase were plated into 6-well plates for 24 hours at a density of 0.5 × 10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cells/m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transfected with 1 mg of siRNA or 4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cDNA using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Lipofectamine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2000 reagent for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24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1BD7">
        <w:rPr>
          <w:rFonts w:ascii="Times New Roman" w:eastAsia="等线" w:hAnsi="Times New Roman" w:cs="Times New Roman"/>
          <w:color w:val="000000"/>
          <w:sz w:val="24"/>
          <w:szCs w:val="24"/>
        </w:rPr>
        <w:t>h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(Invitrogen; Carlsbad,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</w:t>
      </w:r>
      <w:r w:rsidRPr="00391BD7">
        <w:rPr>
          <w:rFonts w:ascii="Times New Roman" w:hAnsi="Times New Roman" w:cs="Times New Roman"/>
          <w:color w:val="000000" w:themeColor="text1"/>
          <w:sz w:val="24"/>
          <w:szCs w:val="24"/>
        </w:rPr>
        <w:t>, USA) in reduced serum medium (OPTI-MEM-I; Invitrogen) according to the manufacturer's protocol.</w:t>
      </w:r>
    </w:p>
    <w:p w14:paraId="46B4F42C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Lentivirus infection and establishment of stable cell lines</w:t>
      </w:r>
    </w:p>
    <w:p w14:paraId="2708269C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LV-GFP-RFP-LC3,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shCRNDE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shSRSF6 and control vector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shNC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were purchased from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GenePharma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</w:t>
      </w:r>
      <w:bookmarkStart w:id="4" w:name="OLE_LINK26"/>
      <w:bookmarkStart w:id="5" w:name="OLE_LINK27"/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GenePharma</w:t>
      </w:r>
      <w:bookmarkEnd w:id="4"/>
      <w:bookmarkEnd w:id="5"/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Suzhou, China). Lentiviral particles were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used to infect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MGC803 or OXA/R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and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5-FUR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/R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cells to establish stable cell lines using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puromycin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as a selection marker.</w:t>
      </w:r>
    </w:p>
    <w:p w14:paraId="7EBDF45A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lastRenderedPageBreak/>
        <w:t xml:space="preserve">Tumor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t</w:t>
      </w: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 xml:space="preserve">issue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s</w:t>
      </w: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amples</w:t>
      </w:r>
    </w:p>
    <w:p w14:paraId="58541E0D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Fresh primary gastric cancer tissues were collected from the Department of Gastrointestinal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Surgery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of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Nanfang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Hospital. All specimens were frozen in liquid nitrogen.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P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araffin-embedded tissues were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obtained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from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Nanfang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Hospital as well.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Clinicopathological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information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,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including age, sex, pathological stage and TNM stage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, was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well recorded. This study was approved by the Ethics Committee of Southern Medical University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,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and all aspects of the study followed the Helsinki Declaration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guidelines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.</w:t>
      </w:r>
    </w:p>
    <w:p w14:paraId="2E11AE38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 xml:space="preserve">Establishment of the PDX </w:t>
      </w:r>
      <w:bookmarkStart w:id="6" w:name="_Hlk42691008"/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model</w:t>
      </w:r>
      <w:bookmarkEnd w:id="6"/>
    </w:p>
    <w:p w14:paraId="7755577B" w14:textId="696EFBA4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Four-week-old NOD/SCID female mice were purchased from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GemPharmatech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Co., Ltd., Jiangsu, </w:t>
      </w:r>
      <w:proofErr w:type="gram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China</w:t>
      </w:r>
      <w:proofErr w:type="gram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The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PDX mode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l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w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as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established as previously described. Fresh tumor tissue was cut into small pieces of ~1 mm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3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and subcutaneously transplanted into the fat pad under the forearm of mice after deep anesthesia induced by isoflurane. After reaching the third generation, when the tumor size reached 50~100 mm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3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the mice were randomly divided into three groups.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Oxaliplatin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and 5-FU were injected intraperitoneally every 3 days. The mice were sacrificed 24 days after the treatment or when the tumor volume reached 1500 mm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3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. The researchers were blin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ded to group allocation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in their assessment of the results. All clinical samples were collected after informed consent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was obtained from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the corresponding patients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,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and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the study was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approved by the ethics committee of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Nanfang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Hospital (Guangzhou, China). All animal experiments involved were conducted under protocols approved by the Southern Medical University Animal Care and Use Committee.</w:t>
      </w:r>
    </w:p>
    <w:p w14:paraId="200A1248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lastRenderedPageBreak/>
        <w:t>Western blot assay</w:t>
      </w:r>
    </w:p>
    <w:p w14:paraId="3D6C0CBA" w14:textId="68922C3A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Proteins were extracted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by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lysis buffer and quantified by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a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BCA Protein Quantification Kit (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KeyGen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Biotech, Nanjing, China). The protein lysate was separated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by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10% SDS-PAGE and transferred to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a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PVDF membrane (Roche). Subsequently, the membranes were incubated with specific primary antibodies and corresponding secondary antibodies. The intensity of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the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protein bands was determined by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a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Gel-pro analyzer. The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densitometry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value of the protein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was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analyzed by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ImageJ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software. Antibodies against LC3B</w:t>
      </w:r>
      <w:r w:rsidRPr="00391BD7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(</w:t>
      </w:r>
      <w:bookmarkStart w:id="7" w:name="OLE_LINK18"/>
      <w:bookmarkStart w:id="8" w:name="OLE_LINK19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NB100-2220</w:t>
      </w:r>
      <w:bookmarkEnd w:id="7"/>
      <w:bookmarkEnd w:id="8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; 1:1000; Novus Biologicals, CO, USA), P62 (18420-1-AP; 1:1000; </w:t>
      </w:r>
      <w:bookmarkStart w:id="9" w:name="OLE_LINK22"/>
      <w:bookmarkStart w:id="10" w:name="OLE_LINK23"/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Proteintech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, IL, USA</w:t>
      </w:r>
      <w:bookmarkEnd w:id="9"/>
      <w:bookmarkEnd w:id="10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), GAPDH</w:t>
      </w:r>
      <w:r w:rsidRPr="00391BD7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(60004-1-Ig; 1:1000;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Proteintech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IL, USA), </w:t>
      </w:r>
      <w:bookmarkStart w:id="11" w:name="OLE_LINK40"/>
      <w:bookmarkStart w:id="12" w:name="OLE_LINK41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SRSF6 (</w:t>
      </w:r>
      <w:r w:rsidRPr="00180C2A">
        <w:rPr>
          <w:rFonts w:ascii="Times New Roman" w:hAnsi="Times New Roman" w:cs="Times New Roman"/>
          <w:color w:val="000000" w:themeColor="text1"/>
          <w:sz w:val="24"/>
          <w:szCs w:val="21"/>
        </w:rPr>
        <w:t>DF8824; 1:1000; Affinity Biosciences, OH, USA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bookmarkEnd w:id="11"/>
      <w:bookmarkEnd w:id="12"/>
      <w:r w:rsidR="00AA31E9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 and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β-tubulin (10068-1-AP; 1:500; </w:t>
      </w:r>
      <w:bookmarkStart w:id="13" w:name="OLE_LINK20"/>
      <w:bookmarkStart w:id="14" w:name="OLE_LINK21"/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Proteintech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, IL, USA</w:t>
      </w:r>
      <w:bookmarkEnd w:id="13"/>
      <w:bookmarkEnd w:id="14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) were used.</w:t>
      </w:r>
      <w:r w:rsidRPr="00391BD7">
        <w:t xml:space="preserve">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The experiments were replicated three times.</w:t>
      </w:r>
    </w:p>
    <w:p w14:paraId="75311ABA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RNA pull-down assay</w:t>
      </w:r>
    </w:p>
    <w:p w14:paraId="77DB45A2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CRNDE and its antisense RNA were transcribed with T7 RNA polymerase (Roche Diagnostics, USA), biotin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labeled with Biotin RNA Labeling Mix (Roche Diagnostics, USA), and treated with DNase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fldChar w:fldCharType="begin"/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instrText xml:space="preserve"> = 1 \* ROMAN </w:instrTex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fldChar w:fldCharType="separate"/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I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fldChar w:fldCharType="end"/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</w:t>
      </w:r>
      <w:r w:rsidRPr="00391BD7">
        <w:rPr>
          <w:rFonts w:ascii="Times New Roman" w:hAnsi="Times New Roman" w:cs="Times New Roman"/>
          <w:i/>
          <w:iCs/>
          <w:color w:val="000000" w:themeColor="text1"/>
          <w:sz w:val="24"/>
          <w:szCs w:val="21"/>
        </w:rPr>
        <w:t>in vitro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. A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total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of 50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pmol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biotinylated RNA was incubated with magnetic beads (Life Technologies, USA) and mixed with protein.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After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washing and elution, the retrieved proteins in the pull-down material were stained with silver after SDS-PAGE.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The corresponding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bands were excised and analyzed by mass spectrometry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by a company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Wininnovate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Bio, China). The experiments were replicated three times.</w:t>
      </w:r>
    </w:p>
    <w:p w14:paraId="320B3FA1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bookmarkStart w:id="15" w:name="_Hlk42775159"/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RNA immunoprecipitation</w:t>
      </w:r>
    </w:p>
    <w:bookmarkEnd w:id="15"/>
    <w:p w14:paraId="7494CCFD" w14:textId="77777777" w:rsidR="00DF3639" w:rsidRPr="00391BD7" w:rsidRDefault="00DF3639" w:rsidP="00DF363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lastRenderedPageBreak/>
        <w:t>RNA immunoprecipitation</w:t>
      </w:r>
      <w:r w:rsidRPr="00391BD7"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(RIP)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experiments were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performed with the Magna RIP RNA-Binding Protein Immunoprecipitation Kit (Millipore, MA) according to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the manufacturer’s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protocol. Anti-SRSF6 antibody (Novus Biologicals, USA; catalog no. NBP2-04142) was used for RIP detection of </w:t>
      </w:r>
      <w:proofErr w:type="spellStart"/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>coprecipitated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RNA. The RNA was amplified and detected by RT-PCR.</w:t>
      </w:r>
      <w:r w:rsidRPr="00391BD7">
        <w:t xml:space="preserve">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The experiments were replicated three times.</w:t>
      </w:r>
    </w:p>
    <w:p w14:paraId="4E562C11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Nude mouse tumor transplantation model</w:t>
      </w:r>
    </w:p>
    <w:p w14:paraId="5AE558CC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Four-week-old BALB / C nude mice were used for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oxaliplatin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and 5-FU treatment in vivo. The study was approved by the Animal Ethics Committee of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Nanfang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Hospital. </w:t>
      </w:r>
      <w:bookmarkStart w:id="16" w:name="OLE_LINK7"/>
      <w:bookmarkStart w:id="17" w:name="_Hlk42690018"/>
      <w:bookmarkStart w:id="18" w:name="OLE_LINK11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All animal experiments involved were conducted under protocols approved by the Southern Medical University Animal Care and Use Committee.</w:t>
      </w:r>
      <w:bookmarkEnd w:id="16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</w:t>
      </w:r>
      <w:bookmarkEnd w:id="17"/>
      <w:bookmarkEnd w:id="18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The corresponding cell suspension was subcutaneously injected into the right side of the nude mice (5</w:t>
      </w:r>
      <w:bookmarkStart w:id="19" w:name="OLE_LINK5"/>
      <w:bookmarkStart w:id="20" w:name="OLE_LINK6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×</w:t>
      </w:r>
      <w:bookmarkEnd w:id="19"/>
      <w:bookmarkEnd w:id="20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10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6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tumor cells/100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μl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PBS per point). The tumor volume was measured with digital caliper and calculated according to the formula: the maximum diameter (L) × minimum tumor diameter (W</w:t>
      </w:r>
      <w:proofErr w:type="gram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)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2</w:t>
      </w:r>
      <w:proofErr w:type="gram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/2. When the tumor volume reached 50-100 mm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3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, the mice were randomly divided into control group and treatment group. </w:t>
      </w:r>
      <w:bookmarkStart w:id="21" w:name="_Hlk42682085"/>
      <w:bookmarkStart w:id="22" w:name="OLE_LINK8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The dose of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oxaliplatin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was 10mg/kg mice, and 5-FU 50mg/kg mice were injected intraperitoneally every 3 days.</w:t>
      </w:r>
      <w:bookmarkEnd w:id="21"/>
      <w:bookmarkEnd w:id="22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After 3 weeks of treatment, the mice were sacrificed, and the tumor tissue was dissected, fixed with 10% neutral formaldehyde, and embedded in paraffin for further study.</w:t>
      </w:r>
    </w:p>
    <w:p w14:paraId="2F676543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bookmarkStart w:id="23" w:name="OLE_LINK33"/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Real-time PCR</w:t>
      </w:r>
      <w:r w:rsidRPr="00BF343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1"/>
        </w:rPr>
        <w:t xml:space="preserve"> </w:t>
      </w:r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(RT-PCR)</w:t>
      </w:r>
    </w:p>
    <w:bookmarkEnd w:id="23"/>
    <w:p w14:paraId="2CA4861F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Total RNA was extracted from patient tissues or cultured cells using the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Trizol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method. Reverse Transcription of RNA to cDNA with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PrimerScript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TM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RT Master Mix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lastRenderedPageBreak/>
        <w:t xml:space="preserve">(RR036A, </w:t>
      </w:r>
      <w:bookmarkStart w:id="24" w:name="OLE_LINK34"/>
      <w:bookmarkStart w:id="25" w:name="OLE_LINK35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Takara</w:t>
      </w:r>
      <w:bookmarkEnd w:id="24"/>
      <w:bookmarkEnd w:id="25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, Dalian, China), RT-PCR was performed using TB Green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®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Premix Ex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Taq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TM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(RR420A, Takara,</w:t>
      </w:r>
      <w:r w:rsidRPr="00BF343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Dalian, China) according to the instructions. The experiments were replicated for three times.</w:t>
      </w:r>
    </w:p>
    <w:p w14:paraId="3EBA1161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Fluorescent confocal microscopy</w:t>
      </w:r>
    </w:p>
    <w:p w14:paraId="03397FF9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OXA/R, 5-FU/R and parental cell MGC803 stably expressing tandem mCherryEGFP-LC3 were seeded and grown in confocal dishes and photographed under confocal microscopy (LSM880,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Cari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Zeiss, Jena, Germany) 24 hours later.</w:t>
      </w:r>
      <w:r w:rsidRPr="00BF343E">
        <w:t xml:space="preserve">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The experiments were replicated for three times.</w:t>
      </w:r>
    </w:p>
    <w:p w14:paraId="4FEF1CBE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CCK8 assays</w:t>
      </w:r>
    </w:p>
    <w:p w14:paraId="232E8217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Cells were implanted into 96-well plates at a density of 1×10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  <w:vertAlign w:val="superscript"/>
        </w:rPr>
        <w:t>5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/100</w:t>
      </w:r>
      <w:bookmarkStart w:id="26" w:name="OLE_LINK38"/>
      <w:bookmarkStart w:id="27" w:name="OLE_LINK39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μl</w:t>
      </w:r>
      <w:bookmarkEnd w:id="26"/>
      <w:bookmarkEnd w:id="27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and incubated for 12 hours.</w:t>
      </w:r>
      <w:r w:rsidRPr="00BF343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10μl /well was added to CCK8 reagent</w:t>
      </w:r>
      <w:r w:rsidRPr="00BF343E">
        <w:rPr>
          <w:color w:val="000000" w:themeColor="text1"/>
          <w:sz w:val="24"/>
          <w:szCs w:val="21"/>
        </w:rPr>
        <w:t xml:space="preserve">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(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Dojindo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, Japan, CK04) and incubated for 2 hours.</w:t>
      </w:r>
      <w:r w:rsidRPr="00BF343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The absorbance was recoded at 450 nm and calculated the number of viable cells.</w:t>
      </w:r>
      <w:r w:rsidRPr="00BF343E">
        <w:t xml:space="preserve">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The experiments were replicated for three times.</w:t>
      </w:r>
    </w:p>
    <w:p w14:paraId="2CA72730" w14:textId="77777777" w:rsidR="007876B7" w:rsidRPr="00BF343E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bookmarkStart w:id="28" w:name="OLE_LINK28"/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Transmission electron microscopy</w:t>
      </w:r>
    </w:p>
    <w:bookmarkEnd w:id="28"/>
    <w:p w14:paraId="696517FC" w14:textId="543B8631" w:rsidR="00A10C7B" w:rsidRDefault="007876B7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Cells were treated with 2.5% glutaraldehyde containing 0.1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mol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/l sodium </w:t>
      </w:r>
      <w:proofErr w:type="spellStart"/>
      <w:proofErr w:type="gram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cacodylate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,</w:t>
      </w:r>
      <w:proofErr w:type="gram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samples were incubated in 1% osmium tetroxide, dehydrated by increasing concentration gradients of ethanol and acetone. </w:t>
      </w:r>
      <w:proofErr w:type="gram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Then embedded in succinate, cut into 50 nm sections, and stained with 3% uranyl acetate and lead citrate.</w:t>
      </w:r>
      <w:proofErr w:type="gram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Images were obtained using JEM-1200 TEM (JEOL, Tokyo, Japan).</w:t>
      </w:r>
      <w:r w:rsidRPr="00BF343E">
        <w:t xml:space="preserve">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The experiments were replicated for three times.</w:t>
      </w:r>
    </w:p>
    <w:p w14:paraId="460F5B41" w14:textId="77777777" w:rsidR="00E53359" w:rsidRPr="00BF343E" w:rsidRDefault="00E53359" w:rsidP="00E5335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ISH and</w:t>
      </w:r>
      <w:r w:rsidRPr="00BF343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F343E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IHC staining</w:t>
      </w:r>
    </w:p>
    <w:p w14:paraId="466C5BED" w14:textId="3EFDCA63" w:rsidR="00E53359" w:rsidRPr="00E53359" w:rsidRDefault="00E53359" w:rsidP="007876B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In situ hybridization (ISH) and immunohistochemistry (IHC) staining were performed 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lastRenderedPageBreak/>
        <w:t>as previously described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 (</w:t>
      </w:r>
      <w:proofErr w:type="gramStart"/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Gao</w:t>
      </w:r>
      <w:proofErr w:type="gramEnd"/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 Q.</w:t>
      </w:r>
      <w:r w:rsidRPr="00E53359">
        <w:rPr>
          <w:rFonts w:ascii="Times New Roman" w:hAnsi="Times New Roman" w:cs="Times New Roman" w:hint="eastAsia"/>
          <w:i/>
          <w:color w:val="000000" w:themeColor="text1"/>
          <w:sz w:val="24"/>
          <w:szCs w:val="21"/>
        </w:rPr>
        <w:t xml:space="preserve"> et al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Oncogene 2020</w:t>
      </w:r>
      <w:r>
        <w:rPr>
          <w:rFonts w:ascii="Times New Roman" w:hAnsi="Times New Roman" w:cs="Times New Roman" w:hint="eastAsia"/>
          <w:color w:val="000000" w:themeColor="text1"/>
          <w:sz w:val="24"/>
          <w:szCs w:val="21"/>
        </w:rPr>
        <w:t>)</w:t>
      </w:r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. Scores were measured by three pathologists: 0 = no staining, 1 = weak staining, 2 = moderate staining, 3 = strong staining. For statistical reasons, the staining index score was divided into two groups: low expression group (0-1) and high expression group (2-3). CRNDE probes (1:1000, </w:t>
      </w:r>
      <w:proofErr w:type="spellStart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MssBio</w:t>
      </w:r>
      <w:proofErr w:type="spellEnd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>, Guangzhou, China)</w:t>
      </w:r>
      <w:bookmarkStart w:id="29" w:name="_GoBack"/>
      <w:bookmarkEnd w:id="29"/>
      <w:r w:rsidRPr="00BF343E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were used.</w:t>
      </w:r>
    </w:p>
    <w:p w14:paraId="213F73A4" w14:textId="77777777" w:rsidR="00491C32" w:rsidRPr="00391BD7" w:rsidRDefault="00491C32" w:rsidP="00491C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b/>
          <w:bCs/>
          <w:color w:val="000000" w:themeColor="text1"/>
          <w:sz w:val="24"/>
          <w:szCs w:val="21"/>
        </w:rPr>
        <w:t>Statistical analysis</w:t>
      </w:r>
    </w:p>
    <w:p w14:paraId="66561C80" w14:textId="32BF2158" w:rsidR="00A10C7B" w:rsidRPr="00BF343E" w:rsidRDefault="00491C32" w:rsidP="00A10C7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1"/>
        </w:rPr>
      </w:pP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Statistical analysis was carried out with SPSS 20.0 software. For normally distributed data, </w:t>
      </w:r>
      <w:r w:rsidRPr="00391BD7">
        <w:rPr>
          <w:rFonts w:ascii="Times New Roman" w:hAnsi="Times New Roman" w:cs="Times New Roman"/>
          <w:i/>
          <w:color w:val="000000" w:themeColor="text1"/>
          <w:sz w:val="24"/>
          <w:szCs w:val="21"/>
        </w:rPr>
        <w:t>t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-test or one-way ANOVA w</w:t>
      </w:r>
      <w:r>
        <w:rPr>
          <w:rFonts w:ascii="Times New Roman" w:hAnsi="Times New Roman" w:cs="Times New Roman"/>
          <w:color w:val="000000" w:themeColor="text1"/>
          <w:sz w:val="24"/>
          <w:szCs w:val="21"/>
        </w:rPr>
        <w:t>as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used for statistics. Data with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a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non-normal distribution were tested by </w:t>
      </w:r>
      <w:proofErr w:type="spellStart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Dunnett’s</w:t>
      </w:r>
      <w:proofErr w:type="spellEnd"/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 test. Survival analysis was performed by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the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Kaplan-Meier method and by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the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log-rank test.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A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 xml:space="preserve">P value &lt; 0.05 was </w:t>
      </w:r>
      <w:r w:rsidRPr="00391BD7">
        <w:rPr>
          <w:rFonts w:ascii="Times New Roman" w:eastAsia="等线" w:hAnsi="Times New Roman" w:cs="Times New Roman"/>
          <w:color w:val="000000"/>
          <w:sz w:val="24"/>
          <w:szCs w:val="21"/>
        </w:rPr>
        <w:t xml:space="preserve">considered </w:t>
      </w:r>
      <w:r w:rsidRPr="00391BD7">
        <w:rPr>
          <w:rFonts w:ascii="Times New Roman" w:hAnsi="Times New Roman" w:cs="Times New Roman"/>
          <w:color w:val="000000" w:themeColor="text1"/>
          <w:sz w:val="24"/>
          <w:szCs w:val="21"/>
        </w:rPr>
        <w:t>statistically significant.</w:t>
      </w:r>
    </w:p>
    <w:p w14:paraId="30FD1F82" w14:textId="28C0F172" w:rsidR="00B90E27" w:rsidRPr="00B90E27" w:rsidRDefault="00B90E27" w:rsidP="00AA31E9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90E27" w:rsidRPr="00B90E27" w:rsidSect="00724EA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FB6B8" w14:textId="77777777" w:rsidR="00836479" w:rsidRDefault="00836479" w:rsidP="00643D01">
      <w:r>
        <w:separator/>
      </w:r>
    </w:p>
  </w:endnote>
  <w:endnote w:type="continuationSeparator" w:id="0">
    <w:p w14:paraId="303C4C66" w14:textId="77777777" w:rsidR="00836479" w:rsidRDefault="00836479" w:rsidP="0064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5D613" w14:textId="77777777" w:rsidR="00836479" w:rsidRDefault="00836479" w:rsidP="00643D01">
      <w:r>
        <w:separator/>
      </w:r>
    </w:p>
  </w:footnote>
  <w:footnote w:type="continuationSeparator" w:id="0">
    <w:p w14:paraId="1B56E8FF" w14:textId="77777777" w:rsidR="00836479" w:rsidRDefault="00836479" w:rsidP="00643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astroenter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da9w02wtv2vxcesx0op2asgrs0wxxae509f&quot;&gt;CRNDE GC&lt;record-ids&gt;&lt;item&gt;151&lt;/item&gt;&lt;/record-ids&gt;&lt;/item&gt;&lt;/Libraries&gt;"/>
  </w:docVars>
  <w:rsids>
    <w:rsidRoot w:val="00F20C85"/>
    <w:rsid w:val="000038AD"/>
    <w:rsid w:val="00020ABA"/>
    <w:rsid w:val="000B0833"/>
    <w:rsid w:val="000D7C4E"/>
    <w:rsid w:val="0010136F"/>
    <w:rsid w:val="00105569"/>
    <w:rsid w:val="00110644"/>
    <w:rsid w:val="002409F7"/>
    <w:rsid w:val="002B0E1B"/>
    <w:rsid w:val="002E31AC"/>
    <w:rsid w:val="00365507"/>
    <w:rsid w:val="003B5A2D"/>
    <w:rsid w:val="00477F35"/>
    <w:rsid w:val="00491C32"/>
    <w:rsid w:val="004926FA"/>
    <w:rsid w:val="004B1D2D"/>
    <w:rsid w:val="005207A9"/>
    <w:rsid w:val="0056412B"/>
    <w:rsid w:val="00584C2A"/>
    <w:rsid w:val="005D10AA"/>
    <w:rsid w:val="005E1ABF"/>
    <w:rsid w:val="00601610"/>
    <w:rsid w:val="0063650A"/>
    <w:rsid w:val="00643D01"/>
    <w:rsid w:val="00724EA1"/>
    <w:rsid w:val="00785834"/>
    <w:rsid w:val="007876B7"/>
    <w:rsid w:val="007A1E4A"/>
    <w:rsid w:val="007B4415"/>
    <w:rsid w:val="00836479"/>
    <w:rsid w:val="008C1518"/>
    <w:rsid w:val="008F6876"/>
    <w:rsid w:val="00A10C7B"/>
    <w:rsid w:val="00A66C5D"/>
    <w:rsid w:val="00A84F84"/>
    <w:rsid w:val="00AA31E9"/>
    <w:rsid w:val="00AE4B96"/>
    <w:rsid w:val="00B90E27"/>
    <w:rsid w:val="00C51A6F"/>
    <w:rsid w:val="00C8562A"/>
    <w:rsid w:val="00CD3B1D"/>
    <w:rsid w:val="00D2151F"/>
    <w:rsid w:val="00D52C10"/>
    <w:rsid w:val="00D57126"/>
    <w:rsid w:val="00D72050"/>
    <w:rsid w:val="00DC54E9"/>
    <w:rsid w:val="00DC64A0"/>
    <w:rsid w:val="00DF3639"/>
    <w:rsid w:val="00E53359"/>
    <w:rsid w:val="00E811F6"/>
    <w:rsid w:val="00EA5AEF"/>
    <w:rsid w:val="00F0634A"/>
    <w:rsid w:val="00F20C85"/>
    <w:rsid w:val="00FC2E6C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BB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3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3D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3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3D01"/>
    <w:rPr>
      <w:sz w:val="18"/>
      <w:szCs w:val="18"/>
    </w:rPr>
  </w:style>
  <w:style w:type="table" w:styleId="a5">
    <w:name w:val="Table Grid"/>
    <w:basedOn w:val="a1"/>
    <w:uiPriority w:val="39"/>
    <w:rsid w:val="00643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5E1A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1ABF"/>
    <w:rPr>
      <w:sz w:val="18"/>
      <w:szCs w:val="18"/>
    </w:rPr>
  </w:style>
  <w:style w:type="table" w:styleId="-5">
    <w:name w:val="Light List Accent 5"/>
    <w:basedOn w:val="a1"/>
    <w:uiPriority w:val="61"/>
    <w:rsid w:val="007876B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a7">
    <w:name w:val="Hyperlink"/>
    <w:basedOn w:val="a0"/>
    <w:uiPriority w:val="99"/>
    <w:unhideWhenUsed/>
    <w:rsid w:val="00A10C7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3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3D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3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3D01"/>
    <w:rPr>
      <w:sz w:val="18"/>
      <w:szCs w:val="18"/>
    </w:rPr>
  </w:style>
  <w:style w:type="table" w:styleId="a5">
    <w:name w:val="Table Grid"/>
    <w:basedOn w:val="a1"/>
    <w:uiPriority w:val="39"/>
    <w:rsid w:val="00643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5E1A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E1ABF"/>
    <w:rPr>
      <w:sz w:val="18"/>
      <w:szCs w:val="18"/>
    </w:rPr>
  </w:style>
  <w:style w:type="table" w:styleId="-5">
    <w:name w:val="Light List Accent 5"/>
    <w:basedOn w:val="a1"/>
    <w:uiPriority w:val="61"/>
    <w:rsid w:val="007876B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character" w:styleId="a7">
    <w:name w:val="Hyperlink"/>
    <w:basedOn w:val="a0"/>
    <w:uiPriority w:val="99"/>
    <w:unhideWhenUsed/>
    <w:rsid w:val="00A10C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liangsmu</cp:lastModifiedBy>
  <cp:revision>5</cp:revision>
  <dcterms:created xsi:type="dcterms:W3CDTF">2020-11-05T08:47:00Z</dcterms:created>
  <dcterms:modified xsi:type="dcterms:W3CDTF">2020-12-01T01:56:00Z</dcterms:modified>
</cp:coreProperties>
</file>