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DAB" w:rsidRDefault="00E96DAB" w:rsidP="00E96DAB">
      <w:pPr>
        <w:adjustRightInd w:val="0"/>
        <w:snapToGrid w:val="0"/>
        <w:spacing w:line="360" w:lineRule="auto"/>
        <w:rPr>
          <w:rFonts w:ascii="Times New Roman" w:hAnsi="Times New Roman" w:hint="eastAsia"/>
          <w:b/>
          <w:sz w:val="24"/>
          <w:szCs w:val="24"/>
        </w:rPr>
      </w:pPr>
      <w:r w:rsidRPr="00E96DAB">
        <w:rPr>
          <w:rFonts w:ascii="Times New Roman" w:hAnsi="Times New Roman"/>
          <w:b/>
          <w:sz w:val="24"/>
          <w:szCs w:val="24"/>
        </w:rPr>
        <w:t xml:space="preserve">Additional file </w:t>
      </w:r>
      <w:r>
        <w:rPr>
          <w:rFonts w:ascii="Times New Roman" w:hAnsi="Times New Roman" w:hint="eastAsia"/>
          <w:b/>
          <w:sz w:val="24"/>
          <w:szCs w:val="24"/>
        </w:rPr>
        <w:t>10</w:t>
      </w:r>
      <w:bookmarkStart w:id="0" w:name="_GoBack"/>
      <w:bookmarkEnd w:id="0"/>
    </w:p>
    <w:p w:rsidR="00FC3533" w:rsidRDefault="00FC3533" w:rsidP="004C5583">
      <w:pPr>
        <w:spacing w:line="360" w:lineRule="auto"/>
        <w:rPr>
          <w:rFonts w:ascii="Times New Roman" w:hAnsi="Times New Roman"/>
          <w:b/>
          <w:sz w:val="24"/>
          <w:szCs w:val="24"/>
        </w:rPr>
      </w:pPr>
      <w:r>
        <w:rPr>
          <w:rFonts w:ascii="Times New Roman" w:hAnsi="Times New Roman" w:hint="eastAsia"/>
          <w:b/>
          <w:sz w:val="24"/>
          <w:szCs w:val="24"/>
        </w:rPr>
        <w:t>S</w:t>
      </w:r>
      <w:r>
        <w:rPr>
          <w:rFonts w:ascii="Times New Roman" w:hAnsi="Times New Roman"/>
          <w:b/>
          <w:sz w:val="24"/>
          <w:szCs w:val="24"/>
        </w:rPr>
        <w:t>upplementary docu</w:t>
      </w:r>
      <w:r w:rsidR="00E506EC">
        <w:rPr>
          <w:rFonts w:ascii="Times New Roman" w:hAnsi="Times New Roman"/>
          <w:b/>
          <w:sz w:val="24"/>
          <w:szCs w:val="24"/>
        </w:rPr>
        <w:t>ment</w:t>
      </w:r>
    </w:p>
    <w:p w:rsidR="005124F0" w:rsidRDefault="005124F0" w:rsidP="005124F0">
      <w:pPr>
        <w:spacing w:line="360" w:lineRule="auto"/>
        <w:rPr>
          <w:rFonts w:ascii="Times New Roman" w:hAnsi="Times New Roman"/>
          <w:sz w:val="24"/>
          <w:szCs w:val="24"/>
        </w:rPr>
      </w:pPr>
      <w:r>
        <w:rPr>
          <w:rFonts w:ascii="Times New Roman" w:hAnsi="Times New Roman" w:hint="eastAsia"/>
          <w:b/>
          <w:bCs/>
          <w:sz w:val="24"/>
          <w:szCs w:val="24"/>
        </w:rPr>
        <w:t>C</w:t>
      </w:r>
      <w:r>
        <w:rPr>
          <w:rFonts w:ascii="Times New Roman" w:hAnsi="Times New Roman"/>
          <w:b/>
          <w:bCs/>
          <w:sz w:val="24"/>
          <w:szCs w:val="24"/>
        </w:rPr>
        <w:t>ircRNA Microarray</w:t>
      </w:r>
    </w:p>
    <w:p w:rsidR="005124F0" w:rsidRDefault="005124F0" w:rsidP="00E3121E">
      <w:pPr>
        <w:adjustRightInd w:val="0"/>
        <w:snapToGrid w:val="0"/>
        <w:spacing w:line="360" w:lineRule="auto"/>
        <w:rPr>
          <w:rFonts w:ascii="Times New Roman" w:hAnsi="Times New Roman"/>
          <w:sz w:val="24"/>
          <w:szCs w:val="24"/>
        </w:rPr>
      </w:pPr>
      <w:r>
        <w:rPr>
          <w:rFonts w:ascii="Times New Roman" w:hAnsi="Times New Roman"/>
          <w:sz w:val="24"/>
          <w:szCs w:val="24"/>
        </w:rPr>
        <w:t>Six pairs of CRC tissues (3 colon and 3 rectal carcinomas) and the cor</w:t>
      </w:r>
      <w:r w:rsidR="00F2785D">
        <w:rPr>
          <w:rFonts w:ascii="Times New Roman" w:hAnsi="Times New Roman"/>
          <w:sz w:val="24"/>
          <w:szCs w:val="24"/>
        </w:rPr>
        <w:t xml:space="preserve">responding adjacent </w:t>
      </w:r>
      <w:r w:rsidR="00F2785D" w:rsidRPr="00F2785D">
        <w:rPr>
          <w:rFonts w:ascii="Times New Roman" w:hAnsi="Times New Roman"/>
          <w:sz w:val="24"/>
          <w:szCs w:val="24"/>
        </w:rPr>
        <w:t>non-tumor</w:t>
      </w:r>
      <w:r w:rsidR="00F2785D">
        <w:rPr>
          <w:rFonts w:ascii="Times New Roman" w:hAnsi="Times New Roman" w:hint="eastAsia"/>
          <w:sz w:val="24"/>
          <w:szCs w:val="24"/>
        </w:rPr>
        <w:t xml:space="preserve"> </w:t>
      </w:r>
      <w:r>
        <w:rPr>
          <w:rFonts w:ascii="Times New Roman" w:hAnsi="Times New Roman"/>
          <w:sz w:val="24"/>
          <w:szCs w:val="24"/>
        </w:rPr>
        <w:t xml:space="preserve">tissues, as well as six adenomas (all </w:t>
      </w:r>
      <w:proofErr w:type="spellStart"/>
      <w:r>
        <w:rPr>
          <w:rFonts w:ascii="Times New Roman" w:hAnsi="Times New Roman"/>
          <w:sz w:val="24"/>
          <w:szCs w:val="24"/>
        </w:rPr>
        <w:t>tubulovillous</w:t>
      </w:r>
      <w:proofErr w:type="spellEnd"/>
      <w:r>
        <w:rPr>
          <w:rFonts w:ascii="Times New Roman" w:hAnsi="Times New Roman"/>
          <w:sz w:val="24"/>
          <w:szCs w:val="24"/>
        </w:rPr>
        <w:t xml:space="preserve"> adenomas) were utilized for </w:t>
      </w:r>
      <w:r>
        <w:rPr>
          <w:rFonts w:ascii="Times New Roman" w:hAnsi="Times New Roman" w:hint="eastAsia"/>
          <w:sz w:val="24"/>
          <w:szCs w:val="24"/>
        </w:rPr>
        <w:t>circ</w:t>
      </w:r>
      <w:r>
        <w:rPr>
          <w:rFonts w:ascii="Times New Roman" w:hAnsi="Times New Roman"/>
          <w:sz w:val="24"/>
          <w:szCs w:val="24"/>
        </w:rPr>
        <w:t>RNA microarrays. The specimens were obtained from patients undergoing surgery in the Jiangsu Tumor Hospital in 2015</w:t>
      </w:r>
      <w:r>
        <w:rPr>
          <w:rFonts w:ascii="Times New Roman" w:hAnsi="Times New Roman" w:hint="eastAsia"/>
          <w:sz w:val="24"/>
          <w:szCs w:val="24"/>
        </w:rPr>
        <w:t>; d</w:t>
      </w:r>
      <w:r>
        <w:rPr>
          <w:rFonts w:ascii="Times New Roman" w:hAnsi="Times New Roman"/>
          <w:sz w:val="24"/>
          <w:szCs w:val="24"/>
        </w:rPr>
        <w:t xml:space="preserve">etailed information is shown in Supplementary Table </w:t>
      </w:r>
      <w:r w:rsidR="00276078">
        <w:rPr>
          <w:rFonts w:ascii="Times New Roman" w:hAnsi="Times New Roman"/>
          <w:sz w:val="24"/>
          <w:szCs w:val="24"/>
        </w:rPr>
        <w:t>3</w:t>
      </w:r>
      <w:r>
        <w:rPr>
          <w:rFonts w:ascii="Times New Roman" w:hAnsi="Times New Roman"/>
          <w:sz w:val="24"/>
          <w:szCs w:val="24"/>
        </w:rPr>
        <w:t>.</w:t>
      </w:r>
    </w:p>
    <w:p w:rsidR="005124F0" w:rsidRDefault="005124F0" w:rsidP="005124F0">
      <w:pPr>
        <w:adjustRightInd w:val="0"/>
        <w:snapToGrid w:val="0"/>
        <w:spacing w:line="360" w:lineRule="auto"/>
        <w:rPr>
          <w:rFonts w:ascii="Times New Roman" w:hAnsi="Times New Roman"/>
          <w:sz w:val="24"/>
          <w:szCs w:val="24"/>
        </w:rPr>
      </w:pPr>
      <w:r>
        <w:rPr>
          <w:rFonts w:ascii="Times New Roman" w:hAnsi="Times New Roman"/>
          <w:sz w:val="24"/>
          <w:szCs w:val="24"/>
        </w:rPr>
        <w:t xml:space="preserve">Total RNA was isolated from tissues using </w:t>
      </w:r>
      <w:proofErr w:type="spellStart"/>
      <w:r>
        <w:rPr>
          <w:rFonts w:ascii="Times New Roman" w:hAnsi="Times New Roman"/>
          <w:sz w:val="24"/>
          <w:szCs w:val="24"/>
        </w:rPr>
        <w:t>TRIzol</w:t>
      </w:r>
      <w:proofErr w:type="spellEnd"/>
      <w:r>
        <w:rPr>
          <w:rFonts w:ascii="Times New Roman" w:hAnsi="Times New Roman"/>
          <w:sz w:val="24"/>
          <w:szCs w:val="24"/>
        </w:rPr>
        <w:t xml:space="preserve"> Reagent (Invitrogen, Carlsbad, CA) according to the manufacturer’s instructions. The circRNA microarray was performed using the Arraystar Human circRNA Array (8x15K, Arraystar) by a contract service at the Shanghai </w:t>
      </w:r>
      <w:proofErr w:type="spellStart"/>
      <w:r>
        <w:rPr>
          <w:rFonts w:ascii="Times New Roman" w:hAnsi="Times New Roman"/>
          <w:sz w:val="24"/>
          <w:szCs w:val="24"/>
        </w:rPr>
        <w:t>Kangchen</w:t>
      </w:r>
      <w:proofErr w:type="spellEnd"/>
      <w:r>
        <w:rPr>
          <w:rFonts w:ascii="Times New Roman" w:hAnsi="Times New Roman"/>
          <w:sz w:val="24"/>
          <w:szCs w:val="24"/>
        </w:rPr>
        <w:t xml:space="preserve"> Technology. </w:t>
      </w:r>
    </w:p>
    <w:p w:rsidR="005124F0" w:rsidRDefault="005124F0" w:rsidP="005124F0">
      <w:pPr>
        <w:adjustRightInd w:val="0"/>
        <w:snapToGrid w:val="0"/>
        <w:spacing w:line="360" w:lineRule="auto"/>
        <w:rPr>
          <w:rFonts w:ascii="Times New Roman" w:hAnsi="Times New Roman"/>
          <w:sz w:val="24"/>
          <w:szCs w:val="24"/>
        </w:rPr>
      </w:pPr>
      <w:r>
        <w:rPr>
          <w:rFonts w:ascii="Times New Roman" w:hAnsi="Times New Roman"/>
          <w:sz w:val="24"/>
          <w:szCs w:val="24"/>
        </w:rPr>
        <w:t>Raw data were subjected to background subtraction and normalization with the limma R-package. Discriminant circRNAs and differences between groups were analyzed using Bayes moderated t test (</w:t>
      </w:r>
      <w:proofErr w:type="spellStart"/>
      <w:r>
        <w:rPr>
          <w:rFonts w:ascii="Times New Roman" w:hAnsi="Times New Roman"/>
          <w:sz w:val="24"/>
          <w:szCs w:val="24"/>
        </w:rPr>
        <w:t>limma</w:t>
      </w:r>
      <w:proofErr w:type="spellEnd"/>
      <w:r>
        <w:rPr>
          <w:rFonts w:ascii="Times New Roman" w:hAnsi="Times New Roman"/>
          <w:sz w:val="24"/>
          <w:szCs w:val="24"/>
        </w:rPr>
        <w:t xml:space="preserve">) with </w:t>
      </w:r>
      <w:proofErr w:type="spellStart"/>
      <w:r>
        <w:rPr>
          <w:rFonts w:ascii="Times New Roman" w:hAnsi="Times New Roman"/>
          <w:sz w:val="24"/>
          <w:szCs w:val="24"/>
        </w:rPr>
        <w:t>Benjamini</w:t>
      </w:r>
      <w:proofErr w:type="spellEnd"/>
      <w:r>
        <w:rPr>
          <w:rFonts w:ascii="Times New Roman" w:hAnsi="Times New Roman"/>
          <w:sz w:val="24"/>
          <w:szCs w:val="24"/>
        </w:rPr>
        <w:t xml:space="preserve"> Hochberg false discovery rate (FDR) at P &lt; 0.05, unless otherwise specified. A two-fold change cut off was applied to select the up- and down-regulated circRNAs. Normalized and raw expression data were deposited in the Gene Expression Omnibus at the National Center for Biotechnology Information.</w:t>
      </w:r>
    </w:p>
    <w:p w:rsidR="005124F0" w:rsidRPr="005124F0" w:rsidRDefault="005124F0" w:rsidP="00136B86">
      <w:pPr>
        <w:spacing w:line="360" w:lineRule="auto"/>
        <w:rPr>
          <w:rFonts w:ascii="Times New Roman" w:hAnsi="Times New Roman"/>
          <w:b/>
          <w:bCs/>
          <w:sz w:val="24"/>
          <w:szCs w:val="24"/>
        </w:rPr>
      </w:pPr>
    </w:p>
    <w:p w:rsidR="00516EF9" w:rsidRDefault="00516EF9" w:rsidP="00516EF9">
      <w:pPr>
        <w:adjustRightInd w:val="0"/>
        <w:snapToGrid w:val="0"/>
        <w:spacing w:line="360" w:lineRule="auto"/>
        <w:rPr>
          <w:rFonts w:ascii="Times New Roman" w:hAnsi="Times New Roman"/>
          <w:b/>
          <w:bCs/>
          <w:sz w:val="24"/>
          <w:szCs w:val="24"/>
        </w:rPr>
      </w:pPr>
      <w:r>
        <w:rPr>
          <w:rFonts w:ascii="Times New Roman" w:hAnsi="Times New Roman"/>
          <w:b/>
          <w:bCs/>
          <w:sz w:val="24"/>
          <w:szCs w:val="24"/>
        </w:rPr>
        <w:t>Tissue/serum preparation and RNA isolation</w:t>
      </w:r>
    </w:p>
    <w:p w:rsidR="00516EF9" w:rsidRDefault="00516EF9" w:rsidP="00516EF9">
      <w:pPr>
        <w:adjustRightInd w:val="0"/>
        <w:snapToGrid w:val="0"/>
        <w:spacing w:line="360" w:lineRule="auto"/>
        <w:rPr>
          <w:rFonts w:ascii="Times New Roman" w:hAnsi="Times New Roman"/>
          <w:sz w:val="24"/>
          <w:szCs w:val="24"/>
        </w:rPr>
      </w:pPr>
      <w:r>
        <w:rPr>
          <w:rFonts w:ascii="Times New Roman" w:hAnsi="Times New Roman"/>
          <w:sz w:val="24"/>
          <w:szCs w:val="24"/>
        </w:rPr>
        <w:t xml:space="preserve">Following removal, all tissues were snap-frozen in liquid nitrogen and stored at -80°C until RNA extraction. Serum was separated from the venous blood within 1 hour by centrifugation at 3000 g for 10 minutes, followed by a 15-minute high-speed centrifugation at 12,000 g to completely remove the cell debris. The supernatant serum was collected and stored at -80℃ until use. The total RNA of tissues and serum was extracted using </w:t>
      </w:r>
      <w:proofErr w:type="spellStart"/>
      <w:r>
        <w:rPr>
          <w:rFonts w:ascii="Times New Roman" w:hAnsi="Times New Roman"/>
          <w:sz w:val="24"/>
          <w:szCs w:val="24"/>
        </w:rPr>
        <w:t>Trizol</w:t>
      </w:r>
      <w:proofErr w:type="spellEnd"/>
      <w:r>
        <w:rPr>
          <w:rFonts w:ascii="Times New Roman" w:hAnsi="Times New Roman"/>
          <w:sz w:val="24"/>
          <w:szCs w:val="24"/>
        </w:rPr>
        <w:t xml:space="preserve"> reagent (Invitrogen, Carlsbad, CA) and </w:t>
      </w:r>
      <w:proofErr w:type="gramStart"/>
      <w:r>
        <w:rPr>
          <w:rFonts w:ascii="Times New Roman" w:hAnsi="Times New Roman"/>
          <w:sz w:val="24"/>
          <w:szCs w:val="24"/>
        </w:rPr>
        <w:t>an</w:t>
      </w:r>
      <w:proofErr w:type="gramEnd"/>
      <w:r>
        <w:rPr>
          <w:rFonts w:ascii="Times New Roman" w:hAnsi="Times New Roman"/>
          <w:sz w:val="24"/>
          <w:szCs w:val="24"/>
        </w:rPr>
        <w:t xml:space="preserve"> </w:t>
      </w:r>
      <w:proofErr w:type="spellStart"/>
      <w:r>
        <w:rPr>
          <w:rFonts w:ascii="Times New Roman" w:hAnsi="Times New Roman"/>
          <w:sz w:val="24"/>
          <w:szCs w:val="24"/>
        </w:rPr>
        <w:t>miRNeasy</w:t>
      </w:r>
      <w:proofErr w:type="spellEnd"/>
      <w:r>
        <w:rPr>
          <w:rFonts w:ascii="Times New Roman" w:hAnsi="Times New Roman"/>
          <w:sz w:val="24"/>
          <w:szCs w:val="24"/>
        </w:rPr>
        <w:t xml:space="preserve"> Serum/Plasma Kit (</w:t>
      </w:r>
      <w:proofErr w:type="spellStart"/>
      <w:r>
        <w:rPr>
          <w:rFonts w:ascii="Times New Roman" w:hAnsi="Times New Roman"/>
          <w:sz w:val="24"/>
          <w:szCs w:val="24"/>
        </w:rPr>
        <w:t>Qiagen</w:t>
      </w:r>
      <w:proofErr w:type="spellEnd"/>
      <w:r>
        <w:rPr>
          <w:rFonts w:ascii="Times New Roman" w:hAnsi="Times New Roman"/>
          <w:sz w:val="24"/>
          <w:szCs w:val="24"/>
        </w:rPr>
        <w:t>, Hilden, Germany) according to the manufacturers’ instructions.</w:t>
      </w:r>
    </w:p>
    <w:p w:rsidR="005124F0" w:rsidRPr="00516EF9" w:rsidRDefault="005124F0" w:rsidP="00136B86">
      <w:pPr>
        <w:spacing w:line="360" w:lineRule="auto"/>
        <w:rPr>
          <w:rFonts w:ascii="Times New Roman" w:hAnsi="Times New Roman"/>
          <w:b/>
          <w:bCs/>
          <w:sz w:val="24"/>
          <w:szCs w:val="24"/>
        </w:rPr>
      </w:pPr>
    </w:p>
    <w:p w:rsidR="00136B86" w:rsidRDefault="00136B86" w:rsidP="00136B86">
      <w:pPr>
        <w:spacing w:line="360" w:lineRule="auto"/>
        <w:rPr>
          <w:rFonts w:ascii="Times New Roman" w:hAnsi="Times New Roman"/>
          <w:b/>
          <w:bCs/>
          <w:sz w:val="24"/>
          <w:szCs w:val="24"/>
        </w:rPr>
      </w:pPr>
      <w:r>
        <w:rPr>
          <w:rFonts w:ascii="Times New Roman" w:hAnsi="Times New Roman"/>
          <w:b/>
          <w:bCs/>
          <w:sz w:val="24"/>
          <w:szCs w:val="24"/>
        </w:rPr>
        <w:t xml:space="preserve">Cell culture and </w:t>
      </w:r>
      <w:r w:rsidRPr="008A6F66">
        <w:rPr>
          <w:rFonts w:ascii="Times New Roman" w:hAnsi="Times New Roman"/>
          <w:b/>
          <w:bCs/>
          <w:i/>
          <w:iCs/>
          <w:sz w:val="24"/>
          <w:szCs w:val="24"/>
        </w:rPr>
        <w:t>in vitro</w:t>
      </w:r>
      <w:r>
        <w:rPr>
          <w:rFonts w:ascii="Times New Roman" w:hAnsi="Times New Roman"/>
          <w:b/>
          <w:bCs/>
          <w:sz w:val="24"/>
          <w:szCs w:val="24"/>
        </w:rPr>
        <w:t xml:space="preserve"> experiments</w:t>
      </w:r>
    </w:p>
    <w:p w:rsidR="00136B86" w:rsidRDefault="00136B86" w:rsidP="00136B86">
      <w:pPr>
        <w:adjustRightInd w:val="0"/>
        <w:snapToGrid w:val="0"/>
        <w:spacing w:line="360" w:lineRule="auto"/>
        <w:rPr>
          <w:rFonts w:ascii="Times New Roman" w:hAnsi="Times New Roman"/>
          <w:sz w:val="24"/>
          <w:szCs w:val="24"/>
        </w:rPr>
      </w:pPr>
      <w:bookmarkStart w:id="1" w:name="_Hlk21960359"/>
      <w:r>
        <w:rPr>
          <w:rFonts w:ascii="Times New Roman" w:hAnsi="Times New Roman"/>
          <w:sz w:val="24"/>
          <w:szCs w:val="24"/>
        </w:rPr>
        <w:t>Human CRC cell lines (HCT15</w:t>
      </w:r>
      <w:r>
        <w:rPr>
          <w:rFonts w:ascii="Times New Roman" w:hAnsi="Times New Roman" w:hint="eastAsia"/>
          <w:sz w:val="24"/>
          <w:szCs w:val="24"/>
        </w:rPr>
        <w:t xml:space="preserve">, </w:t>
      </w:r>
      <w:r>
        <w:rPr>
          <w:rFonts w:ascii="Times New Roman" w:hAnsi="Times New Roman"/>
          <w:sz w:val="24"/>
          <w:szCs w:val="24"/>
        </w:rPr>
        <w:t>SW620, SW480 and LOVO) and 293T were purchased from American Type Culture Collection (ATCC) (Manassas, VA).</w:t>
      </w:r>
      <w:bookmarkEnd w:id="1"/>
      <w:r>
        <w:rPr>
          <w:rFonts w:ascii="Times New Roman" w:hAnsi="Times New Roman"/>
          <w:sz w:val="24"/>
          <w:szCs w:val="24"/>
        </w:rPr>
        <w:t xml:space="preserve"> All of </w:t>
      </w:r>
      <w:r>
        <w:rPr>
          <w:rFonts w:ascii="Times New Roman" w:hAnsi="Times New Roman"/>
          <w:sz w:val="24"/>
          <w:szCs w:val="24"/>
        </w:rPr>
        <w:lastRenderedPageBreak/>
        <w:t xml:space="preserve">the cells were authenticated, and no mycoplasma contamination was detected (data not shown). Cell lines were maintained in DMEM supplemented with 10% FBS, 100 units penicillin and streptomycin per ml, and cultured at 37℃ in 5% CO2. For hypoxia treatments, we prepared extracts in a hypoxia chamber (I-Glove, </w:t>
      </w:r>
      <w:proofErr w:type="spellStart"/>
      <w:r>
        <w:rPr>
          <w:rFonts w:ascii="Times New Roman" w:hAnsi="Times New Roman"/>
          <w:sz w:val="24"/>
          <w:szCs w:val="24"/>
        </w:rPr>
        <w:t>BioSpherix</w:t>
      </w:r>
      <w:proofErr w:type="spellEnd"/>
      <w:r>
        <w:rPr>
          <w:rFonts w:ascii="Times New Roman" w:hAnsi="Times New Roman"/>
          <w:sz w:val="24"/>
          <w:szCs w:val="24"/>
        </w:rPr>
        <w:t>, Parish, NY).</w:t>
      </w:r>
    </w:p>
    <w:p w:rsidR="00136B86" w:rsidRPr="00136B86" w:rsidRDefault="00136B86" w:rsidP="004C5583">
      <w:pPr>
        <w:spacing w:line="360" w:lineRule="auto"/>
        <w:rPr>
          <w:rFonts w:ascii="Times New Roman" w:hAnsi="Times New Roman"/>
          <w:b/>
          <w:sz w:val="24"/>
          <w:szCs w:val="24"/>
        </w:rPr>
      </w:pPr>
    </w:p>
    <w:p w:rsidR="006F59A7" w:rsidRDefault="006F59A7" w:rsidP="006F59A7">
      <w:pPr>
        <w:adjustRightInd w:val="0"/>
        <w:snapToGrid w:val="0"/>
        <w:spacing w:line="360" w:lineRule="auto"/>
        <w:rPr>
          <w:rFonts w:ascii="Times New Roman" w:hAnsi="Times New Roman"/>
          <w:b/>
          <w:bCs/>
          <w:sz w:val="24"/>
          <w:szCs w:val="24"/>
        </w:rPr>
      </w:pPr>
      <w:r>
        <w:rPr>
          <w:rFonts w:ascii="Times New Roman" w:hAnsi="Times New Roman"/>
          <w:b/>
          <w:bCs/>
          <w:sz w:val="24"/>
          <w:szCs w:val="24"/>
        </w:rPr>
        <w:t>Lentivirus stable transduction</w:t>
      </w:r>
    </w:p>
    <w:p w:rsidR="006F59A7" w:rsidRPr="00811D6F" w:rsidRDefault="006F59A7" w:rsidP="006F59A7">
      <w:pPr>
        <w:adjustRightInd w:val="0"/>
        <w:snapToGrid w:val="0"/>
        <w:spacing w:line="360" w:lineRule="auto"/>
        <w:rPr>
          <w:rFonts w:ascii="Times New Roman" w:hAnsi="Times New Roman"/>
          <w:b/>
          <w:bCs/>
          <w:sz w:val="24"/>
          <w:szCs w:val="24"/>
        </w:rPr>
      </w:pPr>
      <w:r>
        <w:rPr>
          <w:rFonts w:ascii="Times New Roman" w:hAnsi="Times New Roman"/>
          <w:sz w:val="24"/>
          <w:szCs w:val="24"/>
        </w:rPr>
        <w:t>Lentiviruses were generated by co-transfection of the expression vector of interest with the packaging plasmids psPAX2 and pMD2G.  The day before transduction, the HCT15, SW620</w:t>
      </w:r>
      <w:r>
        <w:rPr>
          <w:rFonts w:ascii="Times New Roman" w:hAnsi="Times New Roman" w:hint="eastAsia"/>
          <w:sz w:val="24"/>
          <w:szCs w:val="24"/>
        </w:rPr>
        <w:t xml:space="preserve">, </w:t>
      </w:r>
      <w:r>
        <w:rPr>
          <w:rFonts w:ascii="Times New Roman" w:hAnsi="Times New Roman"/>
          <w:sz w:val="24"/>
          <w:szCs w:val="24"/>
        </w:rPr>
        <w:t xml:space="preserve">SW480, LOVO cells were </w:t>
      </w:r>
      <w:proofErr w:type="spellStart"/>
      <w:r>
        <w:rPr>
          <w:rFonts w:ascii="Times New Roman" w:hAnsi="Times New Roman"/>
          <w:sz w:val="24"/>
          <w:szCs w:val="24"/>
        </w:rPr>
        <w:t>trypsinized</w:t>
      </w:r>
      <w:proofErr w:type="spellEnd"/>
      <w:r>
        <w:rPr>
          <w:rFonts w:ascii="Times New Roman" w:hAnsi="Times New Roman"/>
          <w:sz w:val="24"/>
          <w:szCs w:val="24"/>
        </w:rPr>
        <w:t>, 2×10</w:t>
      </w:r>
      <w:r>
        <w:rPr>
          <w:rFonts w:ascii="Times New Roman" w:hAnsi="Times New Roman"/>
          <w:sz w:val="24"/>
          <w:szCs w:val="24"/>
          <w:vertAlign w:val="superscript"/>
        </w:rPr>
        <w:t>5</w:t>
      </w:r>
      <w:r>
        <w:rPr>
          <w:rFonts w:ascii="Times New Roman" w:hAnsi="Times New Roman"/>
          <w:sz w:val="24"/>
          <w:szCs w:val="24"/>
        </w:rPr>
        <w:t xml:space="preserve"> cells per well plated in 1 mL complete culture medium in a six-well plate, and incubated overnight at 37°C. On the day of transduction, the medium was removed and replaced with 1 mL of complete medium with 10 µg/mL polybrene (Cat.No.107689, Sigma, </w:t>
      </w:r>
      <w:proofErr w:type="gramStart"/>
      <w:r>
        <w:rPr>
          <w:rFonts w:ascii="Times New Roman" w:hAnsi="Times New Roman"/>
          <w:sz w:val="24"/>
          <w:szCs w:val="24"/>
        </w:rPr>
        <w:t>St</w:t>
      </w:r>
      <w:proofErr w:type="gramEnd"/>
      <w:r>
        <w:rPr>
          <w:rFonts w:ascii="Times New Roman" w:hAnsi="Times New Roman"/>
          <w:sz w:val="24"/>
          <w:szCs w:val="24"/>
        </w:rPr>
        <w:t>. Louis, MO). Adenovirus particles were thawed at room temperature, mixed gently, and added to the HCT15, SW620</w:t>
      </w:r>
      <w:r>
        <w:rPr>
          <w:rFonts w:ascii="Times New Roman" w:hAnsi="Times New Roman" w:hint="eastAsia"/>
          <w:sz w:val="24"/>
          <w:szCs w:val="24"/>
        </w:rPr>
        <w:t xml:space="preserve">, </w:t>
      </w:r>
      <w:r>
        <w:rPr>
          <w:rFonts w:ascii="Times New Roman" w:hAnsi="Times New Roman"/>
          <w:sz w:val="24"/>
          <w:szCs w:val="24"/>
        </w:rPr>
        <w:t xml:space="preserve">SW480, and LOVO cells. After gently mixing, cells were incubated overnight. After 12 hours, culture medium was replaced with 2 mL of complete medium containing 10 µg/mL </w:t>
      </w:r>
      <w:proofErr w:type="spellStart"/>
      <w:r>
        <w:rPr>
          <w:rFonts w:ascii="Times New Roman" w:hAnsi="Times New Roman"/>
          <w:sz w:val="24"/>
          <w:szCs w:val="24"/>
        </w:rPr>
        <w:t>blasticidin</w:t>
      </w:r>
      <w:proofErr w:type="spellEnd"/>
      <w:r>
        <w:rPr>
          <w:rFonts w:ascii="Times New Roman" w:hAnsi="Times New Roman"/>
          <w:sz w:val="24"/>
          <w:szCs w:val="24"/>
        </w:rPr>
        <w:t xml:space="preserve"> S (Cat.</w:t>
      </w:r>
      <w:r>
        <w:rPr>
          <w:rFonts w:ascii="Times New Roman" w:hAnsi="Times New Roman" w:hint="eastAsia"/>
          <w:sz w:val="24"/>
          <w:szCs w:val="24"/>
        </w:rPr>
        <w:t xml:space="preserve"> </w:t>
      </w:r>
      <w:r>
        <w:rPr>
          <w:rFonts w:ascii="Times New Roman" w:hAnsi="Times New Roman"/>
          <w:sz w:val="24"/>
          <w:szCs w:val="24"/>
        </w:rPr>
        <w:t>No.</w:t>
      </w:r>
      <w:r>
        <w:rPr>
          <w:rFonts w:ascii="Times New Roman" w:hAnsi="Times New Roman" w:hint="eastAsia"/>
          <w:sz w:val="24"/>
          <w:szCs w:val="24"/>
        </w:rPr>
        <w:t xml:space="preserve"> </w:t>
      </w:r>
      <w:r>
        <w:rPr>
          <w:rFonts w:ascii="Times New Roman" w:hAnsi="Times New Roman"/>
          <w:sz w:val="24"/>
          <w:szCs w:val="24"/>
        </w:rPr>
        <w:t>ant-bl, Invitrogen, San Diego,</w:t>
      </w:r>
      <w:r>
        <w:rPr>
          <w:rFonts w:ascii="Times New Roman" w:hAnsi="Times New Roman" w:hint="eastAsia"/>
          <w:sz w:val="24"/>
          <w:szCs w:val="24"/>
        </w:rPr>
        <w:t xml:space="preserve"> </w:t>
      </w:r>
      <w:r>
        <w:rPr>
          <w:rFonts w:ascii="Times New Roman" w:hAnsi="Times New Roman"/>
          <w:sz w:val="24"/>
          <w:szCs w:val="24"/>
        </w:rPr>
        <w:t xml:space="preserve">CA), which was replaced every 2 days for 1 week after all of the control cells had died. Positive cells were propagated in 1 µg/mL </w:t>
      </w:r>
      <w:proofErr w:type="spellStart"/>
      <w:r>
        <w:rPr>
          <w:rFonts w:ascii="Times New Roman" w:hAnsi="Times New Roman"/>
          <w:sz w:val="24"/>
          <w:szCs w:val="24"/>
        </w:rPr>
        <w:t>blasticidin</w:t>
      </w:r>
      <w:proofErr w:type="spellEnd"/>
      <w:r>
        <w:rPr>
          <w:rFonts w:ascii="Times New Roman" w:hAnsi="Times New Roman"/>
          <w:sz w:val="24"/>
          <w:szCs w:val="24"/>
        </w:rPr>
        <w:t xml:space="preserve"> S for 2 weeks, and then frozen until use. For experiments, cells were thawed and allowed to grow for three passages before use.</w:t>
      </w:r>
      <w:r>
        <w:rPr>
          <w:rFonts w:ascii="Times New Roman" w:hAnsi="Times New Roman" w:hint="eastAsia"/>
          <w:sz w:val="24"/>
          <w:szCs w:val="24"/>
        </w:rPr>
        <w:t xml:space="preserve"> </w:t>
      </w:r>
    </w:p>
    <w:p w:rsidR="00B82F08" w:rsidRDefault="00B82F08" w:rsidP="00B82F08">
      <w:pPr>
        <w:adjustRightInd w:val="0"/>
        <w:snapToGrid w:val="0"/>
        <w:spacing w:line="360" w:lineRule="auto"/>
        <w:rPr>
          <w:rFonts w:ascii="Times New Roman" w:hAnsi="Times New Roman"/>
          <w:b/>
          <w:bCs/>
          <w:sz w:val="24"/>
          <w:szCs w:val="24"/>
        </w:rPr>
      </w:pPr>
    </w:p>
    <w:p w:rsidR="00B82F08" w:rsidRDefault="00B82F08" w:rsidP="00B82F08">
      <w:pPr>
        <w:adjustRightInd w:val="0"/>
        <w:snapToGrid w:val="0"/>
        <w:spacing w:line="360" w:lineRule="auto"/>
        <w:rPr>
          <w:rFonts w:ascii="Times New Roman" w:hAnsi="Times New Roman"/>
          <w:sz w:val="24"/>
          <w:szCs w:val="24"/>
        </w:rPr>
      </w:pPr>
      <w:r>
        <w:rPr>
          <w:rFonts w:ascii="Times New Roman" w:hAnsi="Times New Roman"/>
          <w:b/>
          <w:bCs/>
          <w:sz w:val="24"/>
          <w:szCs w:val="24"/>
        </w:rPr>
        <w:t>Western blotting</w:t>
      </w:r>
    </w:p>
    <w:p w:rsidR="00B82F08" w:rsidRDefault="00B82F08" w:rsidP="00B82F08">
      <w:pPr>
        <w:adjustRightInd w:val="0"/>
        <w:snapToGrid w:val="0"/>
        <w:spacing w:line="360" w:lineRule="auto"/>
        <w:rPr>
          <w:rFonts w:ascii="Times New Roman" w:hAnsi="Times New Roman"/>
          <w:sz w:val="24"/>
          <w:szCs w:val="24"/>
        </w:rPr>
      </w:pPr>
      <w:r>
        <w:rPr>
          <w:rFonts w:ascii="Times New Roman" w:hAnsi="Times New Roman"/>
          <w:sz w:val="24"/>
          <w:szCs w:val="24"/>
        </w:rPr>
        <w:t xml:space="preserve">Total proteins were isolated from tissues using a total protein extraction kit (Keygen, Nanjing, China). A total of 40 µg of protein was separated using sodium </w:t>
      </w:r>
      <w:proofErr w:type="spellStart"/>
      <w:r>
        <w:rPr>
          <w:rFonts w:ascii="Times New Roman" w:hAnsi="Times New Roman"/>
          <w:sz w:val="24"/>
          <w:szCs w:val="24"/>
        </w:rPr>
        <w:t>dodecylsulfate</w:t>
      </w:r>
      <w:r>
        <w:rPr>
          <w:rFonts w:ascii="宋体" w:hAnsi="宋体" w:hint="eastAsia"/>
          <w:sz w:val="24"/>
          <w:szCs w:val="24"/>
        </w:rPr>
        <w:t>-</w:t>
      </w:r>
      <w:r>
        <w:rPr>
          <w:rFonts w:ascii="Times New Roman" w:hAnsi="Times New Roman"/>
          <w:sz w:val="24"/>
          <w:szCs w:val="24"/>
        </w:rPr>
        <w:t>polyacrilamide</w:t>
      </w:r>
      <w:proofErr w:type="spellEnd"/>
      <w:r>
        <w:rPr>
          <w:rFonts w:ascii="Times New Roman" w:hAnsi="Times New Roman"/>
          <w:sz w:val="24"/>
          <w:szCs w:val="24"/>
        </w:rPr>
        <w:t xml:space="preserve"> gel electrophoresis (SDS-PAGE) and transferred onto polyvinylidene difluoride (PVDF) membranes and then blocked with 5% fat-free milk at room temperature for 2 hours. The immune-blot was incubated with primary antibody detecting </w:t>
      </w:r>
      <w:r>
        <w:rPr>
          <w:rFonts w:ascii="Times New Roman" w:hAnsi="Times New Roman" w:hint="eastAsia"/>
          <w:sz w:val="24"/>
          <w:szCs w:val="24"/>
        </w:rPr>
        <w:t>vimentin</w:t>
      </w:r>
      <w:r>
        <w:rPr>
          <w:rFonts w:ascii="Times New Roman" w:hAnsi="Times New Roman"/>
          <w:sz w:val="24"/>
          <w:szCs w:val="24"/>
        </w:rPr>
        <w:t xml:space="preserve"> and E-cadherin (1</w:t>
      </w:r>
      <w:r>
        <w:rPr>
          <w:rFonts w:ascii="Times New Roman" w:hAnsi="Times New Roman" w:hint="eastAsia"/>
          <w:sz w:val="24"/>
          <w:szCs w:val="24"/>
        </w:rPr>
        <w:t xml:space="preserve">: </w:t>
      </w:r>
      <w:r>
        <w:rPr>
          <w:rFonts w:ascii="Times New Roman" w:hAnsi="Times New Roman"/>
          <w:sz w:val="24"/>
          <w:szCs w:val="24"/>
        </w:rPr>
        <w:t xml:space="preserve">1000 dilution; cell signaling), and β-actin (1:1000 dilution; </w:t>
      </w:r>
      <w:r>
        <w:rPr>
          <w:rFonts w:ascii="Times New Roman" w:hAnsi="Times New Roman" w:hint="eastAsia"/>
          <w:sz w:val="24"/>
          <w:szCs w:val="24"/>
        </w:rPr>
        <w:t>c</w:t>
      </w:r>
      <w:r>
        <w:rPr>
          <w:rFonts w:ascii="Times New Roman" w:hAnsi="Times New Roman"/>
          <w:sz w:val="24"/>
          <w:szCs w:val="24"/>
        </w:rPr>
        <w:t xml:space="preserve">ell signaling) was used as a control. The signals were detected using a Super ECL </w:t>
      </w:r>
      <w:proofErr w:type="gramStart"/>
      <w:r>
        <w:rPr>
          <w:rFonts w:ascii="Times New Roman" w:hAnsi="Times New Roman"/>
          <w:sz w:val="24"/>
          <w:szCs w:val="24"/>
        </w:rPr>
        <w:t>Plus</w:t>
      </w:r>
      <w:proofErr w:type="gramEnd"/>
      <w:r>
        <w:rPr>
          <w:rFonts w:ascii="Times New Roman" w:hAnsi="Times New Roman"/>
          <w:sz w:val="24"/>
          <w:szCs w:val="24"/>
        </w:rPr>
        <w:t xml:space="preserve"> Kit (Keygen) and determined by quantitative analysis using UVP software (UVP, LLC, Upland, CA, United States). </w:t>
      </w:r>
    </w:p>
    <w:p w:rsidR="00B82F08" w:rsidRDefault="00B82F08" w:rsidP="00B82F08">
      <w:pPr>
        <w:adjustRightInd w:val="0"/>
        <w:snapToGrid w:val="0"/>
        <w:spacing w:line="360" w:lineRule="auto"/>
        <w:rPr>
          <w:rFonts w:ascii="Times New Roman" w:hAnsi="Times New Roman"/>
          <w:b/>
          <w:bCs/>
          <w:sz w:val="24"/>
          <w:szCs w:val="24"/>
        </w:rPr>
      </w:pPr>
    </w:p>
    <w:p w:rsidR="00B82F08" w:rsidRDefault="00B82F08" w:rsidP="00B82F08">
      <w:pPr>
        <w:adjustRightInd w:val="0"/>
        <w:snapToGrid w:val="0"/>
        <w:spacing w:line="360" w:lineRule="auto"/>
        <w:rPr>
          <w:rFonts w:ascii="Times New Roman" w:hAnsi="Times New Roman"/>
          <w:b/>
          <w:bCs/>
          <w:sz w:val="24"/>
          <w:szCs w:val="24"/>
        </w:rPr>
      </w:pPr>
      <w:proofErr w:type="gramStart"/>
      <w:r>
        <w:rPr>
          <w:rFonts w:ascii="Times New Roman" w:hAnsi="Times New Roman" w:hint="eastAsia"/>
          <w:b/>
          <w:bCs/>
          <w:sz w:val="24"/>
          <w:szCs w:val="24"/>
        </w:rPr>
        <w:lastRenderedPageBreak/>
        <w:t>siRNA</w:t>
      </w:r>
      <w:proofErr w:type="gramEnd"/>
      <w:r>
        <w:rPr>
          <w:rFonts w:ascii="Times New Roman" w:hAnsi="Times New Roman" w:hint="eastAsia"/>
          <w:b/>
          <w:bCs/>
          <w:sz w:val="24"/>
          <w:szCs w:val="24"/>
        </w:rPr>
        <w:t>, shRNA</w:t>
      </w:r>
      <w:r>
        <w:rPr>
          <w:rFonts w:ascii="Times New Roman" w:hAnsi="Times New Roman"/>
          <w:b/>
          <w:bCs/>
          <w:sz w:val="24"/>
          <w:szCs w:val="24"/>
        </w:rPr>
        <w:t>,</w:t>
      </w:r>
      <w:r>
        <w:rPr>
          <w:rFonts w:ascii="Times New Roman" w:hAnsi="Times New Roman" w:hint="eastAsia"/>
          <w:b/>
          <w:bCs/>
          <w:sz w:val="24"/>
          <w:szCs w:val="24"/>
        </w:rPr>
        <w:t xml:space="preserve"> and Plasmid Construction and Cell Transfection</w:t>
      </w:r>
    </w:p>
    <w:p w:rsidR="00B82F08" w:rsidRDefault="00B82F08" w:rsidP="00B82F08">
      <w:pPr>
        <w:adjustRightInd w:val="0"/>
        <w:snapToGrid w:val="0"/>
        <w:spacing w:line="360" w:lineRule="auto"/>
        <w:rPr>
          <w:rFonts w:ascii="Times New Roman" w:hAnsi="Times New Roman"/>
          <w:sz w:val="24"/>
          <w:szCs w:val="24"/>
        </w:rPr>
      </w:pPr>
      <w:proofErr w:type="gramStart"/>
      <w:r>
        <w:rPr>
          <w:rFonts w:ascii="Times New Roman" w:hAnsi="Times New Roman"/>
          <w:sz w:val="24"/>
          <w:szCs w:val="24"/>
        </w:rPr>
        <w:t>siRNAs</w:t>
      </w:r>
      <w:proofErr w:type="gramEnd"/>
      <w:r>
        <w:rPr>
          <w:rFonts w:ascii="Times New Roman" w:hAnsi="Times New Roman"/>
          <w:sz w:val="24"/>
          <w:szCs w:val="24"/>
        </w:rPr>
        <w:t xml:space="preserve"> targeting </w:t>
      </w:r>
      <w:r>
        <w:rPr>
          <w:rFonts w:ascii="Times New Roman" w:hAnsi="Times New Roman" w:hint="eastAsia"/>
          <w:sz w:val="24"/>
          <w:szCs w:val="24"/>
        </w:rPr>
        <w:t xml:space="preserve">circPTK2 </w:t>
      </w:r>
      <w:r>
        <w:rPr>
          <w:rFonts w:ascii="Times New Roman" w:hAnsi="Times New Roman"/>
          <w:sz w:val="24"/>
          <w:szCs w:val="24"/>
        </w:rPr>
        <w:t>and</w:t>
      </w:r>
      <w:r>
        <w:rPr>
          <w:rFonts w:ascii="Times New Roman" w:hAnsi="Times New Roman" w:hint="eastAsia"/>
          <w:sz w:val="24"/>
          <w:szCs w:val="24"/>
        </w:rPr>
        <w:t xml:space="preserve"> vimentin </w:t>
      </w:r>
      <w:r>
        <w:rPr>
          <w:rFonts w:ascii="Times New Roman" w:hAnsi="Times New Roman"/>
          <w:sz w:val="24"/>
          <w:szCs w:val="24"/>
        </w:rPr>
        <w:t xml:space="preserve">were designed and synthesized by </w:t>
      </w:r>
      <w:proofErr w:type="spellStart"/>
      <w:r>
        <w:rPr>
          <w:rFonts w:ascii="Times New Roman" w:hAnsi="Times New Roman"/>
          <w:sz w:val="24"/>
          <w:szCs w:val="24"/>
        </w:rPr>
        <w:t>RiboBio</w:t>
      </w:r>
      <w:proofErr w:type="spellEnd"/>
      <w:r>
        <w:rPr>
          <w:rFonts w:ascii="Times New Roman" w:hAnsi="Times New Roman"/>
          <w:sz w:val="24"/>
          <w:szCs w:val="24"/>
        </w:rPr>
        <w:t xml:space="preserve"> (Guangzhou, China).For siRNA knockdown, we transfected CRC cells</w:t>
      </w:r>
      <w:r>
        <w:rPr>
          <w:rFonts w:ascii="Times New Roman" w:hAnsi="Times New Roman" w:hint="eastAsia"/>
          <w:sz w:val="24"/>
          <w:szCs w:val="24"/>
        </w:rPr>
        <w:t xml:space="preserve"> </w:t>
      </w:r>
      <w:r>
        <w:rPr>
          <w:rFonts w:ascii="Times New Roman" w:hAnsi="Times New Roman"/>
          <w:sz w:val="24"/>
          <w:szCs w:val="24"/>
        </w:rPr>
        <w:t>in a six-well plate with siRNAs.</w:t>
      </w:r>
      <w:r>
        <w:rPr>
          <w:rFonts w:ascii="Times New Roman" w:hAnsi="Times New Roman" w:hint="eastAsia"/>
          <w:sz w:val="24"/>
          <w:szCs w:val="24"/>
        </w:rPr>
        <w:t xml:space="preserve"> </w:t>
      </w:r>
      <w:r>
        <w:rPr>
          <w:rFonts w:ascii="Times New Roman" w:hAnsi="Times New Roman"/>
          <w:sz w:val="24"/>
          <w:szCs w:val="24"/>
        </w:rPr>
        <w:t xml:space="preserve">Transfection was performed with Lipofectamine 2000 (Invitrogen, USA) or </w:t>
      </w:r>
      <w:proofErr w:type="spellStart"/>
      <w:r>
        <w:rPr>
          <w:rFonts w:ascii="Times New Roman" w:hAnsi="Times New Roman"/>
          <w:sz w:val="24"/>
          <w:szCs w:val="24"/>
        </w:rPr>
        <w:t>Lipofectamine</w:t>
      </w:r>
      <w:proofErr w:type="spellEnd"/>
      <w:r>
        <w:rPr>
          <w:rFonts w:ascii="Times New Roman" w:hAnsi="Times New Roman"/>
          <w:sz w:val="24"/>
          <w:szCs w:val="24"/>
        </w:rPr>
        <w:t xml:space="preserve"> </w:t>
      </w:r>
      <w:proofErr w:type="spellStart"/>
      <w:r>
        <w:rPr>
          <w:rFonts w:ascii="Times New Roman" w:hAnsi="Times New Roman"/>
          <w:sz w:val="24"/>
          <w:szCs w:val="24"/>
        </w:rPr>
        <w:t>RNAiMAX</w:t>
      </w:r>
      <w:proofErr w:type="spellEnd"/>
      <w:r>
        <w:rPr>
          <w:rFonts w:ascii="Times New Roman" w:hAnsi="Times New Roman" w:hint="eastAsia"/>
          <w:sz w:val="24"/>
          <w:szCs w:val="24"/>
        </w:rPr>
        <w:t xml:space="preserve"> </w:t>
      </w:r>
      <w:r>
        <w:rPr>
          <w:rFonts w:ascii="Times New Roman" w:hAnsi="Times New Roman"/>
          <w:sz w:val="24"/>
          <w:szCs w:val="24"/>
        </w:rPr>
        <w:t xml:space="preserve">(Invitrogen) according to the manufacturer’s protocols. </w:t>
      </w:r>
      <w:proofErr w:type="spellStart"/>
      <w:proofErr w:type="gramStart"/>
      <w:r>
        <w:rPr>
          <w:rFonts w:ascii="Times New Roman" w:hAnsi="Times New Roman"/>
          <w:sz w:val="24"/>
          <w:szCs w:val="24"/>
        </w:rPr>
        <w:t>shRNAs</w:t>
      </w:r>
      <w:proofErr w:type="spellEnd"/>
      <w:proofErr w:type="gramEnd"/>
      <w:r>
        <w:rPr>
          <w:rFonts w:ascii="Times New Roman" w:hAnsi="Times New Roman"/>
          <w:sz w:val="24"/>
          <w:szCs w:val="24"/>
        </w:rPr>
        <w:t xml:space="preserve"> targeting </w:t>
      </w:r>
      <w:r>
        <w:rPr>
          <w:rFonts w:ascii="Times New Roman" w:hAnsi="Times New Roman" w:hint="eastAsia"/>
          <w:sz w:val="24"/>
          <w:szCs w:val="24"/>
        </w:rPr>
        <w:t>circPTK2</w:t>
      </w:r>
      <w:r>
        <w:rPr>
          <w:rFonts w:ascii="Times New Roman" w:hAnsi="Times New Roman"/>
          <w:sz w:val="24"/>
          <w:szCs w:val="24"/>
        </w:rPr>
        <w:t xml:space="preserve"> were designed based on the siRNA sequences and were cloned into the pGLVH1/</w:t>
      </w:r>
      <w:proofErr w:type="spellStart"/>
      <w:r>
        <w:rPr>
          <w:rFonts w:ascii="Times New Roman" w:hAnsi="Times New Roman"/>
          <w:sz w:val="24"/>
          <w:szCs w:val="24"/>
        </w:rPr>
        <w:t>GFP+Puro</w:t>
      </w:r>
      <w:proofErr w:type="spellEnd"/>
      <w:r>
        <w:rPr>
          <w:rFonts w:ascii="Times New Roman" w:hAnsi="Times New Roman" w:hint="eastAsia"/>
          <w:sz w:val="24"/>
          <w:szCs w:val="24"/>
        </w:rPr>
        <w:t xml:space="preserve"> </w:t>
      </w:r>
      <w:r>
        <w:rPr>
          <w:rFonts w:ascii="Times New Roman" w:hAnsi="Times New Roman"/>
          <w:sz w:val="24"/>
          <w:szCs w:val="24"/>
        </w:rPr>
        <w:t>vector (</w:t>
      </w:r>
      <w:proofErr w:type="spellStart"/>
      <w:r>
        <w:rPr>
          <w:rFonts w:ascii="Times New Roman" w:hAnsi="Times New Roman"/>
          <w:sz w:val="24"/>
          <w:szCs w:val="24"/>
        </w:rPr>
        <w:t>GenePharma</w:t>
      </w:r>
      <w:proofErr w:type="spellEnd"/>
      <w:r>
        <w:rPr>
          <w:rFonts w:ascii="Times New Roman" w:hAnsi="Times New Roman"/>
          <w:sz w:val="24"/>
          <w:szCs w:val="24"/>
        </w:rPr>
        <w:t>,</w:t>
      </w:r>
      <w:r>
        <w:rPr>
          <w:rFonts w:ascii="Times New Roman" w:hAnsi="Times New Roman" w:hint="eastAsia"/>
          <w:sz w:val="24"/>
          <w:szCs w:val="24"/>
        </w:rPr>
        <w:t xml:space="preserve"> </w:t>
      </w:r>
      <w:r>
        <w:rPr>
          <w:rFonts w:ascii="Times New Roman" w:hAnsi="Times New Roman"/>
          <w:sz w:val="24"/>
          <w:szCs w:val="24"/>
        </w:rPr>
        <w:t xml:space="preserve">Shanghai, China); the two </w:t>
      </w:r>
      <w:proofErr w:type="spellStart"/>
      <w:r>
        <w:rPr>
          <w:rFonts w:ascii="Times New Roman" w:hAnsi="Times New Roman"/>
          <w:sz w:val="24"/>
          <w:szCs w:val="24"/>
        </w:rPr>
        <w:t>shRNAs</w:t>
      </w:r>
      <w:proofErr w:type="spellEnd"/>
      <w:r>
        <w:rPr>
          <w:rFonts w:ascii="Times New Roman" w:hAnsi="Times New Roman"/>
          <w:sz w:val="24"/>
          <w:szCs w:val="24"/>
        </w:rPr>
        <w:t xml:space="preserve"> that produced the best knockdown efficiencies</w:t>
      </w:r>
      <w:r>
        <w:rPr>
          <w:rFonts w:ascii="Times New Roman" w:hAnsi="Times New Roman" w:hint="eastAsia"/>
          <w:sz w:val="24"/>
          <w:szCs w:val="24"/>
        </w:rPr>
        <w:t xml:space="preserve"> </w:t>
      </w:r>
      <w:r>
        <w:rPr>
          <w:rFonts w:ascii="Times New Roman" w:hAnsi="Times New Roman"/>
          <w:sz w:val="24"/>
          <w:szCs w:val="24"/>
        </w:rPr>
        <w:t xml:space="preserve">were used in </w:t>
      </w:r>
      <w:r>
        <w:rPr>
          <w:rFonts w:ascii="Times New Roman" w:hAnsi="Times New Roman" w:hint="eastAsia"/>
          <w:sz w:val="24"/>
          <w:szCs w:val="24"/>
        </w:rPr>
        <w:t>f</w:t>
      </w:r>
      <w:r>
        <w:rPr>
          <w:rFonts w:ascii="Times New Roman" w:hAnsi="Times New Roman"/>
          <w:sz w:val="24"/>
          <w:szCs w:val="24"/>
        </w:rPr>
        <w:t xml:space="preserve">ollow-up </w:t>
      </w:r>
      <w:r>
        <w:rPr>
          <w:rFonts w:ascii="Times New Roman" w:hAnsi="Times New Roman" w:hint="eastAsia"/>
          <w:sz w:val="24"/>
          <w:szCs w:val="24"/>
        </w:rPr>
        <w:t>f</w:t>
      </w:r>
      <w:r>
        <w:rPr>
          <w:rFonts w:ascii="Times New Roman" w:hAnsi="Times New Roman"/>
          <w:sz w:val="24"/>
          <w:szCs w:val="24"/>
        </w:rPr>
        <w:t xml:space="preserve">unctional </w:t>
      </w:r>
      <w:r>
        <w:rPr>
          <w:rFonts w:ascii="Times New Roman" w:hAnsi="Times New Roman" w:hint="eastAsia"/>
          <w:sz w:val="24"/>
          <w:szCs w:val="24"/>
        </w:rPr>
        <w:t>r</w:t>
      </w:r>
      <w:r>
        <w:rPr>
          <w:rFonts w:ascii="Times New Roman" w:hAnsi="Times New Roman"/>
          <w:sz w:val="24"/>
          <w:szCs w:val="24"/>
        </w:rPr>
        <w:t>esearch.</w:t>
      </w:r>
      <w:r>
        <w:rPr>
          <w:rFonts w:ascii="Times New Roman" w:hAnsi="Times New Roman" w:hint="eastAsia"/>
          <w:sz w:val="24"/>
          <w:szCs w:val="24"/>
        </w:rPr>
        <w:t xml:space="preserve"> </w:t>
      </w:r>
      <w:r>
        <w:rPr>
          <w:rFonts w:ascii="Times New Roman" w:hAnsi="Times New Roman"/>
          <w:sz w:val="24"/>
          <w:szCs w:val="24"/>
        </w:rPr>
        <w:t xml:space="preserve">The </w:t>
      </w:r>
      <w:r>
        <w:rPr>
          <w:rFonts w:ascii="Times New Roman" w:hAnsi="Times New Roman" w:hint="eastAsia"/>
          <w:sz w:val="24"/>
          <w:szCs w:val="24"/>
        </w:rPr>
        <w:t>circPTK2</w:t>
      </w:r>
      <w:r>
        <w:rPr>
          <w:rFonts w:ascii="Times New Roman" w:hAnsi="Times New Roman"/>
          <w:sz w:val="24"/>
          <w:szCs w:val="24"/>
        </w:rPr>
        <w:t xml:space="preserve">-overexpressing lentivirus plasmid was synthesized by </w:t>
      </w:r>
      <w:proofErr w:type="spellStart"/>
      <w:r>
        <w:rPr>
          <w:rFonts w:ascii="Times New Roman" w:hAnsi="Times New Roman"/>
          <w:sz w:val="24"/>
          <w:szCs w:val="24"/>
        </w:rPr>
        <w:t>GenePharma</w:t>
      </w:r>
      <w:proofErr w:type="spellEnd"/>
      <w:r>
        <w:rPr>
          <w:rFonts w:ascii="Times New Roman" w:hAnsi="Times New Roman" w:hint="eastAsia"/>
          <w:sz w:val="24"/>
          <w:szCs w:val="24"/>
        </w:rPr>
        <w:t xml:space="preserve"> (</w:t>
      </w:r>
      <w:r>
        <w:rPr>
          <w:rFonts w:ascii="Times New Roman" w:hAnsi="Times New Roman"/>
          <w:sz w:val="24"/>
          <w:szCs w:val="24"/>
        </w:rPr>
        <w:t xml:space="preserve">Shanghai, China). </w:t>
      </w:r>
    </w:p>
    <w:p w:rsidR="00811D6F" w:rsidRDefault="00811D6F" w:rsidP="00B82F08">
      <w:pPr>
        <w:adjustRightInd w:val="0"/>
        <w:snapToGrid w:val="0"/>
        <w:spacing w:line="360" w:lineRule="auto"/>
        <w:rPr>
          <w:rFonts w:ascii="Times New Roman" w:hAnsi="Times New Roman"/>
          <w:b/>
          <w:bCs/>
          <w:sz w:val="24"/>
          <w:szCs w:val="24"/>
        </w:rPr>
      </w:pPr>
    </w:p>
    <w:p w:rsidR="00B82F08" w:rsidRDefault="00B82F08" w:rsidP="00B82F08">
      <w:pPr>
        <w:adjustRightInd w:val="0"/>
        <w:snapToGrid w:val="0"/>
        <w:spacing w:line="360" w:lineRule="auto"/>
        <w:rPr>
          <w:rFonts w:ascii="Times New Roman" w:hAnsi="Times New Roman"/>
          <w:b/>
          <w:bCs/>
          <w:sz w:val="24"/>
          <w:szCs w:val="24"/>
        </w:rPr>
      </w:pPr>
      <w:r>
        <w:rPr>
          <w:rFonts w:ascii="Times New Roman" w:hAnsi="Times New Roman"/>
          <w:b/>
          <w:bCs/>
          <w:sz w:val="24"/>
          <w:szCs w:val="24"/>
        </w:rPr>
        <w:t>Analysis of cell colony formation, invasion, migration ability, and apoptosis</w:t>
      </w:r>
    </w:p>
    <w:p w:rsidR="00B82F08" w:rsidRDefault="00B82F08" w:rsidP="00B82F08">
      <w:pPr>
        <w:adjustRightInd w:val="0"/>
        <w:snapToGrid w:val="0"/>
        <w:spacing w:line="360" w:lineRule="auto"/>
        <w:rPr>
          <w:rFonts w:ascii="Times New Roman" w:hAnsi="Times New Roman"/>
          <w:sz w:val="24"/>
          <w:szCs w:val="24"/>
        </w:rPr>
      </w:pPr>
      <w:r>
        <w:rPr>
          <w:rFonts w:ascii="Times New Roman" w:hAnsi="Times New Roman"/>
          <w:sz w:val="24"/>
          <w:szCs w:val="24"/>
        </w:rPr>
        <w:t>In brief, for colony formation assays, 500 cells were seeded in 10-cm plates and allowed to grow in complete medium for 10 days. For the cell invasion assays, 1×10</w:t>
      </w:r>
      <w:r>
        <w:rPr>
          <w:rFonts w:ascii="Times New Roman" w:hAnsi="Times New Roman"/>
          <w:sz w:val="24"/>
          <w:szCs w:val="24"/>
          <w:vertAlign w:val="superscript"/>
        </w:rPr>
        <w:t>5</w:t>
      </w:r>
      <w:r>
        <w:rPr>
          <w:rFonts w:ascii="Times New Roman" w:hAnsi="Times New Roman"/>
          <w:sz w:val="24"/>
          <w:szCs w:val="24"/>
        </w:rPr>
        <w:t xml:space="preserve"> cells were plated into the Transwell insert coated with </w:t>
      </w:r>
      <w:proofErr w:type="spellStart"/>
      <w:r>
        <w:rPr>
          <w:rFonts w:ascii="Times New Roman" w:hAnsi="Times New Roman"/>
          <w:sz w:val="24"/>
          <w:szCs w:val="24"/>
        </w:rPr>
        <w:t>Matrigel</w:t>
      </w:r>
      <w:proofErr w:type="spellEnd"/>
      <w:r>
        <w:rPr>
          <w:rFonts w:ascii="Times New Roman" w:hAnsi="Times New Roman"/>
          <w:sz w:val="24"/>
          <w:szCs w:val="24"/>
        </w:rPr>
        <w:t xml:space="preserve"> (</w:t>
      </w:r>
      <w:proofErr w:type="spellStart"/>
      <w:r>
        <w:rPr>
          <w:rFonts w:ascii="Times New Roman" w:hAnsi="Times New Roman"/>
          <w:sz w:val="24"/>
          <w:szCs w:val="24"/>
        </w:rPr>
        <w:t>CytoSelect</w:t>
      </w:r>
      <w:proofErr w:type="spellEnd"/>
      <w:r>
        <w:rPr>
          <w:rFonts w:ascii="Times New Roman" w:hAnsi="Times New Roman"/>
          <w:sz w:val="24"/>
          <w:szCs w:val="24"/>
        </w:rPr>
        <w:t xml:space="preserve"> 24-Well Cell Invasion Assay Kit; Cell Biolabs, USA) and cultured with complete medium for 48 hours. For cell migration assays, 1×10</w:t>
      </w:r>
      <w:r>
        <w:rPr>
          <w:rFonts w:ascii="Times New Roman" w:hAnsi="Times New Roman"/>
          <w:sz w:val="24"/>
          <w:szCs w:val="24"/>
          <w:vertAlign w:val="superscript"/>
        </w:rPr>
        <w:t>5</w:t>
      </w:r>
      <w:r>
        <w:rPr>
          <w:rFonts w:ascii="Times New Roman" w:hAnsi="Times New Roman"/>
          <w:sz w:val="24"/>
          <w:szCs w:val="24"/>
        </w:rPr>
        <w:t xml:space="preserve"> cells were plated into the Transwell insert and cultured with complete medium for 24 hours. Finally, all cells were fixed with ethanol and stained with crystal violet. For detection of apoptosis, cells were stained with annexin V-FITC/PI at room temperature in the dark. The rate of apoptosis was analyzed by flow cytometry. All assays were independently performed in triplicate.</w:t>
      </w:r>
    </w:p>
    <w:p w:rsidR="00136B86" w:rsidRPr="00B82F08" w:rsidRDefault="00136B86" w:rsidP="004C5583">
      <w:pPr>
        <w:spacing w:line="360" w:lineRule="auto"/>
        <w:rPr>
          <w:rFonts w:ascii="Times New Roman" w:hAnsi="Times New Roman"/>
          <w:b/>
          <w:sz w:val="24"/>
          <w:szCs w:val="24"/>
        </w:rPr>
      </w:pPr>
    </w:p>
    <w:p w:rsidR="00136B86" w:rsidRDefault="00136B86" w:rsidP="004C5583">
      <w:pPr>
        <w:spacing w:line="360" w:lineRule="auto"/>
        <w:rPr>
          <w:rFonts w:ascii="Times New Roman" w:hAnsi="Times New Roman"/>
          <w:b/>
          <w:sz w:val="24"/>
          <w:szCs w:val="24"/>
        </w:rPr>
      </w:pPr>
    </w:p>
    <w:p w:rsidR="00136B86" w:rsidRDefault="00136B86" w:rsidP="004C5583">
      <w:pPr>
        <w:spacing w:line="360" w:lineRule="auto"/>
        <w:rPr>
          <w:rFonts w:ascii="Times New Roman" w:hAnsi="Times New Roman"/>
          <w:b/>
          <w:sz w:val="24"/>
          <w:szCs w:val="24"/>
        </w:rPr>
      </w:pPr>
    </w:p>
    <w:p w:rsidR="00CE177B" w:rsidRPr="00642AEE" w:rsidRDefault="00CE177B" w:rsidP="009218EF">
      <w:pPr>
        <w:spacing w:line="360" w:lineRule="auto"/>
        <w:rPr>
          <w:rFonts w:ascii="Times New Roman" w:hAnsi="Times New Roman"/>
          <w:sz w:val="24"/>
          <w:szCs w:val="24"/>
        </w:rPr>
      </w:pPr>
    </w:p>
    <w:sectPr w:rsidR="00CE177B" w:rsidRPr="00642A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AD0" w:rsidRDefault="00BB2AD0" w:rsidP="00113A75">
      <w:r>
        <w:separator/>
      </w:r>
    </w:p>
  </w:endnote>
  <w:endnote w:type="continuationSeparator" w:id="0">
    <w:p w:rsidR="00BB2AD0" w:rsidRDefault="00BB2AD0" w:rsidP="00113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AD0" w:rsidRDefault="00BB2AD0" w:rsidP="00113A75">
      <w:r>
        <w:separator/>
      </w:r>
    </w:p>
  </w:footnote>
  <w:footnote w:type="continuationSeparator" w:id="0">
    <w:p w:rsidR="00BB2AD0" w:rsidRDefault="00BB2AD0" w:rsidP="00113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revisionView w:markup="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B95"/>
    <w:rsid w:val="000720F5"/>
    <w:rsid w:val="00094C37"/>
    <w:rsid w:val="000C706C"/>
    <w:rsid w:val="000D34EF"/>
    <w:rsid w:val="000D5B5F"/>
    <w:rsid w:val="000E2E0F"/>
    <w:rsid w:val="000F0903"/>
    <w:rsid w:val="000F12D8"/>
    <w:rsid w:val="000F78F1"/>
    <w:rsid w:val="00103502"/>
    <w:rsid w:val="00113A75"/>
    <w:rsid w:val="00136B86"/>
    <w:rsid w:val="001741E1"/>
    <w:rsid w:val="0018550B"/>
    <w:rsid w:val="00192EEE"/>
    <w:rsid w:val="0019312D"/>
    <w:rsid w:val="001A1222"/>
    <w:rsid w:val="001A79AC"/>
    <w:rsid w:val="001B4C98"/>
    <w:rsid w:val="001C048D"/>
    <w:rsid w:val="002316F4"/>
    <w:rsid w:val="00244CEF"/>
    <w:rsid w:val="00276078"/>
    <w:rsid w:val="00282F8D"/>
    <w:rsid w:val="00293279"/>
    <w:rsid w:val="002B69E2"/>
    <w:rsid w:val="002C097D"/>
    <w:rsid w:val="002C2C65"/>
    <w:rsid w:val="002C48CD"/>
    <w:rsid w:val="002C5910"/>
    <w:rsid w:val="002D46BC"/>
    <w:rsid w:val="0030579A"/>
    <w:rsid w:val="00312B55"/>
    <w:rsid w:val="00353F18"/>
    <w:rsid w:val="00370F01"/>
    <w:rsid w:val="00392A0E"/>
    <w:rsid w:val="003B049C"/>
    <w:rsid w:val="003C3F0F"/>
    <w:rsid w:val="003D6BFD"/>
    <w:rsid w:val="003E2873"/>
    <w:rsid w:val="003E3C66"/>
    <w:rsid w:val="004246BD"/>
    <w:rsid w:val="0043222B"/>
    <w:rsid w:val="00480B4C"/>
    <w:rsid w:val="004A250F"/>
    <w:rsid w:val="004C5583"/>
    <w:rsid w:val="004F7DC3"/>
    <w:rsid w:val="005124F0"/>
    <w:rsid w:val="00516EF9"/>
    <w:rsid w:val="00562C68"/>
    <w:rsid w:val="005707C5"/>
    <w:rsid w:val="00572189"/>
    <w:rsid w:val="00581BB6"/>
    <w:rsid w:val="005E26A9"/>
    <w:rsid w:val="005E4093"/>
    <w:rsid w:val="005E6611"/>
    <w:rsid w:val="005F0DD8"/>
    <w:rsid w:val="00605250"/>
    <w:rsid w:val="006244CF"/>
    <w:rsid w:val="00642AEE"/>
    <w:rsid w:val="006508D0"/>
    <w:rsid w:val="00652C88"/>
    <w:rsid w:val="00657B79"/>
    <w:rsid w:val="00674A27"/>
    <w:rsid w:val="00684B95"/>
    <w:rsid w:val="006B6413"/>
    <w:rsid w:val="006C11BD"/>
    <w:rsid w:val="006D7E5A"/>
    <w:rsid w:val="006E46FF"/>
    <w:rsid w:val="006F59A7"/>
    <w:rsid w:val="00705D8A"/>
    <w:rsid w:val="00715819"/>
    <w:rsid w:val="0073424F"/>
    <w:rsid w:val="00755DA5"/>
    <w:rsid w:val="00767695"/>
    <w:rsid w:val="00773D2E"/>
    <w:rsid w:val="00811299"/>
    <w:rsid w:val="00811D6F"/>
    <w:rsid w:val="00813031"/>
    <w:rsid w:val="00842947"/>
    <w:rsid w:val="008A5EA2"/>
    <w:rsid w:val="008B3E0B"/>
    <w:rsid w:val="008D033E"/>
    <w:rsid w:val="008F4ACC"/>
    <w:rsid w:val="008F64CD"/>
    <w:rsid w:val="00904A3E"/>
    <w:rsid w:val="00912940"/>
    <w:rsid w:val="009218EF"/>
    <w:rsid w:val="00943375"/>
    <w:rsid w:val="00982003"/>
    <w:rsid w:val="00983B1C"/>
    <w:rsid w:val="00A1685F"/>
    <w:rsid w:val="00A6522D"/>
    <w:rsid w:val="00A90817"/>
    <w:rsid w:val="00A9736C"/>
    <w:rsid w:val="00AA024E"/>
    <w:rsid w:val="00AE63E7"/>
    <w:rsid w:val="00AF0276"/>
    <w:rsid w:val="00B10007"/>
    <w:rsid w:val="00B170B8"/>
    <w:rsid w:val="00B25EEA"/>
    <w:rsid w:val="00B6784B"/>
    <w:rsid w:val="00B82F08"/>
    <w:rsid w:val="00BB2AD0"/>
    <w:rsid w:val="00BC7A83"/>
    <w:rsid w:val="00BD4D39"/>
    <w:rsid w:val="00BF5752"/>
    <w:rsid w:val="00C309D7"/>
    <w:rsid w:val="00C53D8C"/>
    <w:rsid w:val="00C551AE"/>
    <w:rsid w:val="00C57484"/>
    <w:rsid w:val="00C71AC5"/>
    <w:rsid w:val="00C978D0"/>
    <w:rsid w:val="00CD0AD5"/>
    <w:rsid w:val="00CD5D3C"/>
    <w:rsid w:val="00CE177B"/>
    <w:rsid w:val="00CF1B51"/>
    <w:rsid w:val="00CF6FCD"/>
    <w:rsid w:val="00D04851"/>
    <w:rsid w:val="00D375DE"/>
    <w:rsid w:val="00D401A3"/>
    <w:rsid w:val="00D406FF"/>
    <w:rsid w:val="00D46D03"/>
    <w:rsid w:val="00D61BB3"/>
    <w:rsid w:val="00D70DDA"/>
    <w:rsid w:val="00D718A7"/>
    <w:rsid w:val="00D877DF"/>
    <w:rsid w:val="00D92F31"/>
    <w:rsid w:val="00D954DE"/>
    <w:rsid w:val="00DA16C2"/>
    <w:rsid w:val="00DB1553"/>
    <w:rsid w:val="00DE433E"/>
    <w:rsid w:val="00E05708"/>
    <w:rsid w:val="00E13DD9"/>
    <w:rsid w:val="00E15C56"/>
    <w:rsid w:val="00E3121E"/>
    <w:rsid w:val="00E506EC"/>
    <w:rsid w:val="00E8642F"/>
    <w:rsid w:val="00E87DEE"/>
    <w:rsid w:val="00E96DAB"/>
    <w:rsid w:val="00EB354F"/>
    <w:rsid w:val="00EB7714"/>
    <w:rsid w:val="00EC6E2F"/>
    <w:rsid w:val="00ED0686"/>
    <w:rsid w:val="00F108B7"/>
    <w:rsid w:val="00F2785D"/>
    <w:rsid w:val="00F35A08"/>
    <w:rsid w:val="00F43E20"/>
    <w:rsid w:val="00F47557"/>
    <w:rsid w:val="00FA576A"/>
    <w:rsid w:val="00FA6D00"/>
    <w:rsid w:val="00FC3533"/>
    <w:rsid w:val="00FC7FBF"/>
    <w:rsid w:val="00FE14E3"/>
    <w:rsid w:val="00FE2537"/>
    <w:rsid w:val="00FE4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A7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3A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13A75"/>
    <w:rPr>
      <w:sz w:val="18"/>
      <w:szCs w:val="18"/>
    </w:rPr>
  </w:style>
  <w:style w:type="paragraph" w:styleId="a4">
    <w:name w:val="footer"/>
    <w:basedOn w:val="a"/>
    <w:link w:val="Char0"/>
    <w:uiPriority w:val="99"/>
    <w:unhideWhenUsed/>
    <w:rsid w:val="00113A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13A75"/>
    <w:rPr>
      <w:sz w:val="18"/>
      <w:szCs w:val="18"/>
    </w:rPr>
  </w:style>
  <w:style w:type="character" w:styleId="a5">
    <w:name w:val="Hyperlink"/>
    <w:basedOn w:val="a0"/>
    <w:uiPriority w:val="99"/>
    <w:unhideWhenUsed/>
    <w:rsid w:val="00E87DEE"/>
    <w:rPr>
      <w:color w:val="0000FF" w:themeColor="hyperlink"/>
      <w:u w:val="single"/>
    </w:rPr>
  </w:style>
  <w:style w:type="paragraph" w:styleId="a6">
    <w:name w:val="Balloon Text"/>
    <w:basedOn w:val="a"/>
    <w:link w:val="Char1"/>
    <w:uiPriority w:val="99"/>
    <w:semiHidden/>
    <w:unhideWhenUsed/>
    <w:rsid w:val="00FC3533"/>
    <w:rPr>
      <w:sz w:val="18"/>
      <w:szCs w:val="18"/>
    </w:rPr>
  </w:style>
  <w:style w:type="character" w:customStyle="1" w:styleId="Char1">
    <w:name w:val="批注框文本 Char"/>
    <w:basedOn w:val="a0"/>
    <w:link w:val="a6"/>
    <w:uiPriority w:val="99"/>
    <w:semiHidden/>
    <w:rsid w:val="00FC3533"/>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A7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3A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13A75"/>
    <w:rPr>
      <w:sz w:val="18"/>
      <w:szCs w:val="18"/>
    </w:rPr>
  </w:style>
  <w:style w:type="paragraph" w:styleId="a4">
    <w:name w:val="footer"/>
    <w:basedOn w:val="a"/>
    <w:link w:val="Char0"/>
    <w:uiPriority w:val="99"/>
    <w:unhideWhenUsed/>
    <w:rsid w:val="00113A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13A75"/>
    <w:rPr>
      <w:sz w:val="18"/>
      <w:szCs w:val="18"/>
    </w:rPr>
  </w:style>
  <w:style w:type="character" w:styleId="a5">
    <w:name w:val="Hyperlink"/>
    <w:basedOn w:val="a0"/>
    <w:uiPriority w:val="99"/>
    <w:unhideWhenUsed/>
    <w:rsid w:val="00E87DEE"/>
    <w:rPr>
      <w:color w:val="0000FF" w:themeColor="hyperlink"/>
      <w:u w:val="single"/>
    </w:rPr>
  </w:style>
  <w:style w:type="paragraph" w:styleId="a6">
    <w:name w:val="Balloon Text"/>
    <w:basedOn w:val="a"/>
    <w:link w:val="Char1"/>
    <w:uiPriority w:val="99"/>
    <w:semiHidden/>
    <w:unhideWhenUsed/>
    <w:rsid w:val="00FC3533"/>
    <w:rPr>
      <w:sz w:val="18"/>
      <w:szCs w:val="18"/>
    </w:rPr>
  </w:style>
  <w:style w:type="character" w:customStyle="1" w:styleId="Char1">
    <w:name w:val="批注框文本 Char"/>
    <w:basedOn w:val="a0"/>
    <w:link w:val="a6"/>
    <w:uiPriority w:val="99"/>
    <w:semiHidden/>
    <w:rsid w:val="00FC353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714</TotalTime>
  <Pages>3</Pages>
  <Words>860</Words>
  <Characters>4907</Characters>
  <Application>Microsoft Office Word</Application>
  <DocSecurity>0</DocSecurity>
  <Lines>40</Lines>
  <Paragraphs>11</Paragraphs>
  <ScaleCrop>false</ScaleCrop>
  <Company/>
  <LinksUpToDate>false</LinksUpToDate>
  <CharactersWithSpaces>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8613852296589</dc:creator>
  <cp:keywords/>
  <dc:description/>
  <cp:lastModifiedBy>8613852296589</cp:lastModifiedBy>
  <cp:revision>184</cp:revision>
  <dcterms:created xsi:type="dcterms:W3CDTF">2019-10-06T03:06:00Z</dcterms:created>
  <dcterms:modified xsi:type="dcterms:W3CDTF">2019-12-21T07:24:00Z</dcterms:modified>
</cp:coreProperties>
</file>