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9756D" w14:textId="4786AA0E" w:rsidR="0085370A" w:rsidRDefault="0085370A" w:rsidP="00AF4FAD">
      <w:pPr>
        <w:rPr>
          <w:rFonts w:ascii="Arial" w:hAnsi="Arial" w:cs="Arial"/>
          <w:b/>
        </w:rPr>
      </w:pPr>
      <w:r w:rsidRPr="003A5F02">
        <w:rPr>
          <w:rFonts w:ascii="Arial" w:hAnsi="Arial" w:cs="Arial"/>
          <w:b/>
        </w:rPr>
        <w:t>Supplementary Materials and Methods</w:t>
      </w:r>
    </w:p>
    <w:p w14:paraId="1436C8DC" w14:textId="77777777" w:rsidR="00AF4FAD" w:rsidRPr="00AF4FAD" w:rsidRDefault="00AF4FAD" w:rsidP="00AF4FAD">
      <w:pPr>
        <w:pStyle w:val="Corpotesto"/>
        <w:spacing w:after="0" w:line="240" w:lineRule="auto"/>
      </w:pPr>
    </w:p>
    <w:p w14:paraId="0F7ACF9C" w14:textId="77777777" w:rsidR="0085370A" w:rsidRPr="00AF4FAD" w:rsidRDefault="0085370A" w:rsidP="00AF4FAD">
      <w:pPr>
        <w:shd w:val="clear" w:color="auto" w:fill="FFFFFF"/>
        <w:spacing w:line="360" w:lineRule="auto"/>
        <w:outlineLvl w:val="2"/>
        <w:rPr>
          <w:rFonts w:ascii="Arial" w:eastAsia="Times New Roman" w:hAnsi="Arial" w:cs="Arial"/>
          <w:b/>
          <w:color w:val="000000" w:themeColor="text1"/>
        </w:rPr>
      </w:pPr>
      <w:r w:rsidRPr="00AF4FAD">
        <w:rPr>
          <w:rFonts w:ascii="Arial" w:eastAsia="Times New Roman" w:hAnsi="Arial" w:cs="Arial"/>
          <w:b/>
          <w:color w:val="000000" w:themeColor="text1"/>
        </w:rPr>
        <w:t>Reagents</w:t>
      </w:r>
    </w:p>
    <w:p w14:paraId="757B54A2" w14:textId="27A028E9" w:rsidR="0085370A" w:rsidRPr="003A5F02" w:rsidRDefault="0085370A" w:rsidP="00AF4FAD">
      <w:pPr>
        <w:spacing w:line="360" w:lineRule="auto"/>
        <w:rPr>
          <w:rFonts w:ascii="Arial" w:eastAsia="Times New Roman" w:hAnsi="Arial" w:cs="Arial"/>
        </w:rPr>
      </w:pPr>
      <w:r w:rsidRPr="003A5F02">
        <w:rPr>
          <w:rFonts w:ascii="Arial" w:eastAsia="Times New Roman" w:hAnsi="Arial" w:cs="Arial"/>
          <w:shd w:val="clear" w:color="auto" w:fill="FFFFFF"/>
        </w:rPr>
        <w:t>Paclitaxel (cat. no. T1912-1MG)</w:t>
      </w:r>
      <w:r w:rsidRPr="003A5F02">
        <w:rPr>
          <w:rFonts w:ascii="Arial" w:hAnsi="Arial" w:cs="Arial"/>
        </w:rPr>
        <w:t xml:space="preserve"> and colchicine (cat. no. C9754-100MG) </w:t>
      </w:r>
      <w:r w:rsidRPr="003A5F02">
        <w:rPr>
          <w:rFonts w:ascii="Arial" w:eastAsia="Times New Roman" w:hAnsi="Arial" w:cs="Arial"/>
        </w:rPr>
        <w:t xml:space="preserve">were purchased from Sigma Aldrich and resuspended in DMSO </w:t>
      </w:r>
      <w:r w:rsidRPr="003A5F02">
        <w:rPr>
          <w:rFonts w:ascii="Arial" w:hAnsi="Arial" w:cs="Arial"/>
        </w:rPr>
        <w:t xml:space="preserve">(Millipore, cat. no. D/4125/PB08). </w:t>
      </w:r>
      <w:r w:rsidR="000B3705" w:rsidRPr="003A5F02">
        <w:rPr>
          <w:rFonts w:ascii="Arial" w:hAnsi="Arial" w:cs="Arial"/>
          <w:lang w:val="el-GR"/>
        </w:rPr>
        <w:t>β</w:t>
      </w:r>
      <w:r w:rsidRPr="003A5F02">
        <w:rPr>
          <w:rFonts w:ascii="Arial" w:hAnsi="Arial" w:cs="Arial"/>
        </w:rPr>
        <w:t xml:space="preserve"> tubulin (cat. no. 86298) and phospho-Histone H3 (Ser10) (cat. no. 3377) antibodies as well as anti-rabbit IgG (1:5000, cat. no. 7074P2) and anti-mouse IgG (1:5000, cat. no. 7076P2) HRP-linked antibodies </w:t>
      </w:r>
      <w:r w:rsidRPr="003A5F02">
        <w:rPr>
          <w:rFonts w:ascii="Arial" w:eastAsia="Times New Roman" w:hAnsi="Arial" w:cs="Arial"/>
        </w:rPr>
        <w:t xml:space="preserve">were purchased from </w:t>
      </w:r>
      <w:r w:rsidRPr="003A5F02">
        <w:rPr>
          <w:rFonts w:ascii="Arial" w:hAnsi="Arial" w:cs="Arial"/>
        </w:rPr>
        <w:t>Cell Signaling. CDK1 (cat. no. STJ23048) and NUSAP1 (anti-ANKT) (1:1000, cat. no. STJ91598) antibodies were purchased from St John’s Labs. Phospho-</w:t>
      </w:r>
      <w:r w:rsidRPr="003A5F02">
        <w:rPr>
          <w:rFonts w:ascii="Arial" w:hAnsi="Arial" w:cs="Arial"/>
          <w:lang w:val="el-GR"/>
        </w:rPr>
        <w:t>β</w:t>
      </w:r>
      <w:r w:rsidRPr="003A5F02">
        <w:rPr>
          <w:rFonts w:ascii="Arial" w:hAnsi="Arial" w:cs="Arial"/>
        </w:rPr>
        <w:t xml:space="preserve">III tubulin S172 antibody was purchased from Abcam (cat. no. ab76286). GAPDH (1 </w:t>
      </w:r>
      <w:proofErr w:type="spellStart"/>
      <w:r w:rsidRPr="003A5F02">
        <w:rPr>
          <w:rFonts w:ascii="Arial" w:hAnsi="Arial" w:cs="Arial"/>
        </w:rPr>
        <w:t>μg</w:t>
      </w:r>
      <w:proofErr w:type="spellEnd"/>
      <w:r w:rsidRPr="003A5F02">
        <w:rPr>
          <w:rFonts w:ascii="Arial" w:hAnsi="Arial" w:cs="Arial"/>
        </w:rPr>
        <w:t xml:space="preserve">/mL, cat. no. 39-8600) and Alexa Flour®-488 goat anti-mouse (cat. no. A11029) secondary antibody were purchased from Thermo Fisher Scientific, while α-tubulin (0.5 </w:t>
      </w:r>
      <w:proofErr w:type="spellStart"/>
      <w:r w:rsidRPr="003A5F02">
        <w:rPr>
          <w:rFonts w:ascii="Arial" w:hAnsi="Arial" w:cs="Arial"/>
        </w:rPr>
        <w:t>μg</w:t>
      </w:r>
      <w:proofErr w:type="spellEnd"/>
      <w:r w:rsidRPr="003A5F02">
        <w:rPr>
          <w:rFonts w:ascii="Arial" w:hAnsi="Arial" w:cs="Arial"/>
        </w:rPr>
        <w:t xml:space="preserve">/mL or 1:100, cat. no. A01410-100) was purchased from </w:t>
      </w:r>
      <w:proofErr w:type="spellStart"/>
      <w:r w:rsidRPr="003A5F02">
        <w:rPr>
          <w:rFonts w:ascii="Arial" w:hAnsi="Arial" w:cs="Arial"/>
        </w:rPr>
        <w:t>GenScript</w:t>
      </w:r>
      <w:proofErr w:type="spellEnd"/>
      <w:r w:rsidRPr="003A5F02">
        <w:rPr>
          <w:rFonts w:ascii="Arial" w:hAnsi="Arial" w:cs="Arial"/>
        </w:rPr>
        <w:t xml:space="preserve">. A Sigma Aldrich antibody (1:500, cat no. WH0114783M2) was used to detect total LMTK3. A </w:t>
      </w:r>
      <w:r w:rsidRPr="003A5F02">
        <w:rPr>
          <w:rFonts w:ascii="Arial" w:eastAsia="Times New Roman" w:hAnsi="Arial" w:cs="Arial"/>
        </w:rPr>
        <w:t>pCMV6-LMTK3 overexpressing plasmid (cat. no. RC223140), the pCMV6 empty vector (cat. no. PS100001)</w:t>
      </w:r>
      <w:r w:rsidRPr="003A5F02">
        <w:rPr>
          <w:rFonts w:ascii="Arial" w:hAnsi="Arial" w:cs="Arial"/>
        </w:rPr>
        <w:t xml:space="preserve"> and the </w:t>
      </w:r>
      <w:r w:rsidRPr="003A5F02">
        <w:rPr>
          <w:rFonts w:ascii="Arial" w:hAnsi="Arial" w:cs="Arial"/>
          <w:color w:val="000000"/>
          <w:lang w:eastAsia="en-GB"/>
        </w:rPr>
        <w:t xml:space="preserve">pCMV6-NUSAP1 plasmid (cat. no. RG219159) </w:t>
      </w:r>
      <w:r w:rsidRPr="003A5F02">
        <w:rPr>
          <w:rFonts w:ascii="Arial" w:eastAsia="Times New Roman" w:hAnsi="Arial" w:cs="Arial"/>
        </w:rPr>
        <w:t xml:space="preserve">were purchased from </w:t>
      </w:r>
      <w:proofErr w:type="spellStart"/>
      <w:r w:rsidRPr="003A5F02">
        <w:rPr>
          <w:rFonts w:ascii="Arial" w:eastAsia="Times New Roman" w:hAnsi="Arial" w:cs="Arial"/>
        </w:rPr>
        <w:t>Origene</w:t>
      </w:r>
      <w:proofErr w:type="spellEnd"/>
      <w:r w:rsidRPr="003A5F02">
        <w:rPr>
          <w:rFonts w:ascii="Arial" w:eastAsia="Times New Roman" w:hAnsi="Arial" w:cs="Arial"/>
        </w:rPr>
        <w:t>. Purified porcine tubulin was purchased from Cytoskeleton Inc.  (cat. no. T240). All the other reagents, if not otherwise specified, were purchased from Thermo Fisher Scientific.</w:t>
      </w:r>
    </w:p>
    <w:p w14:paraId="176AB733" w14:textId="77777777" w:rsidR="0085370A" w:rsidRPr="003A5F02" w:rsidRDefault="0085370A" w:rsidP="0085370A">
      <w:pPr>
        <w:spacing w:line="360" w:lineRule="auto"/>
        <w:rPr>
          <w:rFonts w:ascii="Arial" w:eastAsia="Times New Roman" w:hAnsi="Arial" w:cs="Arial"/>
          <w:color w:val="333333"/>
          <w:sz w:val="12"/>
          <w:szCs w:val="12"/>
        </w:rPr>
      </w:pPr>
    </w:p>
    <w:p w14:paraId="7402EC2D" w14:textId="77777777" w:rsidR="0085370A" w:rsidRPr="003A5F02" w:rsidRDefault="0085370A" w:rsidP="0085370A">
      <w:pPr>
        <w:spacing w:line="360" w:lineRule="auto"/>
        <w:rPr>
          <w:rFonts w:ascii="Arial" w:hAnsi="Arial" w:cs="Arial"/>
          <w:b/>
        </w:rPr>
      </w:pPr>
      <w:r w:rsidRPr="003A5F02">
        <w:rPr>
          <w:rFonts w:ascii="Arial" w:hAnsi="Arial" w:cs="Arial"/>
          <w:b/>
        </w:rPr>
        <w:t xml:space="preserve">Cell lines </w:t>
      </w:r>
    </w:p>
    <w:p w14:paraId="2F2B7395" w14:textId="77777777" w:rsidR="0085370A" w:rsidRPr="003A5F02" w:rsidRDefault="0085370A" w:rsidP="0085370A">
      <w:pPr>
        <w:spacing w:line="360" w:lineRule="auto"/>
        <w:rPr>
          <w:rFonts w:ascii="Arial" w:hAnsi="Arial" w:cs="Arial"/>
        </w:rPr>
      </w:pPr>
      <w:r w:rsidRPr="003A5F02">
        <w:rPr>
          <w:rFonts w:ascii="Arial" w:hAnsi="Arial" w:cs="Arial"/>
        </w:rPr>
        <w:t xml:space="preserve">MCF7, T47D, MDA-MB-231 and MCF12A cell lines were purchased from ATCC. MCF7 and MDA-MB-231 cells were maintained in low glucose DMEM (Sigma Aldrich, cat. no. D6046-500ML) supplemented with 10% FBS (Sigma Aldrich, cat. no. F7524-500ML) and 1% Penicillin/Streptomycin (Sigma-Aldrich, cat. no. P0781-100ML). T47D cells were maintained in RPMI-1640 medium (Sigma Aldrich, cat. no. R5886-500ML) supplemented with 10% FBS (Sigma Aldrich, cat. no. F7524-500ML) and 1% L-glutamine/Penicillin/Streptomycin solution (Sigma-Aldrich, cat. no. G1146-100ML). MCF12A cells were maintained in Cascade Biologics medium 171 (Gibco, cat. no. 171 M-171-500) supplemented with 10% FBS (Sigma Aldrich, cat. no. F7524-500ML), 1% L-Glutamine/Penicillin/Streptomycin (Sigma Aldrich, cat. no. G1146-100ML), 1% mammary epithelial growth supplement (Thermo Fisher Scientific, cat. no. S0155) and 100 ng/mL cholera toxin from Vibrio cholerae (Sigma Aldrich, cat. no. C8052-5MG). </w:t>
      </w:r>
    </w:p>
    <w:p w14:paraId="30FDF113" w14:textId="77777777" w:rsidR="0085370A" w:rsidRPr="003A5F02" w:rsidRDefault="0085370A" w:rsidP="0085370A">
      <w:pPr>
        <w:pStyle w:val="Testocommento"/>
        <w:spacing w:line="360" w:lineRule="auto"/>
        <w:rPr>
          <w:rFonts w:ascii="Arial" w:hAnsi="Arial" w:cs="Arial"/>
          <w:sz w:val="12"/>
        </w:rPr>
      </w:pPr>
    </w:p>
    <w:p w14:paraId="1916267E"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color w:val="000000"/>
          <w:lang w:eastAsia="en-GB"/>
        </w:rPr>
        <w:t>Western blotting</w:t>
      </w:r>
    </w:p>
    <w:p w14:paraId="01CF7948" w14:textId="77777777"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Protein lysates were extracted using RIPA buffer (Sigma Aldrich, cat. no. R0278-50ML) including fresh protease and phosphatase inhibitors (Roche Diagnostics GmbH, cat. no. 11697498001 &amp; cat. no. 4906845001) and standard western blotting protocol was performed.</w:t>
      </w:r>
      <w:r w:rsidRPr="003A5F02">
        <w:rPr>
          <w:rFonts w:ascii="Arial" w:hAnsi="Arial" w:cs="Arial"/>
        </w:rPr>
        <w:t xml:space="preserve"> </w:t>
      </w:r>
      <w:r w:rsidRPr="003A5F02">
        <w:rPr>
          <w:rFonts w:ascii="Arial" w:hAnsi="Arial" w:cs="Arial"/>
          <w:color w:val="000000"/>
          <w:lang w:eastAsia="en-GB"/>
        </w:rPr>
        <w:t>Briefly, protein concentration of the lysates was determined using the Pierce BCA protein assay kit (</w:t>
      </w:r>
      <w:proofErr w:type="spellStart"/>
      <w:r w:rsidRPr="003A5F02">
        <w:rPr>
          <w:rFonts w:ascii="Arial" w:hAnsi="Arial" w:cs="Arial"/>
          <w:color w:val="000000"/>
          <w:lang w:eastAsia="en-GB"/>
        </w:rPr>
        <w:t>ThermoFisher</w:t>
      </w:r>
      <w:proofErr w:type="spellEnd"/>
      <w:r w:rsidRPr="003A5F02">
        <w:rPr>
          <w:rFonts w:ascii="Arial" w:hAnsi="Arial" w:cs="Arial"/>
          <w:color w:val="000000"/>
          <w:lang w:eastAsia="en-GB"/>
        </w:rPr>
        <w:t xml:space="preserve"> Scientific, cat. no. 23227) and 30-50 </w:t>
      </w:r>
      <w:proofErr w:type="spellStart"/>
      <w:r w:rsidRPr="003A5F02">
        <w:rPr>
          <w:rFonts w:ascii="Arial" w:hAnsi="Arial" w:cs="Arial"/>
          <w:color w:val="000000"/>
          <w:lang w:eastAsia="en-GB"/>
        </w:rPr>
        <w:t>μg</w:t>
      </w:r>
      <w:proofErr w:type="spellEnd"/>
      <w:r w:rsidRPr="003A5F02">
        <w:rPr>
          <w:rFonts w:ascii="Arial" w:hAnsi="Arial" w:cs="Arial"/>
          <w:color w:val="000000"/>
          <w:lang w:eastAsia="en-GB"/>
        </w:rPr>
        <w:t xml:space="preserve"> of protein extract was resolved on SDS/PAGE gels (</w:t>
      </w:r>
      <w:proofErr w:type="spellStart"/>
      <w:r w:rsidRPr="003A5F02">
        <w:rPr>
          <w:rFonts w:ascii="Arial" w:hAnsi="Arial" w:cs="Arial"/>
          <w:color w:val="000000"/>
          <w:lang w:eastAsia="en-GB"/>
        </w:rPr>
        <w:t>GenScript</w:t>
      </w:r>
      <w:proofErr w:type="spellEnd"/>
      <w:r w:rsidRPr="003A5F02">
        <w:rPr>
          <w:rFonts w:ascii="Arial" w:hAnsi="Arial" w:cs="Arial"/>
          <w:color w:val="000000"/>
          <w:lang w:eastAsia="en-GB"/>
        </w:rPr>
        <w:t xml:space="preserve">, cat. no. M42012 </w:t>
      </w:r>
      <w:r w:rsidRPr="003A5F02">
        <w:rPr>
          <w:rFonts w:ascii="Arial" w:hAnsi="Arial" w:cs="Arial"/>
          <w:color w:val="000000"/>
          <w:lang w:eastAsia="en-GB"/>
        </w:rPr>
        <w:lastRenderedPageBreak/>
        <w:t xml:space="preserve">&amp; cat. no. M00653). Proteins were then transferred onto a nitrocellulose blotting membrane (Thermo Fisher Scientific, cat. no. IB23001) using the </w:t>
      </w:r>
      <w:proofErr w:type="spellStart"/>
      <w:r w:rsidRPr="003A5F02">
        <w:rPr>
          <w:rFonts w:ascii="Arial" w:hAnsi="Arial" w:cs="Arial"/>
          <w:color w:val="000000"/>
          <w:lang w:eastAsia="en-GB"/>
        </w:rPr>
        <w:t>iBlot</w:t>
      </w:r>
      <w:proofErr w:type="spellEnd"/>
      <w:r w:rsidRPr="003A5F02">
        <w:rPr>
          <w:rFonts w:ascii="Arial" w:hAnsi="Arial" w:cs="Arial"/>
          <w:color w:val="000000"/>
          <w:lang w:eastAsia="en-GB"/>
        </w:rPr>
        <w:t xml:space="preserve"> 2 dry blotting system (Thermo Fisher Scientific, cat. no. IB21001). The membranes were blocked in TBS containing 0.1% (v/v) Tween 20 and 5% (w/v) non-fat milk or 5% (w/v) BSA (VWR Life Science, cat. no. 421501J) for 1 hour before being incubated with the primary antibodies overnight at 4°C. HRP-conjugated secondary anti-rabbit (1:5000, Cell Signaling, cat. no. 7074P2) or anti-mouse (1:5000, Cell Signaling, cat. no. 7076P2) antibodies were used. Chemiluminescent detection was performed using the </w:t>
      </w:r>
      <w:proofErr w:type="spellStart"/>
      <w:r w:rsidRPr="003A5F02">
        <w:rPr>
          <w:rFonts w:ascii="Arial" w:hAnsi="Arial" w:cs="Arial"/>
          <w:color w:val="000000"/>
          <w:lang w:eastAsia="en-GB"/>
        </w:rPr>
        <w:t>SuperSignal</w:t>
      </w:r>
      <w:proofErr w:type="spellEnd"/>
      <w:r w:rsidRPr="003A5F02">
        <w:rPr>
          <w:rFonts w:ascii="Arial" w:hAnsi="Arial" w:cs="Arial"/>
          <w:color w:val="000000"/>
          <w:lang w:eastAsia="en-GB"/>
        </w:rPr>
        <w:t xml:space="preserve"> West Pico PLUS Chemiluminescent Substrate (Thermo Fisher Scientific, cat. no. 34577). Emission was captured using the UVP </w:t>
      </w:r>
      <w:proofErr w:type="spellStart"/>
      <w:r w:rsidRPr="003A5F02">
        <w:rPr>
          <w:rFonts w:ascii="Arial" w:hAnsi="Arial" w:cs="Arial"/>
          <w:color w:val="000000"/>
          <w:lang w:eastAsia="en-GB"/>
        </w:rPr>
        <w:t>ChemStudio</w:t>
      </w:r>
      <w:proofErr w:type="spellEnd"/>
      <w:r w:rsidRPr="003A5F02">
        <w:rPr>
          <w:rFonts w:ascii="Arial" w:hAnsi="Arial" w:cs="Arial"/>
          <w:color w:val="000000"/>
          <w:lang w:eastAsia="en-GB"/>
        </w:rPr>
        <w:t xml:space="preserve"> Imaging Systems (</w:t>
      </w:r>
      <w:proofErr w:type="spellStart"/>
      <w:r w:rsidRPr="003A5F02">
        <w:rPr>
          <w:rFonts w:ascii="Arial" w:hAnsi="Arial" w:cs="Arial"/>
          <w:color w:val="000000"/>
          <w:lang w:eastAsia="en-GB"/>
        </w:rPr>
        <w:t>Analityk</w:t>
      </w:r>
      <w:proofErr w:type="spellEnd"/>
      <w:r w:rsidRPr="003A5F02">
        <w:rPr>
          <w:rFonts w:ascii="Arial" w:hAnsi="Arial" w:cs="Arial"/>
          <w:color w:val="000000"/>
          <w:lang w:eastAsia="en-GB"/>
        </w:rPr>
        <w:t xml:space="preserve"> </w:t>
      </w:r>
      <w:proofErr w:type="spellStart"/>
      <w:r w:rsidRPr="003A5F02">
        <w:rPr>
          <w:rFonts w:ascii="Arial" w:hAnsi="Arial" w:cs="Arial"/>
          <w:color w:val="000000"/>
          <w:lang w:eastAsia="en-GB"/>
        </w:rPr>
        <w:t>jena</w:t>
      </w:r>
      <w:proofErr w:type="spellEnd"/>
      <w:r w:rsidRPr="003A5F02">
        <w:rPr>
          <w:rFonts w:ascii="Arial" w:hAnsi="Arial" w:cs="Arial"/>
          <w:color w:val="000000"/>
          <w:lang w:eastAsia="en-GB"/>
        </w:rPr>
        <w:t>).</w:t>
      </w:r>
    </w:p>
    <w:p w14:paraId="0F6C79E7" w14:textId="77777777" w:rsidR="0085370A" w:rsidRPr="003A5F02" w:rsidRDefault="0085370A" w:rsidP="0085370A">
      <w:pPr>
        <w:autoSpaceDE w:val="0"/>
        <w:autoSpaceDN w:val="0"/>
        <w:adjustRightInd w:val="0"/>
        <w:spacing w:line="360" w:lineRule="auto"/>
        <w:rPr>
          <w:rFonts w:ascii="Arial" w:hAnsi="Arial" w:cs="Arial"/>
          <w:color w:val="000000"/>
          <w:sz w:val="12"/>
          <w:lang w:eastAsia="en-GB"/>
        </w:rPr>
      </w:pPr>
    </w:p>
    <w:p w14:paraId="4F8D55FB"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color w:val="000000"/>
          <w:lang w:eastAsia="en-GB"/>
        </w:rPr>
        <w:t>Immunofluorescence staining</w:t>
      </w:r>
    </w:p>
    <w:p w14:paraId="7C285E77" w14:textId="77777777" w:rsidR="0085370A" w:rsidRPr="003A5F02" w:rsidRDefault="0085370A" w:rsidP="0085370A">
      <w:pPr>
        <w:pStyle w:val="NormaleWeb"/>
        <w:spacing w:before="0" w:beforeAutospacing="0" w:after="0" w:afterAutospacing="0" w:line="360" w:lineRule="auto"/>
        <w:jc w:val="both"/>
        <w:rPr>
          <w:rFonts w:ascii="Arial" w:hAnsi="Arial" w:cs="Arial"/>
          <w:sz w:val="22"/>
          <w:szCs w:val="22"/>
        </w:rPr>
      </w:pPr>
      <w:r w:rsidRPr="00AF4FAD">
        <w:rPr>
          <w:rFonts w:ascii="Arial" w:hAnsi="Arial" w:cs="Arial"/>
          <w:color w:val="000000"/>
          <w:sz w:val="22"/>
          <w:szCs w:val="22"/>
        </w:rPr>
        <w:t xml:space="preserve">Cells grown on glass coverslips were fixed in 4% formaldehyde in cytoskeleton buffer </w:t>
      </w:r>
      <w:r w:rsidRPr="00AF4FAD">
        <w:rPr>
          <w:rFonts w:ascii="Arial" w:hAnsi="Arial" w:cs="Arial"/>
          <w:sz w:val="22"/>
          <w:szCs w:val="22"/>
        </w:rPr>
        <w:t xml:space="preserve">(10mM MES pH 6.1, 138mM </w:t>
      </w:r>
      <w:proofErr w:type="spellStart"/>
      <w:r w:rsidRPr="00AF4FAD">
        <w:rPr>
          <w:rFonts w:ascii="Arial" w:hAnsi="Arial" w:cs="Arial"/>
          <w:sz w:val="22"/>
          <w:szCs w:val="22"/>
        </w:rPr>
        <w:t>KCl</w:t>
      </w:r>
      <w:proofErr w:type="spellEnd"/>
      <w:r w:rsidRPr="00AF4FAD">
        <w:rPr>
          <w:rFonts w:ascii="Arial" w:hAnsi="Arial" w:cs="Arial"/>
          <w:sz w:val="22"/>
          <w:szCs w:val="22"/>
        </w:rPr>
        <w:t xml:space="preserve">, 3mM </w:t>
      </w:r>
      <w:proofErr w:type="spellStart"/>
      <w:r w:rsidRPr="00AF4FAD">
        <w:rPr>
          <w:rFonts w:ascii="Arial" w:hAnsi="Arial" w:cs="Arial"/>
          <w:sz w:val="22"/>
          <w:szCs w:val="22"/>
        </w:rPr>
        <w:t>MgCl</w:t>
      </w:r>
      <w:proofErr w:type="spellEnd"/>
      <w:r w:rsidRPr="00AF4FAD">
        <w:rPr>
          <w:rFonts w:ascii="Arial" w:hAnsi="Arial" w:cs="Arial"/>
          <w:sz w:val="22"/>
          <w:szCs w:val="22"/>
        </w:rPr>
        <w:t>, 2mM EGTA, 0.32M sucrose)</w:t>
      </w:r>
      <w:r w:rsidRPr="00AF4FAD">
        <w:rPr>
          <w:rFonts w:ascii="Arial" w:hAnsi="Arial" w:cs="Arial"/>
          <w:color w:val="000000"/>
          <w:sz w:val="22"/>
          <w:szCs w:val="22"/>
        </w:rPr>
        <w:t xml:space="preserve"> for 15 minutes, washed in PBS and permeabilized in 0,1% NP40. Coverslips were then incubated for 90 minutes at room temperature with </w:t>
      </w:r>
      <w:r w:rsidRPr="00AF4FAD">
        <w:rPr>
          <w:rFonts w:ascii="Arial" w:hAnsi="Arial" w:cs="Arial"/>
          <w:color w:val="000000"/>
          <w:sz w:val="22"/>
          <w:szCs w:val="22"/>
          <w:lang w:val="el-GR"/>
        </w:rPr>
        <w:t>α</w:t>
      </w:r>
      <w:r w:rsidRPr="00AF4FAD">
        <w:rPr>
          <w:rFonts w:ascii="Arial" w:hAnsi="Arial" w:cs="Arial"/>
          <w:color w:val="000000"/>
          <w:sz w:val="22"/>
          <w:szCs w:val="22"/>
        </w:rPr>
        <w:t xml:space="preserve">-tubulin (1:100, </w:t>
      </w:r>
      <w:proofErr w:type="spellStart"/>
      <w:r w:rsidRPr="00AF4FAD">
        <w:rPr>
          <w:rFonts w:ascii="Arial" w:hAnsi="Arial" w:cs="Arial"/>
          <w:color w:val="000000"/>
          <w:sz w:val="22"/>
          <w:szCs w:val="22"/>
        </w:rPr>
        <w:t>Genscript</w:t>
      </w:r>
      <w:proofErr w:type="spellEnd"/>
      <w:r w:rsidRPr="00AF4FAD">
        <w:rPr>
          <w:rFonts w:ascii="Arial" w:hAnsi="Arial" w:cs="Arial"/>
          <w:color w:val="000000"/>
          <w:sz w:val="22"/>
          <w:szCs w:val="22"/>
        </w:rPr>
        <w:t xml:space="preserve">, cat. no. A01410-100) primary antibody diluted in 2% BSA. Cells were washed and probed with Alexa Flour®-488 goat anti-mouse (Thermo Fisher Scientific, cat. no. A11029) secondary antibody at room temperature for 60 minutes. After washing, coverslips were mounted onto glass slides with the </w:t>
      </w:r>
      <w:proofErr w:type="spellStart"/>
      <w:r w:rsidRPr="00AF4FAD">
        <w:rPr>
          <w:rFonts w:ascii="Arial" w:hAnsi="Arial" w:cs="Arial"/>
          <w:color w:val="000000"/>
          <w:sz w:val="22"/>
          <w:szCs w:val="22"/>
        </w:rPr>
        <w:t>Slowfade</w:t>
      </w:r>
      <w:proofErr w:type="spellEnd"/>
      <w:r w:rsidRPr="00AF4FAD">
        <w:rPr>
          <w:rFonts w:ascii="Arial" w:hAnsi="Arial" w:cs="Arial"/>
          <w:color w:val="000000"/>
          <w:sz w:val="22"/>
          <w:szCs w:val="22"/>
        </w:rPr>
        <w:t xml:space="preserve"> Gold antifade reagent with DAPI (Thermo Fisher Scientific, cat. no. S36942). </w:t>
      </w:r>
      <w:r w:rsidRPr="00AF4FAD">
        <w:rPr>
          <w:rFonts w:ascii="Arial" w:hAnsi="Arial" w:cs="Arial"/>
          <w:sz w:val="22"/>
          <w:szCs w:val="22"/>
        </w:rPr>
        <w:t>Images were acquired through a 63x oil immersion lens on Zeiss LSM880 confocal microscope equipped with a CCD camera.</w:t>
      </w:r>
    </w:p>
    <w:p w14:paraId="33BCE4BB" w14:textId="77777777" w:rsidR="0085370A" w:rsidRPr="003A5F02" w:rsidRDefault="0085370A" w:rsidP="0085370A">
      <w:pPr>
        <w:spacing w:line="360" w:lineRule="auto"/>
        <w:rPr>
          <w:rFonts w:ascii="Arial" w:hAnsi="Arial" w:cs="Arial"/>
          <w:sz w:val="12"/>
        </w:rPr>
      </w:pPr>
    </w:p>
    <w:p w14:paraId="709FAA2E"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color w:val="000000"/>
          <w:lang w:eastAsia="en-GB"/>
        </w:rPr>
        <w:t>Cell cycle analysis</w:t>
      </w:r>
    </w:p>
    <w:p w14:paraId="38509528" w14:textId="77777777"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 xml:space="preserve">Cells were synchronized by serum starvation and then treated with increasing concentrations of C28 for 48 h in complete medium. After collection, the DNA was labelled with propidium iodide using the BD </w:t>
      </w:r>
      <w:proofErr w:type="spellStart"/>
      <w:r w:rsidRPr="003A5F02">
        <w:rPr>
          <w:rFonts w:ascii="Arial" w:hAnsi="Arial" w:cs="Arial"/>
          <w:color w:val="000000"/>
          <w:lang w:eastAsia="en-GB"/>
        </w:rPr>
        <w:t>Cycletest</w:t>
      </w:r>
      <w:proofErr w:type="spellEnd"/>
      <w:r w:rsidRPr="003A5F02">
        <w:rPr>
          <w:rFonts w:ascii="Arial" w:hAnsi="Arial" w:cs="Arial"/>
          <w:color w:val="000000"/>
          <w:lang w:eastAsia="en-GB"/>
        </w:rPr>
        <w:t xml:space="preserve"> Plus DNA Reagent Kit (BD Biosciences, cat. no. 340242) following the manufacturer’s instructions. The BD </w:t>
      </w:r>
      <w:proofErr w:type="spellStart"/>
      <w:r w:rsidRPr="003A5F02">
        <w:rPr>
          <w:rFonts w:ascii="Arial" w:hAnsi="Arial" w:cs="Arial"/>
          <w:color w:val="000000"/>
          <w:lang w:eastAsia="en-GB"/>
        </w:rPr>
        <w:t>Accuri</w:t>
      </w:r>
      <w:proofErr w:type="spellEnd"/>
      <w:r w:rsidRPr="003A5F02">
        <w:rPr>
          <w:rFonts w:ascii="Arial" w:hAnsi="Arial" w:cs="Arial"/>
          <w:color w:val="000000"/>
          <w:lang w:eastAsia="en-GB"/>
        </w:rPr>
        <w:t xml:space="preserve"> C6 flow cytometer (BD Biosciences) was used.</w:t>
      </w:r>
    </w:p>
    <w:p w14:paraId="0676EF7C" w14:textId="77777777" w:rsidR="0085370A" w:rsidRPr="003A5F02" w:rsidRDefault="0085370A" w:rsidP="0085370A">
      <w:pPr>
        <w:autoSpaceDE w:val="0"/>
        <w:autoSpaceDN w:val="0"/>
        <w:adjustRightInd w:val="0"/>
        <w:spacing w:line="360" w:lineRule="auto"/>
        <w:rPr>
          <w:rFonts w:ascii="Arial" w:hAnsi="Arial" w:cs="Arial"/>
          <w:color w:val="000000"/>
          <w:sz w:val="12"/>
          <w:lang w:eastAsia="en-GB"/>
        </w:rPr>
      </w:pPr>
    </w:p>
    <w:p w14:paraId="1BCE1442"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color w:val="000000"/>
          <w:lang w:eastAsia="en-GB"/>
        </w:rPr>
        <w:t>Mitotic index assay</w:t>
      </w:r>
    </w:p>
    <w:p w14:paraId="4BEBE1E5" w14:textId="77777777"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 xml:space="preserve">Cells grown on glass coverslips were fixed in 4% paraformaldehyde for 15 minutes, washed in PBS and incubated with 0.3% (v/v) Triton X-100, 3% BSA in PBS for 30 minutes at room temperature. Coverslips were then stained with anti-α-tubulin antibody (1:100, </w:t>
      </w:r>
      <w:proofErr w:type="spellStart"/>
      <w:r w:rsidRPr="003A5F02">
        <w:rPr>
          <w:rFonts w:ascii="Arial" w:hAnsi="Arial" w:cs="Arial"/>
          <w:color w:val="000000"/>
          <w:lang w:eastAsia="en-GB"/>
        </w:rPr>
        <w:t>Genscript</w:t>
      </w:r>
      <w:proofErr w:type="spellEnd"/>
      <w:r w:rsidRPr="003A5F02">
        <w:rPr>
          <w:rFonts w:ascii="Arial" w:hAnsi="Arial" w:cs="Arial"/>
          <w:color w:val="000000"/>
          <w:lang w:eastAsia="en-GB"/>
        </w:rPr>
        <w:t>, cat. no. A01410-100) and DAPI (Thermo Fisher Scientific, cat. no. S36942). The mitotic index was evaluated counting the percentage of mitosis scoring at least 1000 nuclei.</w:t>
      </w:r>
    </w:p>
    <w:p w14:paraId="3345F7B1" w14:textId="77777777" w:rsidR="0085370A" w:rsidRPr="003A5F02" w:rsidRDefault="0085370A" w:rsidP="0085370A">
      <w:pPr>
        <w:autoSpaceDE w:val="0"/>
        <w:autoSpaceDN w:val="0"/>
        <w:adjustRightInd w:val="0"/>
        <w:spacing w:line="360" w:lineRule="auto"/>
        <w:rPr>
          <w:rFonts w:ascii="Arial" w:hAnsi="Arial" w:cs="Arial"/>
          <w:color w:val="000000"/>
          <w:sz w:val="12"/>
          <w:szCs w:val="12"/>
          <w:lang w:eastAsia="en-GB"/>
        </w:rPr>
      </w:pPr>
    </w:p>
    <w:p w14:paraId="1E3C118D"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AF4FAD">
        <w:rPr>
          <w:rFonts w:ascii="Arial" w:hAnsi="Arial" w:cs="Arial"/>
          <w:b/>
          <w:i/>
          <w:color w:val="000000"/>
          <w:lang w:eastAsia="en-GB"/>
        </w:rPr>
        <w:t>In vitro</w:t>
      </w:r>
      <w:r w:rsidRPr="003A5F02">
        <w:rPr>
          <w:rFonts w:ascii="Arial" w:hAnsi="Arial" w:cs="Arial"/>
          <w:b/>
          <w:color w:val="000000"/>
          <w:lang w:eastAsia="en-GB"/>
        </w:rPr>
        <w:t xml:space="preserve"> microtubule assembly assay</w:t>
      </w:r>
    </w:p>
    <w:p w14:paraId="017A164F" w14:textId="3E88C250"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 xml:space="preserve">Separation of insoluble polymerized microtubules from soluble tubulin dimers was performed. Briefly, cells were treated for 48 hours with increasing concentrations of C28, 50 </w:t>
      </w:r>
      <w:proofErr w:type="spellStart"/>
      <w:r w:rsidRPr="003A5F02">
        <w:rPr>
          <w:rFonts w:ascii="Arial" w:hAnsi="Arial" w:cs="Arial"/>
          <w:color w:val="000000"/>
          <w:lang w:eastAsia="en-GB"/>
        </w:rPr>
        <w:t>nM</w:t>
      </w:r>
      <w:proofErr w:type="spellEnd"/>
      <w:r w:rsidRPr="003A5F02">
        <w:rPr>
          <w:rFonts w:ascii="Arial" w:hAnsi="Arial" w:cs="Arial"/>
          <w:color w:val="000000"/>
          <w:lang w:eastAsia="en-GB"/>
        </w:rPr>
        <w:t xml:space="preserve"> paclitaxel (Sigma Aldrich, </w:t>
      </w:r>
      <w:r w:rsidRPr="003A5F02">
        <w:rPr>
          <w:rFonts w:ascii="Arial" w:hAnsi="Arial" w:cs="Arial"/>
          <w:color w:val="000000"/>
          <w:lang w:eastAsia="en-GB"/>
        </w:rPr>
        <w:lastRenderedPageBreak/>
        <w:t xml:space="preserve">cat. no. T1912-1MG) and 50nM </w:t>
      </w:r>
      <w:r w:rsidR="00E66EB2">
        <w:rPr>
          <w:rFonts w:ascii="Arial" w:hAnsi="Arial" w:cs="Arial"/>
          <w:color w:val="000000"/>
          <w:lang w:eastAsia="en-GB"/>
        </w:rPr>
        <w:t>c</w:t>
      </w:r>
      <w:r w:rsidRPr="003A5F02">
        <w:rPr>
          <w:rFonts w:ascii="Arial" w:hAnsi="Arial" w:cs="Arial"/>
          <w:color w:val="000000"/>
          <w:lang w:eastAsia="en-GB"/>
        </w:rPr>
        <w:t>olchicine (Sigma Aldrich, cat. no. C9754-100MG). Cells were then harvested and lysed using a hypotonic lysis buffer (20 mM Tris HCl pH 8, 1 mM MgCl2, 2 mM EGTA, 1% NP40), supplemented with protease and phosphatase inhibitors</w:t>
      </w:r>
      <w:r w:rsidR="00E66EB2">
        <w:rPr>
          <w:rFonts w:ascii="Arial" w:hAnsi="Arial" w:cs="Arial"/>
          <w:color w:val="000000"/>
          <w:lang w:eastAsia="en-GB"/>
        </w:rPr>
        <w:t xml:space="preserve"> </w:t>
      </w:r>
      <w:r w:rsidR="00E66EB2" w:rsidRPr="003A5F02">
        <w:rPr>
          <w:rFonts w:ascii="Arial" w:hAnsi="Arial" w:cs="Arial"/>
          <w:color w:val="000000"/>
          <w:lang w:eastAsia="en-GB"/>
        </w:rPr>
        <w:t>(Roche Diagnostics GmbH, cat. no. 11697498001 &amp; cat. no. 4906845001)</w:t>
      </w:r>
      <w:r w:rsidRPr="003A5F02">
        <w:rPr>
          <w:rFonts w:ascii="Arial" w:hAnsi="Arial" w:cs="Arial"/>
          <w:color w:val="000000"/>
          <w:lang w:eastAsia="en-GB"/>
        </w:rPr>
        <w:t xml:space="preserve">. Supernatants containing the soluble fraction were collected after centrifugation at 13,000 rpm for 10 minutes at room temperature. The pellets were extracted using RIPA buffer (Sigma Aldrich, cat. no. R0278-50ML) including fresh protease and phosphatase inhibitors (Roche Diagnostics GmbH, cat. no. 11697498001 &amp; cat. no. 4906845001). Supernatants and pellets were dissolved in SDS-PAGE sampling loading buffer at 95°C for 10 minutes and subjected to electrophoresis on SDS-polyacrylamide gels before Western blotting. The relative amounts of tubulin were detected by an anti-α-tubulin primary antibody (0.5 </w:t>
      </w:r>
      <w:proofErr w:type="spellStart"/>
      <w:r w:rsidRPr="003A5F02">
        <w:rPr>
          <w:rFonts w:ascii="Arial" w:hAnsi="Arial" w:cs="Arial"/>
          <w:color w:val="000000"/>
          <w:lang w:eastAsia="en-GB"/>
        </w:rPr>
        <w:t>μg</w:t>
      </w:r>
      <w:proofErr w:type="spellEnd"/>
      <w:r w:rsidRPr="003A5F02">
        <w:rPr>
          <w:rFonts w:ascii="Arial" w:hAnsi="Arial" w:cs="Arial"/>
          <w:color w:val="000000"/>
          <w:lang w:eastAsia="en-GB"/>
        </w:rPr>
        <w:t xml:space="preserve">/mL, </w:t>
      </w:r>
      <w:proofErr w:type="spellStart"/>
      <w:r w:rsidRPr="003A5F02">
        <w:rPr>
          <w:rFonts w:ascii="Arial" w:hAnsi="Arial" w:cs="Arial"/>
          <w:color w:val="000000"/>
          <w:lang w:eastAsia="en-GB"/>
        </w:rPr>
        <w:t>Genscript</w:t>
      </w:r>
      <w:proofErr w:type="spellEnd"/>
      <w:r w:rsidRPr="003A5F02">
        <w:rPr>
          <w:rFonts w:ascii="Arial" w:hAnsi="Arial" w:cs="Arial"/>
          <w:color w:val="000000"/>
          <w:lang w:eastAsia="en-GB"/>
        </w:rPr>
        <w:t xml:space="preserve">, cat. no. A01410-100) and horseradish peroxidase-conjugated secondary antibody. Chemiluminescent detection was performed using the </w:t>
      </w:r>
      <w:proofErr w:type="spellStart"/>
      <w:r w:rsidRPr="003A5F02">
        <w:rPr>
          <w:rFonts w:ascii="Arial" w:hAnsi="Arial" w:cs="Arial"/>
          <w:color w:val="000000"/>
          <w:lang w:eastAsia="en-GB"/>
        </w:rPr>
        <w:t>SuperSignal</w:t>
      </w:r>
      <w:proofErr w:type="spellEnd"/>
      <w:r w:rsidRPr="003A5F02">
        <w:rPr>
          <w:rFonts w:ascii="Arial" w:hAnsi="Arial" w:cs="Arial"/>
          <w:color w:val="000000"/>
          <w:lang w:eastAsia="en-GB"/>
        </w:rPr>
        <w:t xml:space="preserve"> West Pico PLUS Chemiluminescent Substrate (Thermo Fisher Scientific, cat. no. 34577). Emission was captured using the UVP </w:t>
      </w:r>
      <w:proofErr w:type="spellStart"/>
      <w:r w:rsidRPr="003A5F02">
        <w:rPr>
          <w:rFonts w:ascii="Arial" w:hAnsi="Arial" w:cs="Arial"/>
          <w:color w:val="000000"/>
          <w:lang w:eastAsia="en-GB"/>
        </w:rPr>
        <w:t>ChemStudio</w:t>
      </w:r>
      <w:proofErr w:type="spellEnd"/>
      <w:r w:rsidRPr="003A5F02">
        <w:rPr>
          <w:rFonts w:ascii="Arial" w:hAnsi="Arial" w:cs="Arial"/>
          <w:color w:val="000000"/>
          <w:lang w:eastAsia="en-GB"/>
        </w:rPr>
        <w:t xml:space="preserve"> Imaging Systems (</w:t>
      </w:r>
      <w:proofErr w:type="spellStart"/>
      <w:r w:rsidRPr="003A5F02">
        <w:rPr>
          <w:rFonts w:ascii="Arial" w:hAnsi="Arial" w:cs="Arial"/>
          <w:color w:val="000000"/>
          <w:lang w:eastAsia="en-GB"/>
        </w:rPr>
        <w:t>Analityk</w:t>
      </w:r>
      <w:proofErr w:type="spellEnd"/>
      <w:r w:rsidRPr="003A5F02">
        <w:rPr>
          <w:rFonts w:ascii="Arial" w:hAnsi="Arial" w:cs="Arial"/>
          <w:color w:val="000000"/>
          <w:lang w:eastAsia="en-GB"/>
        </w:rPr>
        <w:t xml:space="preserve"> </w:t>
      </w:r>
      <w:proofErr w:type="spellStart"/>
      <w:r w:rsidRPr="003A5F02">
        <w:rPr>
          <w:rFonts w:ascii="Arial" w:hAnsi="Arial" w:cs="Arial"/>
          <w:color w:val="000000"/>
          <w:lang w:eastAsia="en-GB"/>
        </w:rPr>
        <w:t>jena</w:t>
      </w:r>
      <w:proofErr w:type="spellEnd"/>
      <w:r w:rsidRPr="003A5F02">
        <w:rPr>
          <w:rFonts w:ascii="Arial" w:hAnsi="Arial" w:cs="Arial"/>
          <w:color w:val="000000"/>
          <w:lang w:eastAsia="en-GB"/>
        </w:rPr>
        <w:t>).</w:t>
      </w:r>
    </w:p>
    <w:p w14:paraId="43B67E22" w14:textId="77777777" w:rsidR="0085370A" w:rsidRPr="003A5F02" w:rsidRDefault="0085370A" w:rsidP="0085370A">
      <w:pPr>
        <w:autoSpaceDE w:val="0"/>
        <w:autoSpaceDN w:val="0"/>
        <w:adjustRightInd w:val="0"/>
        <w:spacing w:line="360" w:lineRule="auto"/>
        <w:rPr>
          <w:rFonts w:ascii="Arial" w:hAnsi="Arial" w:cs="Arial"/>
          <w:b/>
          <w:color w:val="000000"/>
          <w:sz w:val="12"/>
          <w:lang w:eastAsia="en-GB"/>
        </w:rPr>
      </w:pPr>
    </w:p>
    <w:p w14:paraId="4B11C95A"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i/>
          <w:color w:val="000000"/>
          <w:lang w:eastAsia="en-GB"/>
        </w:rPr>
        <w:t>In vitro</w:t>
      </w:r>
      <w:r w:rsidRPr="003A5F02">
        <w:rPr>
          <w:rFonts w:ascii="Arial" w:hAnsi="Arial" w:cs="Arial"/>
          <w:b/>
          <w:color w:val="000000"/>
          <w:lang w:eastAsia="en-GB"/>
        </w:rPr>
        <w:t xml:space="preserve"> microtubule polymerization assay</w:t>
      </w:r>
    </w:p>
    <w:p w14:paraId="04664F53" w14:textId="77777777"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 xml:space="preserve">The polymerization of purified tubulin was detected after incubation with increasing concentrations of C28 using the </w:t>
      </w:r>
      <w:r w:rsidRPr="003A5F02">
        <w:rPr>
          <w:rFonts w:ascii="Arial" w:hAnsi="Arial" w:cs="Arial"/>
          <w:i/>
          <w:color w:val="000000"/>
          <w:lang w:eastAsia="en-GB"/>
        </w:rPr>
        <w:t>in vitro</w:t>
      </w:r>
      <w:r w:rsidRPr="003A5F02">
        <w:rPr>
          <w:rFonts w:ascii="Arial" w:hAnsi="Arial" w:cs="Arial"/>
          <w:color w:val="000000"/>
          <w:lang w:eastAsia="en-GB"/>
        </w:rPr>
        <w:t xml:space="preserve"> tubulin polymerization assay kit (Millipore, cat. no. 17-10194-1) according to the manufacturer’s instructions. DMSO was used as vehicle control. Nocodazole (10 </w:t>
      </w:r>
      <w:proofErr w:type="spellStart"/>
      <w:r w:rsidRPr="003A5F02">
        <w:rPr>
          <w:rFonts w:ascii="Arial" w:hAnsi="Arial" w:cs="Arial"/>
          <w:color w:val="000000"/>
          <w:lang w:eastAsia="en-GB"/>
        </w:rPr>
        <w:t>μM</w:t>
      </w:r>
      <w:proofErr w:type="spellEnd"/>
      <w:r w:rsidRPr="003A5F02">
        <w:rPr>
          <w:rFonts w:ascii="Arial" w:hAnsi="Arial" w:cs="Arial"/>
          <w:color w:val="000000"/>
          <w:lang w:eastAsia="en-GB"/>
        </w:rPr>
        <w:t xml:space="preserve">) and paclitaxel (10 </w:t>
      </w:r>
      <w:proofErr w:type="spellStart"/>
      <w:r w:rsidRPr="003A5F02">
        <w:rPr>
          <w:rFonts w:ascii="Arial" w:hAnsi="Arial" w:cs="Arial"/>
          <w:color w:val="000000"/>
          <w:lang w:eastAsia="en-GB"/>
        </w:rPr>
        <w:t>μM</w:t>
      </w:r>
      <w:proofErr w:type="spellEnd"/>
      <w:r w:rsidRPr="003A5F02">
        <w:rPr>
          <w:rFonts w:ascii="Arial" w:hAnsi="Arial" w:cs="Arial"/>
          <w:color w:val="000000"/>
          <w:lang w:eastAsia="en-GB"/>
        </w:rPr>
        <w:t xml:space="preserve">) were used as positive tubulin-targeting agents controls.  The tubulin polymerization was measured by continuous monitoring of the turbidity change at 350 nm using the </w:t>
      </w:r>
      <w:proofErr w:type="spellStart"/>
      <w:r w:rsidRPr="003A5F02">
        <w:rPr>
          <w:rFonts w:ascii="Arial" w:hAnsi="Arial" w:cs="Arial"/>
          <w:color w:val="000000"/>
          <w:lang w:eastAsia="en-GB"/>
        </w:rPr>
        <w:t>SpectraMax</w:t>
      </w:r>
      <w:proofErr w:type="spellEnd"/>
      <w:r w:rsidRPr="003A5F02">
        <w:rPr>
          <w:rFonts w:ascii="Arial" w:hAnsi="Arial" w:cs="Arial"/>
          <w:color w:val="000000"/>
          <w:lang w:eastAsia="en-GB"/>
        </w:rPr>
        <w:t xml:space="preserve"> i3x plate reader.</w:t>
      </w:r>
    </w:p>
    <w:p w14:paraId="63FDDD85" w14:textId="77777777" w:rsidR="0085370A" w:rsidRPr="003A5F02" w:rsidRDefault="0085370A" w:rsidP="0085370A">
      <w:pPr>
        <w:autoSpaceDE w:val="0"/>
        <w:autoSpaceDN w:val="0"/>
        <w:adjustRightInd w:val="0"/>
        <w:spacing w:line="360" w:lineRule="auto"/>
        <w:rPr>
          <w:rFonts w:ascii="Arial" w:hAnsi="Arial" w:cs="Arial"/>
          <w:b/>
          <w:color w:val="000000"/>
          <w:sz w:val="12"/>
          <w:lang w:eastAsia="en-GB"/>
        </w:rPr>
      </w:pPr>
    </w:p>
    <w:p w14:paraId="1D282444"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color w:val="000000"/>
          <w:lang w:eastAsia="en-GB"/>
        </w:rPr>
        <w:t>LMTK3 silencing</w:t>
      </w:r>
    </w:p>
    <w:p w14:paraId="2803FC3A" w14:textId="77777777"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Cells were transfected with a pool of 3 LMTK3 siRNAs (</w:t>
      </w:r>
      <w:proofErr w:type="spellStart"/>
      <w:r w:rsidRPr="003A5F02">
        <w:rPr>
          <w:rFonts w:ascii="Arial" w:hAnsi="Arial" w:cs="Arial"/>
          <w:color w:val="000000"/>
          <w:lang w:eastAsia="en-GB"/>
        </w:rPr>
        <w:t>Ambion</w:t>
      </w:r>
      <w:proofErr w:type="spellEnd"/>
      <w:r w:rsidRPr="003A5F02">
        <w:rPr>
          <w:rFonts w:ascii="Arial" w:hAnsi="Arial" w:cs="Arial"/>
          <w:color w:val="000000"/>
          <w:lang w:eastAsia="en-GB"/>
        </w:rPr>
        <w:t>, cat. no. s41588, s41589 &amp; s415890) or scramble control (</w:t>
      </w:r>
      <w:proofErr w:type="spellStart"/>
      <w:r w:rsidRPr="003A5F02">
        <w:rPr>
          <w:rFonts w:ascii="Arial" w:hAnsi="Arial" w:cs="Arial"/>
          <w:color w:val="000000"/>
          <w:lang w:eastAsia="en-GB"/>
        </w:rPr>
        <w:t>Ambion</w:t>
      </w:r>
      <w:proofErr w:type="spellEnd"/>
      <w:r w:rsidRPr="003A5F02">
        <w:rPr>
          <w:rFonts w:ascii="Arial" w:hAnsi="Arial" w:cs="Arial"/>
          <w:color w:val="000000"/>
          <w:lang w:eastAsia="en-GB"/>
        </w:rPr>
        <w:t xml:space="preserve">, cat. no. 4390843) using the 4D-Nucleofector™ System (Lonza), following the manufacturer’s instructions. Briefly, 500,000 cells were resuspended in 20 </w:t>
      </w:r>
      <w:proofErr w:type="spellStart"/>
      <w:r w:rsidRPr="003A5F02">
        <w:rPr>
          <w:rFonts w:ascii="Arial" w:hAnsi="Arial" w:cs="Arial"/>
          <w:color w:val="000000"/>
          <w:lang w:eastAsia="en-GB"/>
        </w:rPr>
        <w:t>μl</w:t>
      </w:r>
      <w:proofErr w:type="spellEnd"/>
      <w:r w:rsidRPr="003A5F02">
        <w:rPr>
          <w:rFonts w:ascii="Arial" w:hAnsi="Arial" w:cs="Arial"/>
          <w:color w:val="000000"/>
          <w:lang w:eastAsia="en-GB"/>
        </w:rPr>
        <w:t xml:space="preserve"> of complete buffer SE (Lonza, cat. no. PBC1-00675) and 300 </w:t>
      </w:r>
      <w:proofErr w:type="spellStart"/>
      <w:r w:rsidRPr="003A5F02">
        <w:rPr>
          <w:rFonts w:ascii="Arial" w:hAnsi="Arial" w:cs="Arial"/>
          <w:color w:val="000000"/>
          <w:lang w:eastAsia="en-GB"/>
        </w:rPr>
        <w:t>nM</w:t>
      </w:r>
      <w:proofErr w:type="spellEnd"/>
      <w:r w:rsidRPr="003A5F02">
        <w:rPr>
          <w:rFonts w:ascii="Arial" w:hAnsi="Arial" w:cs="Arial"/>
          <w:color w:val="000000"/>
          <w:lang w:eastAsia="en-GB"/>
        </w:rPr>
        <w:t xml:space="preserve"> siRNA were added prior electroporation. Cells were then seeded in warm complete medium. Silencing was confirmed by western blotting.</w:t>
      </w:r>
    </w:p>
    <w:p w14:paraId="3BF00766" w14:textId="77777777" w:rsidR="0085370A" w:rsidRPr="003A5F02" w:rsidRDefault="0085370A" w:rsidP="0085370A">
      <w:pPr>
        <w:autoSpaceDE w:val="0"/>
        <w:autoSpaceDN w:val="0"/>
        <w:adjustRightInd w:val="0"/>
        <w:spacing w:line="360" w:lineRule="auto"/>
        <w:rPr>
          <w:rFonts w:ascii="Arial" w:hAnsi="Arial" w:cs="Arial"/>
          <w:b/>
          <w:color w:val="000000"/>
          <w:sz w:val="12"/>
          <w:lang w:eastAsia="en-GB"/>
        </w:rPr>
      </w:pPr>
    </w:p>
    <w:p w14:paraId="0258B517" w14:textId="77777777" w:rsidR="0085370A" w:rsidRPr="003A5F02" w:rsidRDefault="0085370A" w:rsidP="0085370A">
      <w:pPr>
        <w:autoSpaceDE w:val="0"/>
        <w:autoSpaceDN w:val="0"/>
        <w:adjustRightInd w:val="0"/>
        <w:spacing w:line="360" w:lineRule="auto"/>
        <w:rPr>
          <w:rFonts w:ascii="Arial" w:hAnsi="Arial" w:cs="Arial"/>
          <w:b/>
          <w:color w:val="000000"/>
          <w:lang w:eastAsia="en-GB"/>
        </w:rPr>
      </w:pPr>
      <w:r w:rsidRPr="003A5F02">
        <w:rPr>
          <w:rFonts w:ascii="Arial" w:hAnsi="Arial" w:cs="Arial"/>
          <w:b/>
          <w:color w:val="000000"/>
          <w:lang w:eastAsia="en-GB"/>
        </w:rPr>
        <w:t>LMTK3 and NUSAP1 overexpression</w:t>
      </w:r>
    </w:p>
    <w:p w14:paraId="2027EF73" w14:textId="77777777" w:rsidR="0085370A" w:rsidRPr="003A5F02" w:rsidRDefault="0085370A" w:rsidP="0085370A">
      <w:pPr>
        <w:autoSpaceDE w:val="0"/>
        <w:autoSpaceDN w:val="0"/>
        <w:adjustRightInd w:val="0"/>
        <w:spacing w:line="360" w:lineRule="auto"/>
        <w:rPr>
          <w:rFonts w:ascii="Arial" w:hAnsi="Arial" w:cs="Arial"/>
          <w:color w:val="000000"/>
          <w:lang w:eastAsia="en-GB"/>
        </w:rPr>
      </w:pPr>
      <w:r w:rsidRPr="003A5F02">
        <w:rPr>
          <w:rFonts w:ascii="Arial" w:hAnsi="Arial" w:cs="Arial"/>
          <w:color w:val="000000"/>
          <w:lang w:eastAsia="en-GB"/>
        </w:rPr>
        <w:t xml:space="preserve">300,000 cells were seeded per well in a 6-well plate. Cells were then transfected with 2 </w:t>
      </w:r>
      <w:proofErr w:type="spellStart"/>
      <w:r w:rsidRPr="003A5F02">
        <w:rPr>
          <w:rFonts w:ascii="Arial" w:hAnsi="Arial" w:cs="Arial"/>
          <w:color w:val="000000"/>
          <w:lang w:eastAsia="en-GB"/>
        </w:rPr>
        <w:t>μg</w:t>
      </w:r>
      <w:proofErr w:type="spellEnd"/>
      <w:r w:rsidRPr="003A5F02">
        <w:rPr>
          <w:rFonts w:ascii="Arial" w:hAnsi="Arial" w:cs="Arial"/>
          <w:color w:val="000000"/>
          <w:lang w:eastAsia="en-GB"/>
        </w:rPr>
        <w:t xml:space="preserve"> of pCMV6-LMTK3 (</w:t>
      </w:r>
      <w:proofErr w:type="spellStart"/>
      <w:r w:rsidRPr="003A5F02">
        <w:rPr>
          <w:rFonts w:ascii="Arial" w:hAnsi="Arial" w:cs="Arial"/>
          <w:color w:val="000000"/>
          <w:lang w:eastAsia="en-GB"/>
        </w:rPr>
        <w:t>Origene</w:t>
      </w:r>
      <w:proofErr w:type="spellEnd"/>
      <w:r w:rsidRPr="003A5F02">
        <w:rPr>
          <w:rFonts w:ascii="Arial" w:hAnsi="Arial" w:cs="Arial"/>
          <w:color w:val="000000"/>
          <w:lang w:eastAsia="en-GB"/>
        </w:rPr>
        <w:t xml:space="preserve">, cat. no. RC223140) or </w:t>
      </w:r>
      <w:r w:rsidRPr="00AF4FAD">
        <w:rPr>
          <w:rFonts w:ascii="Arial" w:hAnsi="Arial" w:cs="Arial"/>
          <w:color w:val="000000"/>
          <w:lang w:eastAsia="en-GB"/>
        </w:rPr>
        <w:t>plasmid pCMV6-NUSAP1 (</w:t>
      </w:r>
      <w:proofErr w:type="spellStart"/>
      <w:r w:rsidRPr="00AF4FAD">
        <w:rPr>
          <w:rFonts w:ascii="Arial" w:hAnsi="Arial" w:cs="Arial"/>
          <w:color w:val="000000"/>
          <w:lang w:eastAsia="en-GB"/>
        </w:rPr>
        <w:t>Origene</w:t>
      </w:r>
      <w:proofErr w:type="spellEnd"/>
      <w:r w:rsidRPr="00AF4FAD">
        <w:rPr>
          <w:rFonts w:ascii="Arial" w:hAnsi="Arial" w:cs="Arial"/>
          <w:color w:val="000000"/>
          <w:lang w:eastAsia="en-GB"/>
        </w:rPr>
        <w:t>, cat. no. RG219159)</w:t>
      </w:r>
      <w:r w:rsidRPr="003A5F02">
        <w:rPr>
          <w:rFonts w:ascii="Arial" w:hAnsi="Arial" w:cs="Arial"/>
          <w:color w:val="000000"/>
          <w:lang w:eastAsia="en-GB"/>
        </w:rPr>
        <w:t xml:space="preserve"> or pCMV6 empty vector (</w:t>
      </w:r>
      <w:proofErr w:type="spellStart"/>
      <w:r w:rsidRPr="003A5F02">
        <w:rPr>
          <w:rFonts w:ascii="Arial" w:hAnsi="Arial" w:cs="Arial"/>
          <w:color w:val="000000"/>
          <w:lang w:eastAsia="en-GB"/>
        </w:rPr>
        <w:t>Origene</w:t>
      </w:r>
      <w:proofErr w:type="spellEnd"/>
      <w:r w:rsidRPr="003A5F02">
        <w:rPr>
          <w:rFonts w:ascii="Arial" w:hAnsi="Arial" w:cs="Arial"/>
          <w:color w:val="000000"/>
          <w:lang w:eastAsia="en-GB"/>
        </w:rPr>
        <w:t xml:space="preserve">, cat. no. PS100001) using </w:t>
      </w:r>
      <w:proofErr w:type="spellStart"/>
      <w:r w:rsidRPr="003A5F02">
        <w:rPr>
          <w:rFonts w:ascii="Arial" w:hAnsi="Arial" w:cs="Arial"/>
          <w:color w:val="000000"/>
          <w:lang w:eastAsia="en-GB"/>
        </w:rPr>
        <w:t>Fugene</w:t>
      </w:r>
      <w:proofErr w:type="spellEnd"/>
      <w:r w:rsidRPr="003A5F02">
        <w:rPr>
          <w:rFonts w:ascii="Arial" w:hAnsi="Arial" w:cs="Arial"/>
          <w:color w:val="000000"/>
          <w:lang w:eastAsia="en-GB"/>
        </w:rPr>
        <w:t xml:space="preserve"> HD transfection reagent (Promega, cat. no. E2311), following the manufacturer’s instructions. Overexpression was then confirmed by western blotting.</w:t>
      </w:r>
    </w:p>
    <w:p w14:paraId="3719DC2E" w14:textId="77777777" w:rsidR="0085370A" w:rsidRPr="003A5F02" w:rsidRDefault="0085370A" w:rsidP="0085370A">
      <w:pPr>
        <w:autoSpaceDE w:val="0"/>
        <w:autoSpaceDN w:val="0"/>
        <w:adjustRightInd w:val="0"/>
        <w:spacing w:line="360" w:lineRule="auto"/>
        <w:rPr>
          <w:rFonts w:ascii="Arial" w:hAnsi="Arial" w:cs="Arial"/>
          <w:color w:val="000000"/>
          <w:sz w:val="12"/>
          <w:szCs w:val="12"/>
          <w:lang w:eastAsia="en-GB"/>
        </w:rPr>
      </w:pPr>
    </w:p>
    <w:p w14:paraId="7620B38A" w14:textId="1F934C55" w:rsidR="0085370A" w:rsidRPr="003A5F02" w:rsidRDefault="0085370A" w:rsidP="0085370A">
      <w:pPr>
        <w:spacing w:line="360" w:lineRule="auto"/>
        <w:rPr>
          <w:rFonts w:ascii="Arial" w:hAnsi="Arial" w:cs="Arial"/>
          <w:bCs/>
        </w:rPr>
      </w:pPr>
      <w:r w:rsidRPr="003A5F02">
        <w:rPr>
          <w:rFonts w:ascii="Arial" w:hAnsi="Arial" w:cs="Arial"/>
          <w:b/>
        </w:rPr>
        <w:lastRenderedPageBreak/>
        <w:t>Computational methods</w:t>
      </w:r>
      <w:r w:rsidRPr="003A5F02">
        <w:rPr>
          <w:rFonts w:ascii="Arial" w:hAnsi="Arial" w:cs="Arial"/>
          <w:bCs/>
        </w:rPr>
        <w:t xml:space="preserve"> </w:t>
      </w:r>
      <w:r w:rsidRPr="003A5F02">
        <w:rPr>
          <w:rFonts w:ascii="Arial" w:hAnsi="Arial" w:cs="Arial"/>
          <w:bCs/>
        </w:rPr>
        <w:tab/>
      </w:r>
      <w:r w:rsidRPr="003A5F02">
        <w:rPr>
          <w:rFonts w:ascii="Arial" w:hAnsi="Arial" w:cs="Arial"/>
          <w:bCs/>
        </w:rPr>
        <w:tab/>
      </w:r>
      <w:r w:rsidRPr="003A5F02">
        <w:rPr>
          <w:rFonts w:ascii="Arial" w:hAnsi="Arial" w:cs="Arial"/>
          <w:bCs/>
        </w:rPr>
        <w:tab/>
      </w:r>
      <w:r w:rsidRPr="003A5F02">
        <w:rPr>
          <w:rFonts w:ascii="Arial" w:hAnsi="Arial" w:cs="Arial"/>
          <w:bCs/>
        </w:rPr>
        <w:tab/>
      </w:r>
      <w:r w:rsidRPr="003A5F02">
        <w:rPr>
          <w:rFonts w:ascii="Arial" w:hAnsi="Arial" w:cs="Arial"/>
          <w:bCs/>
        </w:rPr>
        <w:tab/>
      </w:r>
      <w:r w:rsidRPr="003A5F02">
        <w:rPr>
          <w:rFonts w:ascii="Arial" w:hAnsi="Arial" w:cs="Arial"/>
          <w:bCs/>
        </w:rPr>
        <w:tab/>
      </w:r>
      <w:r w:rsidRPr="003A5F02">
        <w:rPr>
          <w:rFonts w:ascii="Arial" w:hAnsi="Arial" w:cs="Arial"/>
          <w:bCs/>
        </w:rPr>
        <w:tab/>
      </w:r>
      <w:r w:rsidRPr="003A5F02">
        <w:rPr>
          <w:rFonts w:ascii="Arial" w:hAnsi="Arial" w:cs="Arial"/>
          <w:bCs/>
        </w:rPr>
        <w:tab/>
        <w:t xml:space="preserve">              Molecular docking calculations were performed using the X-ray crystal structure of tubulin complex with nocodazole (PDB ID: 5ca1) resolved at 2.4 Å. Protein only atoms of chains A and B were retained, then polar hydrogen atoms were added and </w:t>
      </w:r>
      <w:proofErr w:type="spellStart"/>
      <w:r w:rsidRPr="003A5F02">
        <w:rPr>
          <w:rFonts w:ascii="Arial" w:hAnsi="Arial" w:cs="Arial"/>
          <w:bCs/>
        </w:rPr>
        <w:t>Gasteiger</w:t>
      </w:r>
      <w:proofErr w:type="spellEnd"/>
      <w:r w:rsidRPr="003A5F02">
        <w:rPr>
          <w:rFonts w:ascii="Arial" w:hAnsi="Arial" w:cs="Arial"/>
          <w:bCs/>
        </w:rPr>
        <w:t xml:space="preserve"> charges were applied using </w:t>
      </w:r>
      <w:proofErr w:type="spellStart"/>
      <w:r w:rsidRPr="003A5F02">
        <w:rPr>
          <w:rFonts w:ascii="Arial" w:hAnsi="Arial" w:cs="Arial"/>
          <w:bCs/>
        </w:rPr>
        <w:t>AutoDockTools</w:t>
      </w:r>
      <w:proofErr w:type="spellEnd"/>
      <w:r w:rsidRPr="003A5F02">
        <w:rPr>
          <w:rFonts w:ascii="Arial" w:hAnsi="Arial" w:cs="Arial"/>
          <w:bCs/>
        </w:rPr>
        <w:t xml:space="preserve"> 1.5.4. The search space was cent</w:t>
      </w:r>
      <w:r w:rsidR="00E66EB2">
        <w:rPr>
          <w:rFonts w:ascii="Arial" w:hAnsi="Arial" w:cs="Arial"/>
          <w:bCs/>
        </w:rPr>
        <w:t>e</w:t>
      </w:r>
      <w:r w:rsidRPr="003A5F02">
        <w:rPr>
          <w:rFonts w:ascii="Arial" w:hAnsi="Arial" w:cs="Arial"/>
          <w:bCs/>
        </w:rPr>
        <w:t xml:space="preserve">red at the colchicine-binding site of tubulin and comprised 67×67×67 grid points of 0.375 Å spacing. For each calculation, 100 docking rounds were carried out using </w:t>
      </w:r>
      <w:proofErr w:type="spellStart"/>
      <w:r w:rsidRPr="003A5F02">
        <w:rPr>
          <w:rFonts w:ascii="Arial" w:hAnsi="Arial" w:cs="Arial"/>
          <w:bCs/>
        </w:rPr>
        <w:t>AutoDock</w:t>
      </w:r>
      <w:proofErr w:type="spellEnd"/>
      <w:r w:rsidRPr="003A5F02">
        <w:rPr>
          <w:rFonts w:ascii="Arial" w:hAnsi="Arial" w:cs="Arial"/>
          <w:bCs/>
        </w:rPr>
        <w:t xml:space="preserve"> 4.2 and the Lamarckian genetic algorithm with default parameters, except for the maximum number of energy evaluations that was set to 10 million. The resulting conformations were clustered using a 2.0-Å cutoff, whereas visual examination of the results and rendering of the figures was performed using VMD 1.9.3. To validate the docking methodology we performed re-docking of nocodazole. The top-ranked binding pose of nocodazole displayed atomic root-mean-square deviation (RMSD) of 1.56 Å with respect to the crystallographic structure and 71% of the docked conformations within the top-ranked cluster (</w:t>
      </w:r>
      <w:proofErr w:type="spellStart"/>
      <w:r w:rsidRPr="003A5F02">
        <w:rPr>
          <w:rFonts w:ascii="Arial" w:hAnsi="Arial" w:cs="Arial"/>
          <w:bCs/>
        </w:rPr>
        <w:t>Δ</w:t>
      </w:r>
      <w:r w:rsidRPr="003A5F02">
        <w:rPr>
          <w:rFonts w:ascii="Arial" w:hAnsi="Arial" w:cs="Arial"/>
          <w:bCs/>
          <w:i/>
        </w:rPr>
        <w:t>G</w:t>
      </w:r>
      <w:r w:rsidRPr="003A5F02">
        <w:rPr>
          <w:rFonts w:ascii="Arial" w:hAnsi="Arial" w:cs="Arial"/>
          <w:bCs/>
          <w:vertAlign w:val="superscript"/>
        </w:rPr>
        <w:t>est</w:t>
      </w:r>
      <w:proofErr w:type="spellEnd"/>
      <w:r w:rsidRPr="003A5F02">
        <w:rPr>
          <w:rFonts w:ascii="Arial" w:hAnsi="Arial" w:cs="Arial"/>
          <w:bCs/>
        </w:rPr>
        <w:t xml:space="preserve"> = -10.36 kcal/mol). The selected bound pose of C28 is from the top-ranked cluster comprising 63% of</w:t>
      </w:r>
      <w:r w:rsidRPr="003A5F02">
        <w:rPr>
          <w:rFonts w:ascii="Arial" w:hAnsi="Arial" w:cs="Arial"/>
          <w:b/>
        </w:rPr>
        <w:t xml:space="preserve"> </w:t>
      </w:r>
      <w:r w:rsidRPr="003A5F02">
        <w:rPr>
          <w:rFonts w:ascii="Arial" w:hAnsi="Arial" w:cs="Arial"/>
          <w:bCs/>
        </w:rPr>
        <w:t xml:space="preserve">the docked conformations with mean estimated free energy of binding </w:t>
      </w:r>
      <w:proofErr w:type="spellStart"/>
      <w:r w:rsidRPr="003A5F02">
        <w:rPr>
          <w:rFonts w:ascii="Arial" w:hAnsi="Arial" w:cs="Arial"/>
          <w:bCs/>
        </w:rPr>
        <w:t>Δ</w:t>
      </w:r>
      <w:r w:rsidRPr="003A5F02">
        <w:rPr>
          <w:rFonts w:ascii="Arial" w:hAnsi="Arial" w:cs="Arial"/>
          <w:bCs/>
          <w:i/>
        </w:rPr>
        <w:t>G</w:t>
      </w:r>
      <w:r w:rsidRPr="003A5F02">
        <w:rPr>
          <w:rFonts w:ascii="Arial" w:hAnsi="Arial" w:cs="Arial"/>
          <w:bCs/>
          <w:vertAlign w:val="superscript"/>
        </w:rPr>
        <w:t>est</w:t>
      </w:r>
      <w:proofErr w:type="spellEnd"/>
      <w:r w:rsidRPr="003A5F02">
        <w:rPr>
          <w:rFonts w:ascii="Arial" w:hAnsi="Arial" w:cs="Arial"/>
          <w:bCs/>
        </w:rPr>
        <w:t xml:space="preserve"> = -9.10 kcal/mol.</w:t>
      </w:r>
    </w:p>
    <w:p w14:paraId="5F94A560" w14:textId="77777777" w:rsidR="0085370A" w:rsidRPr="003A5F02" w:rsidRDefault="0085370A" w:rsidP="0085370A">
      <w:pPr>
        <w:spacing w:line="360" w:lineRule="auto"/>
        <w:rPr>
          <w:rFonts w:ascii="Arial" w:hAnsi="Arial" w:cs="Arial"/>
          <w:b/>
          <w:sz w:val="12"/>
          <w:szCs w:val="12"/>
        </w:rPr>
      </w:pPr>
    </w:p>
    <w:p w14:paraId="6499319C" w14:textId="77777777" w:rsidR="0085370A" w:rsidRPr="003A5F02" w:rsidRDefault="0085370A" w:rsidP="0085370A">
      <w:pPr>
        <w:spacing w:line="360" w:lineRule="auto"/>
        <w:rPr>
          <w:rFonts w:ascii="Arial" w:hAnsi="Arial" w:cs="Arial"/>
          <w:b/>
        </w:rPr>
      </w:pPr>
      <w:r w:rsidRPr="003A5F02">
        <w:rPr>
          <w:rFonts w:ascii="Arial" w:hAnsi="Arial" w:cs="Arial"/>
          <w:b/>
        </w:rPr>
        <w:t>Fluorescence measurements of C28 binding to tubulin</w:t>
      </w:r>
    </w:p>
    <w:p w14:paraId="6411106D" w14:textId="77777777" w:rsidR="0085370A" w:rsidRPr="003A5F02" w:rsidRDefault="0085370A" w:rsidP="0085370A">
      <w:pPr>
        <w:spacing w:line="360" w:lineRule="auto"/>
        <w:rPr>
          <w:rFonts w:ascii="Arial" w:hAnsi="Arial" w:cs="Arial"/>
        </w:rPr>
      </w:pPr>
      <w:r w:rsidRPr="003A5F02">
        <w:rPr>
          <w:rFonts w:ascii="Arial" w:hAnsi="Arial" w:cs="Arial"/>
        </w:rPr>
        <w:t xml:space="preserve">The intrinsic fluorescence intensity of tubulin was measured at a </w:t>
      </w:r>
      <w:proofErr w:type="spellStart"/>
      <w:r w:rsidRPr="003A5F02">
        <w:rPr>
          <w:rFonts w:ascii="Arial" w:hAnsi="Arial" w:cs="Arial"/>
        </w:rPr>
        <w:t>QuantaMaster</w:t>
      </w:r>
      <w:proofErr w:type="spellEnd"/>
      <w:r w:rsidRPr="003A5F02">
        <w:rPr>
          <w:rFonts w:ascii="Arial" w:hAnsi="Arial" w:cs="Arial"/>
        </w:rPr>
        <w:t xml:space="preserve"> 400 </w:t>
      </w:r>
      <w:proofErr w:type="spellStart"/>
      <w:r w:rsidRPr="003A5F02">
        <w:rPr>
          <w:rFonts w:ascii="Arial" w:hAnsi="Arial" w:cs="Arial"/>
        </w:rPr>
        <w:t>spectrofluorimeter</w:t>
      </w:r>
      <w:proofErr w:type="spellEnd"/>
      <w:r w:rsidRPr="003A5F02">
        <w:rPr>
          <w:rFonts w:ascii="Arial" w:hAnsi="Arial" w:cs="Arial"/>
        </w:rPr>
        <w:t xml:space="preserve"> (Photon Technology International, Bir- </w:t>
      </w:r>
      <w:proofErr w:type="spellStart"/>
      <w:r w:rsidRPr="003A5F02">
        <w:rPr>
          <w:rFonts w:ascii="Arial" w:hAnsi="Arial" w:cs="Arial"/>
        </w:rPr>
        <w:t>mingham</w:t>
      </w:r>
      <w:proofErr w:type="spellEnd"/>
      <w:r w:rsidRPr="003A5F02">
        <w:rPr>
          <w:rFonts w:ascii="Arial" w:hAnsi="Arial" w:cs="Arial"/>
        </w:rPr>
        <w:t xml:space="preserve">, NJ). Tubulin solutions of 2 </w:t>
      </w:r>
      <w:proofErr w:type="spellStart"/>
      <w:r w:rsidRPr="003A5F02">
        <w:rPr>
          <w:rFonts w:ascii="Arial" w:hAnsi="Arial" w:cs="Arial"/>
        </w:rPr>
        <w:t>μM</w:t>
      </w:r>
      <w:proofErr w:type="spellEnd"/>
      <w:r w:rsidRPr="003A5F02">
        <w:rPr>
          <w:rFonts w:ascii="Arial" w:hAnsi="Arial" w:cs="Arial"/>
        </w:rPr>
        <w:t xml:space="preserve"> were prepared from purified porcine tubulin (Cytoskeleton Inc., cat. no. T240) in 80 mM PIPES buffer pH 6.9, 2 mM MgCl</w:t>
      </w:r>
      <w:r w:rsidRPr="003A5F02">
        <w:rPr>
          <w:rFonts w:ascii="Arial" w:hAnsi="Arial" w:cs="Arial"/>
          <w:vertAlign w:val="subscript"/>
        </w:rPr>
        <w:t>2</w:t>
      </w:r>
      <w:r w:rsidRPr="003A5F02">
        <w:rPr>
          <w:rFonts w:ascii="Arial" w:hAnsi="Arial" w:cs="Arial"/>
        </w:rPr>
        <w:t xml:space="preserve">, 0.5 mM EGTA (Cytoskeleton Inc., cat. no. BST01, Cytoskeleton Inc.) and supplemented with 1 mM GTP (Cytoskeleton Inc., cat. no. BST06). </w:t>
      </w:r>
      <w:r w:rsidRPr="00AF4FAD">
        <w:rPr>
          <w:rFonts w:ascii="Arial" w:hAnsi="Arial" w:cs="Arial"/>
        </w:rPr>
        <w:t>Tubulin was incubated with increasing concentrations of C28 for 20 min at 25°C in 30 mm path length cells before measurement. Specifically, C28 dissolved in DMSO stock solutions of 0.5–30 mM was diluted 100-fold in the tubulin solutions, so that the final concentration of DMSO was 1% for all measurements.</w:t>
      </w:r>
      <w:r w:rsidRPr="003A5F02">
        <w:rPr>
          <w:rFonts w:ascii="Arial" w:hAnsi="Arial" w:cs="Arial"/>
        </w:rPr>
        <w:t xml:space="preserve"> The fluorescence intensity was monitored in the range of 310 to 420 nm with excitation at 290 nm and without applying any correction. Fluorescence data were fitted in the following equation using </w:t>
      </w:r>
      <w:proofErr w:type="spellStart"/>
      <w:r w:rsidRPr="003A5F02">
        <w:rPr>
          <w:rFonts w:ascii="Arial" w:hAnsi="Arial" w:cs="Arial"/>
        </w:rPr>
        <w:t>GraphPrism</w:t>
      </w:r>
      <w:proofErr w:type="spellEnd"/>
      <w:r w:rsidRPr="003A5F02">
        <w:rPr>
          <w:rFonts w:ascii="Arial" w:hAnsi="Arial" w:cs="Arial"/>
        </w:rPr>
        <w:t xml:space="preserve"> 7.0 (Graph Pad Software, CA, USA):</w:t>
      </w:r>
    </w:p>
    <w:p w14:paraId="7DB00EDE" w14:textId="77777777" w:rsidR="0085370A" w:rsidRPr="003A5F02" w:rsidRDefault="0085370A" w:rsidP="0085370A">
      <w:pPr>
        <w:spacing w:after="120" w:line="360" w:lineRule="auto"/>
        <w:rPr>
          <w:rFonts w:ascii="Arial" w:hAnsi="Arial" w:cs="Arial"/>
        </w:rPr>
      </w:pPr>
      <m:oMathPara>
        <m:oMath>
          <m:r>
            <m:rPr>
              <m:sty m:val="p"/>
            </m:rPr>
            <w:rPr>
              <w:rFonts w:ascii="Cambria Math" w:hAnsi="Cambria Math" w:cs="Arial"/>
            </w:rPr>
            <m:t>ΔF=</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ΔF</m:t>
                  </m:r>
                </m:e>
                <m:sub>
                  <m:r>
                    <w:rPr>
                      <w:rFonts w:ascii="Cambria Math" w:hAnsi="Cambria Math" w:cs="Arial"/>
                    </w:rPr>
                    <m:t>max</m:t>
                  </m:r>
                </m:sub>
              </m:sSub>
              <m:r>
                <m:rPr>
                  <m:sty m:val="p"/>
                </m:rPr>
                <w:rPr>
                  <w:rFonts w:ascii="Cambria Math" w:hAnsi="Cambria Math" w:cs="Arial"/>
                </w:rPr>
                <m:t>×C</m:t>
              </m:r>
            </m:num>
            <m:den>
              <m:sSub>
                <m:sSubPr>
                  <m:ctrlPr>
                    <w:rPr>
                      <w:rFonts w:ascii="Cambria Math" w:hAnsi="Cambria Math" w:cs="Arial"/>
                      <w:i/>
                    </w:rPr>
                  </m:ctrlPr>
                </m:sSubPr>
                <m:e>
                  <m:r>
                    <w:rPr>
                      <w:rFonts w:ascii="Cambria Math" w:hAnsi="Cambria Math" w:cs="Arial"/>
                    </w:rPr>
                    <m:t>K</m:t>
                  </m:r>
                </m:e>
                <m:sub>
                  <m:r>
                    <m:rPr>
                      <m:sty m:val="p"/>
                    </m:rPr>
                    <w:rPr>
                      <w:rFonts w:ascii="Cambria Math" w:hAnsi="Cambria Math" w:cs="Arial"/>
                    </w:rPr>
                    <m:t>d</m:t>
                  </m:r>
                </m:sub>
              </m:sSub>
              <m:r>
                <m:rPr>
                  <m:sty m:val="p"/>
                </m:rPr>
                <w:rPr>
                  <w:rFonts w:ascii="Cambria Math" w:hAnsi="Cambria Math" w:cs="Arial"/>
                </w:rPr>
                <m:t>×C</m:t>
              </m:r>
            </m:den>
          </m:f>
        </m:oMath>
      </m:oMathPara>
    </w:p>
    <w:p w14:paraId="663762B7" w14:textId="77777777" w:rsidR="0085370A" w:rsidRPr="003A5F02" w:rsidRDefault="0085370A" w:rsidP="0085370A">
      <w:pPr>
        <w:spacing w:line="360" w:lineRule="auto"/>
        <w:rPr>
          <w:rFonts w:ascii="Arial" w:hAnsi="Arial" w:cs="Arial"/>
        </w:rPr>
      </w:pPr>
      <w:r w:rsidRPr="003A5F02">
        <w:rPr>
          <w:rFonts w:ascii="Arial" w:hAnsi="Arial" w:cs="Arial"/>
        </w:rPr>
        <w:t xml:space="preserve">ΔF is the change in the fluorescence intensity with respect to the free tubulin in buffer, </w:t>
      </w:r>
      <w:proofErr w:type="spellStart"/>
      <w:r w:rsidRPr="003A5F02">
        <w:rPr>
          <w:rFonts w:ascii="Arial" w:hAnsi="Arial" w:cs="Arial"/>
        </w:rPr>
        <w:t>ΔF</w:t>
      </w:r>
      <w:r w:rsidRPr="003A5F02">
        <w:rPr>
          <w:rFonts w:ascii="Arial" w:hAnsi="Arial" w:cs="Arial"/>
          <w:vertAlign w:val="subscript"/>
        </w:rPr>
        <w:t>max</w:t>
      </w:r>
      <w:proofErr w:type="spellEnd"/>
      <w:r w:rsidRPr="003A5F02">
        <w:rPr>
          <w:rFonts w:ascii="Arial" w:hAnsi="Arial" w:cs="Arial"/>
        </w:rPr>
        <w:t xml:space="preserve"> is the maximum change in the intensity of tubulin, C is the concentration of the ligand C28 and </w:t>
      </w:r>
      <w:proofErr w:type="spellStart"/>
      <w:r w:rsidRPr="003A5F02">
        <w:rPr>
          <w:rFonts w:ascii="Arial" w:hAnsi="Arial" w:cs="Arial"/>
          <w:i/>
        </w:rPr>
        <w:t>K</w:t>
      </w:r>
      <w:r w:rsidRPr="003A5F02">
        <w:rPr>
          <w:rFonts w:ascii="Arial" w:hAnsi="Arial" w:cs="Arial"/>
          <w:vertAlign w:val="subscript"/>
        </w:rPr>
        <w:t>d</w:t>
      </w:r>
      <w:proofErr w:type="spellEnd"/>
      <w:r w:rsidRPr="003A5F02">
        <w:rPr>
          <w:rFonts w:ascii="Arial" w:hAnsi="Arial" w:cs="Arial"/>
        </w:rPr>
        <w:t xml:space="preserve"> the apparent dissociation constant.</w:t>
      </w:r>
    </w:p>
    <w:p w14:paraId="75D30149" w14:textId="77777777" w:rsidR="0085370A" w:rsidRPr="003A5F02" w:rsidRDefault="0085370A" w:rsidP="0085370A">
      <w:pPr>
        <w:spacing w:line="360" w:lineRule="auto"/>
        <w:rPr>
          <w:rFonts w:ascii="Arial" w:hAnsi="Arial" w:cs="Arial"/>
          <w:sz w:val="12"/>
          <w:szCs w:val="12"/>
        </w:rPr>
      </w:pPr>
    </w:p>
    <w:p w14:paraId="3AE5428F" w14:textId="77777777" w:rsidR="0085370A" w:rsidRPr="003A5F02" w:rsidRDefault="0085370A" w:rsidP="0085370A">
      <w:pPr>
        <w:spacing w:line="360" w:lineRule="auto"/>
        <w:rPr>
          <w:rFonts w:ascii="Arial" w:hAnsi="Arial" w:cs="Arial"/>
        </w:rPr>
      </w:pPr>
      <w:bookmarkStart w:id="0" w:name="_Hlk54812584"/>
      <w:r w:rsidRPr="003A5F02">
        <w:rPr>
          <w:rFonts w:ascii="Arial" w:hAnsi="Arial" w:cs="Arial"/>
          <w:b/>
        </w:rPr>
        <w:t xml:space="preserve">TMT sample preparation </w:t>
      </w:r>
    </w:p>
    <w:p w14:paraId="0837374D" w14:textId="77777777" w:rsidR="0085370A" w:rsidRPr="003A5F02" w:rsidRDefault="0085370A" w:rsidP="0085370A">
      <w:pPr>
        <w:spacing w:line="360" w:lineRule="auto"/>
        <w:rPr>
          <w:rFonts w:ascii="Arial" w:hAnsi="Arial" w:cs="Arial"/>
        </w:rPr>
      </w:pPr>
      <w:r w:rsidRPr="003A5F02">
        <w:rPr>
          <w:rFonts w:ascii="Arial" w:hAnsi="Arial" w:cs="Arial"/>
        </w:rPr>
        <w:t xml:space="preserve">The TMT experiment and subsequent analysis was performed by DC Biosciences </w:t>
      </w:r>
      <w:r w:rsidRPr="003A5F02">
        <w:rPr>
          <w:rFonts w:ascii="Arial" w:hAnsi="Arial" w:cs="Arial"/>
        </w:rPr>
        <w:lastRenderedPageBreak/>
        <w:t>(</w:t>
      </w:r>
      <w:hyperlink r:id="rId6" w:history="1">
        <w:r w:rsidRPr="003A5F02">
          <w:rPr>
            <w:rStyle w:val="Collegamentoipertestuale"/>
            <w:rFonts w:ascii="Arial" w:hAnsi="Arial" w:cs="Arial"/>
          </w:rPr>
          <w:t>https://dcbiosci.com/</w:t>
        </w:r>
      </w:hyperlink>
      <w:r w:rsidRPr="003A5F02">
        <w:rPr>
          <w:rFonts w:ascii="Arial" w:hAnsi="Arial" w:cs="Arial"/>
        </w:rPr>
        <w:t xml:space="preserve">). Stably LMTK3-overexpressing MCF7 cell pellets were lysed by resuspension of the cell pellet in 200 µL lysis buffer (PBS, 4% SDS, 25 mM TCEP supplemented with protease and phosphatase inhibitors) and sonicated for 3*5s on ice followed immediately by heating at 95°C for 10 minutes. Samples were allowed to cool down, alkylated with </w:t>
      </w:r>
      <w:bookmarkStart w:id="1" w:name="_Hlk54807378"/>
      <w:r w:rsidRPr="003A5F02">
        <w:rPr>
          <w:rFonts w:ascii="Arial" w:hAnsi="Arial" w:cs="Arial"/>
        </w:rPr>
        <w:t xml:space="preserve">N-Ethylmaleimide </w:t>
      </w:r>
      <w:bookmarkEnd w:id="1"/>
      <w:r w:rsidRPr="003A5F02">
        <w:rPr>
          <w:rFonts w:ascii="Arial" w:hAnsi="Arial" w:cs="Arial"/>
        </w:rPr>
        <w:t xml:space="preserve">(50 mM) in the dark for 30 min at RT, then centrifuged for 5 minutes at 17,000 g and pellets discarded. Cleared lysates were methanol-chloroform precipitated, re-dissolved in 100 µL of 0.1 M TEAB, 8 M urea, diluted 1:4 (urea to 2 M), digested at 37°C overnight with 6 µg </w:t>
      </w:r>
      <w:proofErr w:type="spellStart"/>
      <w:r w:rsidRPr="003A5F02">
        <w:rPr>
          <w:rFonts w:ascii="Arial" w:hAnsi="Arial" w:cs="Arial"/>
        </w:rPr>
        <w:t>LysC</w:t>
      </w:r>
      <w:proofErr w:type="spellEnd"/>
      <w:r w:rsidRPr="003A5F02">
        <w:rPr>
          <w:rFonts w:ascii="Arial" w:hAnsi="Arial" w:cs="Arial"/>
        </w:rPr>
        <w:t xml:space="preserve">, further diluted 1:2.5 (urea 0.8 M) then digested at 37°C overnight with 6 µg Trypsin. The digestion was stopped by adding TFA (final 1%) and tryptic peptides were then desalted on a tC18 </w:t>
      </w:r>
      <w:proofErr w:type="spellStart"/>
      <w:r w:rsidRPr="003A5F02">
        <w:rPr>
          <w:rFonts w:ascii="Arial" w:hAnsi="Arial" w:cs="Arial"/>
        </w:rPr>
        <w:t>SepPak</w:t>
      </w:r>
      <w:proofErr w:type="spellEnd"/>
      <w:r w:rsidRPr="003A5F02">
        <w:rPr>
          <w:rFonts w:ascii="Arial" w:hAnsi="Arial" w:cs="Arial"/>
        </w:rPr>
        <w:t xml:space="preserve"> 96-well plate. Peptide concentration was determined using the Pierce Fluorometric Peptides Assay. Equal amounts of each sample were labelled with TMT-10plex, combined and fractionated (4 fractions) by High pH Reversed Phase chromatography. Peptides were cleaned-up as above and re-dissolved in 5% formic acid.</w:t>
      </w:r>
    </w:p>
    <w:bookmarkEnd w:id="0"/>
    <w:p w14:paraId="49514629" w14:textId="77777777" w:rsidR="0085370A" w:rsidRPr="003A5F02" w:rsidRDefault="0085370A" w:rsidP="0085370A">
      <w:pPr>
        <w:spacing w:line="360" w:lineRule="auto"/>
        <w:rPr>
          <w:rFonts w:ascii="Arial" w:hAnsi="Arial" w:cs="Arial"/>
          <w:b/>
          <w:sz w:val="12"/>
          <w:szCs w:val="12"/>
        </w:rPr>
      </w:pPr>
    </w:p>
    <w:p w14:paraId="4DFD6DC8" w14:textId="77777777" w:rsidR="0085370A" w:rsidRPr="003A5F02" w:rsidRDefault="0085370A" w:rsidP="0085370A">
      <w:pPr>
        <w:spacing w:line="360" w:lineRule="auto"/>
        <w:rPr>
          <w:rFonts w:ascii="Arial" w:hAnsi="Arial" w:cs="Arial"/>
          <w:b/>
        </w:rPr>
      </w:pPr>
      <w:r w:rsidRPr="003A5F02">
        <w:rPr>
          <w:rFonts w:ascii="Arial" w:hAnsi="Arial" w:cs="Arial"/>
          <w:b/>
        </w:rPr>
        <w:t>Mass spectrometry analysis</w:t>
      </w:r>
    </w:p>
    <w:p w14:paraId="0E697829" w14:textId="656BCAF7" w:rsidR="0085370A" w:rsidRDefault="0085370A" w:rsidP="0085370A">
      <w:pPr>
        <w:spacing w:after="120" w:line="360" w:lineRule="auto"/>
        <w:rPr>
          <w:rFonts w:ascii="Arial" w:hAnsi="Arial" w:cs="Arial"/>
        </w:rPr>
      </w:pPr>
      <w:r w:rsidRPr="003A5F02">
        <w:rPr>
          <w:rFonts w:ascii="Arial" w:hAnsi="Arial" w:cs="Arial"/>
        </w:rPr>
        <w:t xml:space="preserve">For MS analysis, samples were separated on an Ultimate 3000 nano-LC system coupled to an Orbitrap Fusion </w:t>
      </w:r>
      <w:proofErr w:type="spellStart"/>
      <w:r w:rsidRPr="003A5F02">
        <w:rPr>
          <w:rFonts w:ascii="Arial" w:hAnsi="Arial" w:cs="Arial"/>
        </w:rPr>
        <w:t>Tribrid</w:t>
      </w:r>
      <w:proofErr w:type="spellEnd"/>
      <w:r w:rsidRPr="003A5F02">
        <w:rPr>
          <w:rFonts w:ascii="Arial" w:hAnsi="Arial" w:cs="Arial"/>
        </w:rPr>
        <w:t xml:space="preserve"> mass spectrometer (Thermo Scientific). For online Reversed Phase chromatography, solvent A was 0.1% (</w:t>
      </w:r>
      <w:proofErr w:type="gramStart"/>
      <w:r w:rsidRPr="003A5F02">
        <w:rPr>
          <w:rFonts w:ascii="Arial" w:hAnsi="Arial" w:cs="Arial"/>
        </w:rPr>
        <w:t>V:V</w:t>
      </w:r>
      <w:proofErr w:type="gramEnd"/>
      <w:r w:rsidRPr="003A5F02">
        <w:rPr>
          <w:rFonts w:ascii="Arial" w:hAnsi="Arial" w:cs="Arial"/>
        </w:rPr>
        <w:t xml:space="preserve">) formic acid and Solvent B was aqueous 80% acetonitrile in 0.1% formic acid. Samples were loaded onto an Acclaim </w:t>
      </w:r>
      <w:proofErr w:type="spellStart"/>
      <w:r w:rsidRPr="003A5F02">
        <w:rPr>
          <w:rFonts w:ascii="Arial" w:hAnsi="Arial" w:cs="Arial"/>
        </w:rPr>
        <w:t>PepMap</w:t>
      </w:r>
      <w:proofErr w:type="spellEnd"/>
      <w:r w:rsidRPr="003A5F02">
        <w:rPr>
          <w:rFonts w:ascii="Arial" w:hAnsi="Arial" w:cs="Arial"/>
        </w:rPr>
        <w:t xml:space="preserve"> C18 nano-trap column, washed with 0.5% acetonitrile 0.1%, then resolved on a 250 mm × 75 </w:t>
      </w:r>
      <w:proofErr w:type="spellStart"/>
      <w:r w:rsidRPr="003A5F02">
        <w:rPr>
          <w:rFonts w:ascii="Arial" w:hAnsi="Arial" w:cs="Arial"/>
        </w:rPr>
        <w:t>μm</w:t>
      </w:r>
      <w:proofErr w:type="spellEnd"/>
      <w:r w:rsidRPr="003A5F02">
        <w:rPr>
          <w:rFonts w:ascii="Arial" w:hAnsi="Arial" w:cs="Arial"/>
        </w:rPr>
        <w:t xml:space="preserve"> Acclaim </w:t>
      </w:r>
      <w:proofErr w:type="spellStart"/>
      <w:r w:rsidRPr="003A5F02">
        <w:rPr>
          <w:rFonts w:ascii="Arial" w:hAnsi="Arial" w:cs="Arial"/>
        </w:rPr>
        <w:t>PepMap</w:t>
      </w:r>
      <w:proofErr w:type="spellEnd"/>
      <w:r w:rsidRPr="003A5F02">
        <w:rPr>
          <w:rFonts w:ascii="Arial" w:hAnsi="Arial" w:cs="Arial"/>
        </w:rPr>
        <w:t xml:space="preserve"> C18 reversed phase analytical column (Thermo Scientific) over a 150 minutes organic gradient, using 7 gradient segments (1-6% solvent B over 1 minute, 6-15% B over 58 min, 15-32% B over 58 min, 32-40% B over 5minutes, 40-90% B over 1minute, held at 90% B for 6 minutes and then reduced to 1% B over 1 minute) with a flow rate of 300 </w:t>
      </w:r>
      <w:proofErr w:type="spellStart"/>
      <w:r w:rsidRPr="003A5F02">
        <w:rPr>
          <w:rFonts w:ascii="Arial" w:hAnsi="Arial" w:cs="Arial"/>
        </w:rPr>
        <w:t>nL</w:t>
      </w:r>
      <w:proofErr w:type="spellEnd"/>
      <w:r w:rsidRPr="003A5F02">
        <w:rPr>
          <w:rFonts w:ascii="Arial" w:hAnsi="Arial" w:cs="Arial"/>
        </w:rPr>
        <w:t xml:space="preserve">/min. For MS analysis, peptides were ionized by nano-electrospray ionization at 2.0 kV using a stainless-steel emitter with an internal diameter of 30 </w:t>
      </w:r>
      <w:proofErr w:type="spellStart"/>
      <w:r w:rsidRPr="003A5F02">
        <w:rPr>
          <w:rFonts w:ascii="Arial" w:hAnsi="Arial" w:cs="Arial"/>
        </w:rPr>
        <w:t>μm</w:t>
      </w:r>
      <w:proofErr w:type="spellEnd"/>
      <w:r w:rsidRPr="003A5F02">
        <w:rPr>
          <w:rFonts w:ascii="Arial" w:hAnsi="Arial" w:cs="Arial"/>
        </w:rPr>
        <w:t xml:space="preserve"> (Thermo Scientific) and a capillary temperature of 275°C. All spectra were acquired using an Orbitrap Fusion </w:t>
      </w:r>
      <w:proofErr w:type="spellStart"/>
      <w:r w:rsidRPr="003A5F02">
        <w:rPr>
          <w:rFonts w:ascii="Arial" w:hAnsi="Arial" w:cs="Arial"/>
        </w:rPr>
        <w:t>Tribrid</w:t>
      </w:r>
      <w:proofErr w:type="spellEnd"/>
      <w:r w:rsidRPr="003A5F02">
        <w:rPr>
          <w:rFonts w:ascii="Arial" w:hAnsi="Arial" w:cs="Arial"/>
        </w:rPr>
        <w:t xml:space="preserve"> mass spectrometer controlled by </w:t>
      </w:r>
      <w:proofErr w:type="spellStart"/>
      <w:r w:rsidRPr="003A5F02">
        <w:rPr>
          <w:rFonts w:ascii="Arial" w:hAnsi="Arial" w:cs="Arial"/>
        </w:rPr>
        <w:t>Xcalibur</w:t>
      </w:r>
      <w:proofErr w:type="spellEnd"/>
      <w:r w:rsidRPr="003A5F02">
        <w:rPr>
          <w:rFonts w:ascii="Arial" w:hAnsi="Arial" w:cs="Arial"/>
        </w:rPr>
        <w:t xml:space="preserve"> 2.0 software (Thermo Scientific) operating in data-dependent acquisition mode. FTMS1 spectra were acquired at a resolution of 120,000 over a scan range (m/z) of 375-1550, with an AGC target of 2E5 and a max injection time of 50 milliseconds. Precursors were filtered to only include charge states 2-7. Dynamic exclusion was set to 60 seconds. Up to 12 dependent ITMS2 scans were acquired for precursors with intensities between 5000 and 1E20. The quadrupole isolation window was set to of 1.2 m/z. </w:t>
      </w:r>
      <w:proofErr w:type="spellStart"/>
      <w:r w:rsidRPr="003A5F02">
        <w:rPr>
          <w:rFonts w:ascii="Arial" w:hAnsi="Arial" w:cs="Arial"/>
        </w:rPr>
        <w:t>FirstMass</w:t>
      </w:r>
      <w:proofErr w:type="spellEnd"/>
      <w:r w:rsidRPr="003A5F02">
        <w:rPr>
          <w:rFonts w:ascii="Arial" w:hAnsi="Arial" w:cs="Arial"/>
        </w:rPr>
        <w:t xml:space="preserve"> was set 120, the AGC target was 1E4, max injection time was 70 milliseconds and CID collision energy was 35%. FTMS3 scans (</w:t>
      </w:r>
      <w:proofErr w:type="spellStart"/>
      <w:r w:rsidRPr="003A5F02">
        <w:rPr>
          <w:rFonts w:ascii="Arial" w:hAnsi="Arial" w:cs="Arial"/>
        </w:rPr>
        <w:t>Reagant</w:t>
      </w:r>
      <w:proofErr w:type="spellEnd"/>
      <w:r w:rsidRPr="003A5F02">
        <w:rPr>
          <w:rFonts w:ascii="Arial" w:hAnsi="Arial" w:cs="Arial"/>
        </w:rPr>
        <w:t xml:space="preserve"> (sic.) Tag Type set to TMT) were acquired at 50,000 resolution over a 100-500 m/z range, using a </w:t>
      </w:r>
      <w:proofErr w:type="spellStart"/>
      <w:r w:rsidRPr="003A5F02">
        <w:rPr>
          <w:rFonts w:ascii="Arial" w:hAnsi="Arial" w:cs="Arial"/>
        </w:rPr>
        <w:t>MultiNotch</w:t>
      </w:r>
      <w:proofErr w:type="spellEnd"/>
      <w:r w:rsidRPr="003A5F02">
        <w:rPr>
          <w:rFonts w:ascii="Arial" w:hAnsi="Arial" w:cs="Arial"/>
        </w:rPr>
        <w:t xml:space="preserve"> (5) method, HCD activation with 60% collision energy, AGC target 5E4 and 105 </w:t>
      </w:r>
      <w:proofErr w:type="spellStart"/>
      <w:r w:rsidRPr="003A5F02">
        <w:rPr>
          <w:rFonts w:ascii="Arial" w:hAnsi="Arial" w:cs="Arial"/>
        </w:rPr>
        <w:t>ms</w:t>
      </w:r>
      <w:proofErr w:type="spellEnd"/>
      <w:r w:rsidRPr="003A5F02">
        <w:rPr>
          <w:rFonts w:ascii="Arial" w:hAnsi="Arial" w:cs="Arial"/>
        </w:rPr>
        <w:t xml:space="preserve"> max injection time with 60% collision energy, AGC target 5E4 and 105 </w:t>
      </w:r>
      <w:proofErr w:type="spellStart"/>
      <w:r w:rsidRPr="003A5F02">
        <w:rPr>
          <w:rFonts w:ascii="Arial" w:hAnsi="Arial" w:cs="Arial"/>
        </w:rPr>
        <w:t>ms</w:t>
      </w:r>
      <w:proofErr w:type="spellEnd"/>
      <w:r w:rsidRPr="003A5F02">
        <w:rPr>
          <w:rFonts w:ascii="Arial" w:hAnsi="Arial" w:cs="Arial"/>
        </w:rPr>
        <w:t xml:space="preserve"> max injection time.</w:t>
      </w:r>
    </w:p>
    <w:p w14:paraId="735640D7" w14:textId="77777777" w:rsidR="00AF4FAD" w:rsidRPr="00AF4FAD" w:rsidRDefault="00AF4FAD" w:rsidP="00AF4FAD">
      <w:pPr>
        <w:pStyle w:val="Corpotesto"/>
      </w:pPr>
    </w:p>
    <w:p w14:paraId="2C1648B9" w14:textId="77777777" w:rsidR="00AF4FAD" w:rsidRDefault="0085370A" w:rsidP="0085370A">
      <w:pPr>
        <w:spacing w:line="360" w:lineRule="auto"/>
        <w:rPr>
          <w:rFonts w:ascii="Arial" w:hAnsi="Arial" w:cs="Arial"/>
          <w:b/>
        </w:rPr>
      </w:pPr>
      <w:r w:rsidRPr="003A5F02">
        <w:rPr>
          <w:rFonts w:ascii="Arial" w:hAnsi="Arial" w:cs="Arial"/>
          <w:b/>
        </w:rPr>
        <w:lastRenderedPageBreak/>
        <w:t>Data Analysis</w:t>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r w:rsidRPr="003A5F02">
        <w:rPr>
          <w:rFonts w:ascii="Arial" w:hAnsi="Arial" w:cs="Arial"/>
          <w:b/>
        </w:rPr>
        <w:tab/>
      </w:r>
    </w:p>
    <w:p w14:paraId="7F3382F3" w14:textId="6DF0BCC4" w:rsidR="0085370A" w:rsidRPr="003A5F02" w:rsidRDefault="0085370A" w:rsidP="0085370A">
      <w:pPr>
        <w:spacing w:line="360" w:lineRule="auto"/>
        <w:rPr>
          <w:rFonts w:ascii="Arial" w:hAnsi="Arial" w:cs="Arial"/>
        </w:rPr>
      </w:pPr>
      <w:r w:rsidRPr="003A5F02">
        <w:rPr>
          <w:rFonts w:ascii="Arial" w:hAnsi="Arial" w:cs="Arial"/>
        </w:rPr>
        <w:t xml:space="preserve">Acquired raw files were searched in </w:t>
      </w:r>
      <w:proofErr w:type="spellStart"/>
      <w:r w:rsidRPr="003A5F02">
        <w:rPr>
          <w:rFonts w:ascii="Arial" w:hAnsi="Arial" w:cs="Arial"/>
        </w:rPr>
        <w:t>MaxQuant</w:t>
      </w:r>
      <w:proofErr w:type="spellEnd"/>
      <w:r w:rsidRPr="003A5F02">
        <w:rPr>
          <w:rFonts w:ascii="Arial" w:hAnsi="Arial" w:cs="Arial"/>
        </w:rPr>
        <w:t xml:space="preserve"> (Version 1.6.17.0) against a human database from </w:t>
      </w:r>
      <w:proofErr w:type="spellStart"/>
      <w:r w:rsidRPr="003A5F02">
        <w:rPr>
          <w:rFonts w:ascii="Arial" w:hAnsi="Arial" w:cs="Arial"/>
        </w:rPr>
        <w:t>UniProt</w:t>
      </w:r>
      <w:proofErr w:type="spellEnd"/>
      <w:r w:rsidRPr="003A5F02">
        <w:rPr>
          <w:rFonts w:ascii="Arial" w:hAnsi="Arial" w:cs="Arial"/>
        </w:rPr>
        <w:t xml:space="preserve"> (ID: UP000005640). The search criteria were including oxidation of methionine and acetylation of the protein N-terminus as variable modifications and N-Ethylmaleimide (NEM) modification of cysteine (+125.048) as fixed modification. For digestion mode enzyme specificity was Trypsin/P with a maximum of two missed cleavages per peptide. All FDRs were set to 1%. TMT label purity correction was performed in </w:t>
      </w:r>
      <w:proofErr w:type="spellStart"/>
      <w:r w:rsidRPr="003A5F02">
        <w:rPr>
          <w:rFonts w:ascii="Arial" w:hAnsi="Arial" w:cs="Arial"/>
        </w:rPr>
        <w:t>MaxQuant</w:t>
      </w:r>
      <w:proofErr w:type="spellEnd"/>
      <w:r w:rsidRPr="003A5F02">
        <w:rPr>
          <w:rFonts w:ascii="Arial" w:hAnsi="Arial" w:cs="Arial"/>
        </w:rPr>
        <w:t xml:space="preserve">. The ‘protein groups’ table was then fed into </w:t>
      </w:r>
      <w:proofErr w:type="spellStart"/>
      <w:r w:rsidRPr="003A5F02">
        <w:rPr>
          <w:rFonts w:ascii="Arial" w:hAnsi="Arial" w:cs="Arial"/>
        </w:rPr>
        <w:t>Normalyzer</w:t>
      </w:r>
      <w:proofErr w:type="spellEnd"/>
      <w:r w:rsidRPr="003A5F02">
        <w:rPr>
          <w:rFonts w:ascii="Arial" w:hAnsi="Arial" w:cs="Arial"/>
        </w:rPr>
        <w:t xml:space="preserve"> (R package) for data </w:t>
      </w:r>
      <w:proofErr w:type="spellStart"/>
      <w:r w:rsidRPr="003A5F02">
        <w:rPr>
          <w:rFonts w:ascii="Arial" w:hAnsi="Arial" w:cs="Arial"/>
        </w:rPr>
        <w:t>normalisation</w:t>
      </w:r>
      <w:proofErr w:type="spellEnd"/>
      <w:r w:rsidRPr="003A5F02">
        <w:rPr>
          <w:rFonts w:ascii="Arial" w:hAnsi="Arial" w:cs="Arial"/>
        </w:rPr>
        <w:t>. Quantile-</w:t>
      </w:r>
      <w:proofErr w:type="spellStart"/>
      <w:r w:rsidRPr="003A5F02">
        <w:rPr>
          <w:rFonts w:ascii="Arial" w:hAnsi="Arial" w:cs="Arial"/>
        </w:rPr>
        <w:t>normalised</w:t>
      </w:r>
      <w:proofErr w:type="spellEnd"/>
      <w:r w:rsidRPr="003A5F02">
        <w:rPr>
          <w:rFonts w:ascii="Arial" w:hAnsi="Arial" w:cs="Arial"/>
        </w:rPr>
        <w:t xml:space="preserve"> values were then imported into the Perseus (Version 4.1.3.0) data analysis software platform. Unpaired two sample t-tests were used to identify proteins that were differentially expressed and a secondary threshold requiring a ±1.25 Log</w:t>
      </w:r>
      <w:r w:rsidRPr="003A5F02">
        <w:rPr>
          <w:rFonts w:ascii="Arial" w:hAnsi="Arial" w:cs="Arial"/>
          <w:vertAlign w:val="subscript"/>
        </w:rPr>
        <w:t>2</w:t>
      </w:r>
      <w:r w:rsidRPr="003A5F02">
        <w:rPr>
          <w:rFonts w:ascii="Arial" w:hAnsi="Arial" w:cs="Arial"/>
        </w:rPr>
        <w:t xml:space="preserve"> fold change was used. The volcano plot was designed with GraphPad Prism 9.</w:t>
      </w:r>
    </w:p>
    <w:p w14:paraId="76339E1C" w14:textId="77777777" w:rsidR="0085370A" w:rsidRPr="003A5F02" w:rsidRDefault="0085370A" w:rsidP="0085370A">
      <w:pPr>
        <w:spacing w:line="360" w:lineRule="auto"/>
        <w:rPr>
          <w:rFonts w:ascii="Arial" w:hAnsi="Arial" w:cs="Arial"/>
          <w:sz w:val="12"/>
          <w:szCs w:val="12"/>
        </w:rPr>
      </w:pPr>
    </w:p>
    <w:p w14:paraId="35457F80" w14:textId="77777777" w:rsidR="0085370A" w:rsidRPr="003A5F02" w:rsidRDefault="0085370A" w:rsidP="0085370A">
      <w:pPr>
        <w:spacing w:line="360" w:lineRule="auto"/>
        <w:rPr>
          <w:rFonts w:ascii="Arial" w:hAnsi="Arial" w:cs="Arial"/>
        </w:rPr>
      </w:pPr>
      <w:r w:rsidRPr="003A5F02">
        <w:rPr>
          <w:rFonts w:ascii="Arial" w:hAnsi="Arial" w:cs="Arial"/>
          <w:b/>
        </w:rPr>
        <w:t>Co-immunoprecipitation</w:t>
      </w:r>
    </w:p>
    <w:p w14:paraId="4639178F" w14:textId="77777777" w:rsidR="0085370A" w:rsidRPr="003A5F02" w:rsidRDefault="0085370A" w:rsidP="0085370A">
      <w:pPr>
        <w:spacing w:line="360" w:lineRule="auto"/>
        <w:rPr>
          <w:rFonts w:ascii="Arial" w:hAnsi="Arial" w:cs="Arial"/>
        </w:rPr>
      </w:pPr>
      <w:r w:rsidRPr="003A5F02">
        <w:rPr>
          <w:rFonts w:ascii="Arial" w:hAnsi="Arial" w:cs="Arial"/>
        </w:rPr>
        <w:t xml:space="preserve">Proteins were extracted and co-immunoprecipitated from 350 </w:t>
      </w:r>
      <w:proofErr w:type="spellStart"/>
      <w:r w:rsidRPr="003A5F02">
        <w:rPr>
          <w:rFonts w:ascii="Arial" w:hAnsi="Arial" w:cs="Arial"/>
        </w:rPr>
        <w:t>μg</w:t>
      </w:r>
      <w:proofErr w:type="spellEnd"/>
      <w:r w:rsidRPr="003A5F02">
        <w:rPr>
          <w:rFonts w:ascii="Arial" w:hAnsi="Arial" w:cs="Arial"/>
        </w:rPr>
        <w:t xml:space="preserve"> protein lysate in 150μL modified RIPA buffer [50 mM Tris-HCl pH 7.5, 150 mM NaCl, 1% sodium deoxycholate, 1% NP-40 alternative, 0.02% SDS containing protease and phosphatase inhibitors (Roche Diagnostics GmbH, cat. no.11697498001 &amp; cat. no.4906845001)] with 1:50 anti-Flag antibody (Cell signaling, cat. no. 8146) or 1:50 anti-NUSAP1 antibody (St John’s Labs, #STJ91598) overnight at 4°C. Antigen-antibody complexes were purified using Protein G resin (</w:t>
      </w:r>
      <w:proofErr w:type="spellStart"/>
      <w:r w:rsidRPr="003A5F02">
        <w:rPr>
          <w:rFonts w:ascii="Arial" w:hAnsi="Arial" w:cs="Arial"/>
        </w:rPr>
        <w:t>Genscript</w:t>
      </w:r>
      <w:proofErr w:type="spellEnd"/>
      <w:r w:rsidRPr="003A5F02">
        <w:rPr>
          <w:rFonts w:ascii="Arial" w:hAnsi="Arial" w:cs="Arial"/>
        </w:rPr>
        <w:t>, cat. no. L00209), which was pre-blocked with 1% BSA-RIPA buffer for 4 hours at 4°C. After washing of the beads, bound proteins were eluted by boiling in 1×SDS gel loading buffer and analyzed by immunoblotting.</w:t>
      </w:r>
    </w:p>
    <w:p w14:paraId="17499C6C" w14:textId="77777777" w:rsidR="00FB7318" w:rsidRDefault="00FB7318" w:rsidP="0085370A"/>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iberation Sans">
    <w:altName w:val="Arial"/>
    <w:panose1 w:val="020B0604020202020204"/>
    <w:charset w:val="01"/>
    <w:family w:val="roman"/>
    <w:pitch w:val="variable"/>
  </w:font>
  <w:font w:name="Noto Sans CJK SC Regular">
    <w:panose1 w:val="020B0604020202020204"/>
    <w:charset w:val="00"/>
    <w:family w:val="roman"/>
    <w:notTrueType/>
    <w:pitch w:val="default"/>
  </w:font>
  <w:font w:name="FreeSans">
    <w:altName w:val="Cambria"/>
    <w:panose1 w:val="020B0604020202020204"/>
    <w:charset w:val="00"/>
    <w:family w:val="roman"/>
    <w:notTrueType/>
    <w:pitch w:val="default"/>
  </w:font>
  <w:font w:name="Noto Sans CJK SC">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dvOTe521d66a">
    <w:altName w:val="Times New Roman"/>
    <w:panose1 w:val="020B0604020202020204"/>
    <w:charset w:val="00"/>
    <w:family w:val="roman"/>
    <w:pitch w:val="default"/>
  </w:font>
  <w:font w:name="serif">
    <w:altName w:val="Segoe Print"/>
    <w:panose1 w:val="020B0604020202020204"/>
    <w:charset w:val="00"/>
    <w:family w:val="auto"/>
    <w:pitch w:val="default"/>
  </w:font>
  <w:font w:name="JrvfhhAdvTT86d47313+03">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8100C"/>
    <w:multiLevelType w:val="multilevel"/>
    <w:tmpl w:val="8DF6BA56"/>
    <w:lvl w:ilvl="0">
      <w:start w:val="1"/>
      <w:numFmt w:val="none"/>
      <w:pStyle w:val="Titolo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0A"/>
    <w:rsid w:val="00015022"/>
    <w:rsid w:val="00016E9A"/>
    <w:rsid w:val="000231DF"/>
    <w:rsid w:val="00032861"/>
    <w:rsid w:val="00032FD1"/>
    <w:rsid w:val="000454B2"/>
    <w:rsid w:val="000465A3"/>
    <w:rsid w:val="000470CD"/>
    <w:rsid w:val="000603E6"/>
    <w:rsid w:val="00067FC9"/>
    <w:rsid w:val="00070F26"/>
    <w:rsid w:val="00090765"/>
    <w:rsid w:val="00092855"/>
    <w:rsid w:val="000962E9"/>
    <w:rsid w:val="00097459"/>
    <w:rsid w:val="00097887"/>
    <w:rsid w:val="000A01AA"/>
    <w:rsid w:val="000A07CE"/>
    <w:rsid w:val="000A4C5F"/>
    <w:rsid w:val="000B3705"/>
    <w:rsid w:val="000B4C11"/>
    <w:rsid w:val="000C1912"/>
    <w:rsid w:val="000C539F"/>
    <w:rsid w:val="000C6E85"/>
    <w:rsid w:val="000E10DA"/>
    <w:rsid w:val="000E2107"/>
    <w:rsid w:val="0010031E"/>
    <w:rsid w:val="00102FF3"/>
    <w:rsid w:val="00105494"/>
    <w:rsid w:val="0011602E"/>
    <w:rsid w:val="00117ED7"/>
    <w:rsid w:val="0012002D"/>
    <w:rsid w:val="00120875"/>
    <w:rsid w:val="0012138D"/>
    <w:rsid w:val="001316D7"/>
    <w:rsid w:val="001401CF"/>
    <w:rsid w:val="001422E1"/>
    <w:rsid w:val="00146756"/>
    <w:rsid w:val="00147CDD"/>
    <w:rsid w:val="00164948"/>
    <w:rsid w:val="00165124"/>
    <w:rsid w:val="0018086B"/>
    <w:rsid w:val="0018239B"/>
    <w:rsid w:val="00184578"/>
    <w:rsid w:val="00184A54"/>
    <w:rsid w:val="00193EDC"/>
    <w:rsid w:val="001A10CF"/>
    <w:rsid w:val="001A773F"/>
    <w:rsid w:val="001B3983"/>
    <w:rsid w:val="001B6297"/>
    <w:rsid w:val="001B6E06"/>
    <w:rsid w:val="001C1311"/>
    <w:rsid w:val="001C5E90"/>
    <w:rsid w:val="001C7B76"/>
    <w:rsid w:val="001D133C"/>
    <w:rsid w:val="001D2697"/>
    <w:rsid w:val="001D6DF8"/>
    <w:rsid w:val="001D7366"/>
    <w:rsid w:val="001D7919"/>
    <w:rsid w:val="001E1624"/>
    <w:rsid w:val="001E24F2"/>
    <w:rsid w:val="001E2529"/>
    <w:rsid w:val="001F03B4"/>
    <w:rsid w:val="001F5184"/>
    <w:rsid w:val="00200DC9"/>
    <w:rsid w:val="002060E7"/>
    <w:rsid w:val="0020617B"/>
    <w:rsid w:val="002138A2"/>
    <w:rsid w:val="002241AA"/>
    <w:rsid w:val="00225966"/>
    <w:rsid w:val="002333C7"/>
    <w:rsid w:val="00233903"/>
    <w:rsid w:val="00237107"/>
    <w:rsid w:val="0024454B"/>
    <w:rsid w:val="00261D9D"/>
    <w:rsid w:val="00263051"/>
    <w:rsid w:val="0026723A"/>
    <w:rsid w:val="00273F2C"/>
    <w:rsid w:val="00274532"/>
    <w:rsid w:val="00277394"/>
    <w:rsid w:val="00277B40"/>
    <w:rsid w:val="00284DB4"/>
    <w:rsid w:val="00287E83"/>
    <w:rsid w:val="0029380A"/>
    <w:rsid w:val="0029688C"/>
    <w:rsid w:val="002A1D1D"/>
    <w:rsid w:val="002A3958"/>
    <w:rsid w:val="002B0462"/>
    <w:rsid w:val="002B7221"/>
    <w:rsid w:val="002C3489"/>
    <w:rsid w:val="002C4DD6"/>
    <w:rsid w:val="002C51FA"/>
    <w:rsid w:val="002C56F4"/>
    <w:rsid w:val="002D0F44"/>
    <w:rsid w:val="002E1D40"/>
    <w:rsid w:val="002E4CB3"/>
    <w:rsid w:val="002F2478"/>
    <w:rsid w:val="002F51A1"/>
    <w:rsid w:val="003105AC"/>
    <w:rsid w:val="00313346"/>
    <w:rsid w:val="00316C99"/>
    <w:rsid w:val="0032209D"/>
    <w:rsid w:val="0032678A"/>
    <w:rsid w:val="00326A71"/>
    <w:rsid w:val="00331732"/>
    <w:rsid w:val="0033759E"/>
    <w:rsid w:val="003431FD"/>
    <w:rsid w:val="003439B3"/>
    <w:rsid w:val="003520AF"/>
    <w:rsid w:val="00352414"/>
    <w:rsid w:val="00357E70"/>
    <w:rsid w:val="00362512"/>
    <w:rsid w:val="00364DE0"/>
    <w:rsid w:val="003764B6"/>
    <w:rsid w:val="003952FA"/>
    <w:rsid w:val="003A353C"/>
    <w:rsid w:val="003B5690"/>
    <w:rsid w:val="003B5FF0"/>
    <w:rsid w:val="003B7BB0"/>
    <w:rsid w:val="003C7710"/>
    <w:rsid w:val="003D477A"/>
    <w:rsid w:val="003D58DE"/>
    <w:rsid w:val="003E0B64"/>
    <w:rsid w:val="003E1E6E"/>
    <w:rsid w:val="003E668F"/>
    <w:rsid w:val="00400DA0"/>
    <w:rsid w:val="00402118"/>
    <w:rsid w:val="00412F1C"/>
    <w:rsid w:val="004142FD"/>
    <w:rsid w:val="00421619"/>
    <w:rsid w:val="00426CF0"/>
    <w:rsid w:val="00433E4C"/>
    <w:rsid w:val="00436A92"/>
    <w:rsid w:val="004418A5"/>
    <w:rsid w:val="004420E4"/>
    <w:rsid w:val="004439F9"/>
    <w:rsid w:val="00443D60"/>
    <w:rsid w:val="004460AF"/>
    <w:rsid w:val="00447F50"/>
    <w:rsid w:val="00454467"/>
    <w:rsid w:val="004611C1"/>
    <w:rsid w:val="004631D0"/>
    <w:rsid w:val="004651B2"/>
    <w:rsid w:val="00467519"/>
    <w:rsid w:val="004761A2"/>
    <w:rsid w:val="004801AE"/>
    <w:rsid w:val="00480C83"/>
    <w:rsid w:val="00495339"/>
    <w:rsid w:val="0049731B"/>
    <w:rsid w:val="00497E34"/>
    <w:rsid w:val="004A3060"/>
    <w:rsid w:val="004A7355"/>
    <w:rsid w:val="004B4AC5"/>
    <w:rsid w:val="004B4FAF"/>
    <w:rsid w:val="004B5ACA"/>
    <w:rsid w:val="004B7572"/>
    <w:rsid w:val="004C0966"/>
    <w:rsid w:val="004C1330"/>
    <w:rsid w:val="004C205F"/>
    <w:rsid w:val="004C3EAE"/>
    <w:rsid w:val="004C60F7"/>
    <w:rsid w:val="004C67AD"/>
    <w:rsid w:val="004C7AB1"/>
    <w:rsid w:val="004D464D"/>
    <w:rsid w:val="004E12B5"/>
    <w:rsid w:val="004E2394"/>
    <w:rsid w:val="004E2F6A"/>
    <w:rsid w:val="004F505C"/>
    <w:rsid w:val="004F6F19"/>
    <w:rsid w:val="00515E93"/>
    <w:rsid w:val="005346B3"/>
    <w:rsid w:val="00534744"/>
    <w:rsid w:val="005348D9"/>
    <w:rsid w:val="005372FD"/>
    <w:rsid w:val="005419E7"/>
    <w:rsid w:val="00543484"/>
    <w:rsid w:val="005441AC"/>
    <w:rsid w:val="00551760"/>
    <w:rsid w:val="00555FE5"/>
    <w:rsid w:val="005562A8"/>
    <w:rsid w:val="00556D9D"/>
    <w:rsid w:val="0057760D"/>
    <w:rsid w:val="00585030"/>
    <w:rsid w:val="00586EB2"/>
    <w:rsid w:val="00592287"/>
    <w:rsid w:val="00593F5D"/>
    <w:rsid w:val="005A0DA6"/>
    <w:rsid w:val="005B4FF5"/>
    <w:rsid w:val="005C4D08"/>
    <w:rsid w:val="005C517A"/>
    <w:rsid w:val="005E0225"/>
    <w:rsid w:val="005E37F3"/>
    <w:rsid w:val="005E4387"/>
    <w:rsid w:val="005E4426"/>
    <w:rsid w:val="005E4F92"/>
    <w:rsid w:val="005F218F"/>
    <w:rsid w:val="005F5F7B"/>
    <w:rsid w:val="005F7CBC"/>
    <w:rsid w:val="006018FD"/>
    <w:rsid w:val="00602B3A"/>
    <w:rsid w:val="00605B38"/>
    <w:rsid w:val="006077FF"/>
    <w:rsid w:val="006201BE"/>
    <w:rsid w:val="00620B5D"/>
    <w:rsid w:val="00623F7D"/>
    <w:rsid w:val="00627073"/>
    <w:rsid w:val="00633BA5"/>
    <w:rsid w:val="00645498"/>
    <w:rsid w:val="00646B4A"/>
    <w:rsid w:val="006470BB"/>
    <w:rsid w:val="00652CE1"/>
    <w:rsid w:val="00652D00"/>
    <w:rsid w:val="00655DD7"/>
    <w:rsid w:val="00656768"/>
    <w:rsid w:val="006601FF"/>
    <w:rsid w:val="006611C8"/>
    <w:rsid w:val="0066200C"/>
    <w:rsid w:val="006642B6"/>
    <w:rsid w:val="006661DC"/>
    <w:rsid w:val="00671723"/>
    <w:rsid w:val="00673716"/>
    <w:rsid w:val="00675192"/>
    <w:rsid w:val="006765A3"/>
    <w:rsid w:val="00676EBE"/>
    <w:rsid w:val="00681271"/>
    <w:rsid w:val="00686E06"/>
    <w:rsid w:val="006966A2"/>
    <w:rsid w:val="006A24B0"/>
    <w:rsid w:val="006A66C5"/>
    <w:rsid w:val="006B64F2"/>
    <w:rsid w:val="006B6E39"/>
    <w:rsid w:val="006B7F2A"/>
    <w:rsid w:val="006C452E"/>
    <w:rsid w:val="006C558C"/>
    <w:rsid w:val="006E5873"/>
    <w:rsid w:val="006E6900"/>
    <w:rsid w:val="006E71FA"/>
    <w:rsid w:val="006F093C"/>
    <w:rsid w:val="006F16CE"/>
    <w:rsid w:val="006F19AC"/>
    <w:rsid w:val="006F422D"/>
    <w:rsid w:val="00731646"/>
    <w:rsid w:val="00736D4B"/>
    <w:rsid w:val="007419E0"/>
    <w:rsid w:val="007517FB"/>
    <w:rsid w:val="00752951"/>
    <w:rsid w:val="007535A3"/>
    <w:rsid w:val="00763C85"/>
    <w:rsid w:val="00764078"/>
    <w:rsid w:val="0077670A"/>
    <w:rsid w:val="00776D51"/>
    <w:rsid w:val="00781A5A"/>
    <w:rsid w:val="00784A9D"/>
    <w:rsid w:val="007940E4"/>
    <w:rsid w:val="007945F3"/>
    <w:rsid w:val="00794794"/>
    <w:rsid w:val="007956C1"/>
    <w:rsid w:val="007B08AD"/>
    <w:rsid w:val="007B613E"/>
    <w:rsid w:val="007C13A2"/>
    <w:rsid w:val="007C1F9C"/>
    <w:rsid w:val="007C4A55"/>
    <w:rsid w:val="007D2FC5"/>
    <w:rsid w:val="007E0EF6"/>
    <w:rsid w:val="007E68CC"/>
    <w:rsid w:val="007F25BF"/>
    <w:rsid w:val="007F2AC9"/>
    <w:rsid w:val="007F666D"/>
    <w:rsid w:val="00801D35"/>
    <w:rsid w:val="00810BC5"/>
    <w:rsid w:val="00816076"/>
    <w:rsid w:val="00825C4B"/>
    <w:rsid w:val="00827262"/>
    <w:rsid w:val="00831E14"/>
    <w:rsid w:val="008415DB"/>
    <w:rsid w:val="008455DB"/>
    <w:rsid w:val="00846FA9"/>
    <w:rsid w:val="0085370A"/>
    <w:rsid w:val="00855462"/>
    <w:rsid w:val="00860559"/>
    <w:rsid w:val="00881EF3"/>
    <w:rsid w:val="008861E1"/>
    <w:rsid w:val="00895EFF"/>
    <w:rsid w:val="00897756"/>
    <w:rsid w:val="008A0276"/>
    <w:rsid w:val="008C015E"/>
    <w:rsid w:val="008C1114"/>
    <w:rsid w:val="008C47CA"/>
    <w:rsid w:val="008E532F"/>
    <w:rsid w:val="008E6E71"/>
    <w:rsid w:val="008F58AE"/>
    <w:rsid w:val="00910513"/>
    <w:rsid w:val="00913B7C"/>
    <w:rsid w:val="00916194"/>
    <w:rsid w:val="00921E6D"/>
    <w:rsid w:val="00926265"/>
    <w:rsid w:val="00927528"/>
    <w:rsid w:val="00932E1F"/>
    <w:rsid w:val="009345F8"/>
    <w:rsid w:val="009420C6"/>
    <w:rsid w:val="0094213D"/>
    <w:rsid w:val="009422C5"/>
    <w:rsid w:val="009435D5"/>
    <w:rsid w:val="00953A62"/>
    <w:rsid w:val="00955912"/>
    <w:rsid w:val="0096025A"/>
    <w:rsid w:val="009639B1"/>
    <w:rsid w:val="009644BC"/>
    <w:rsid w:val="00971FBF"/>
    <w:rsid w:val="0097712C"/>
    <w:rsid w:val="00983058"/>
    <w:rsid w:val="009877A4"/>
    <w:rsid w:val="0099342D"/>
    <w:rsid w:val="00995223"/>
    <w:rsid w:val="009B1686"/>
    <w:rsid w:val="009C22FB"/>
    <w:rsid w:val="009C2B0B"/>
    <w:rsid w:val="009C3BE3"/>
    <w:rsid w:val="009C5E38"/>
    <w:rsid w:val="009D12E3"/>
    <w:rsid w:val="009E1095"/>
    <w:rsid w:val="009E406F"/>
    <w:rsid w:val="009E64EE"/>
    <w:rsid w:val="009F00FA"/>
    <w:rsid w:val="009F5654"/>
    <w:rsid w:val="009F5E2D"/>
    <w:rsid w:val="009F6B4B"/>
    <w:rsid w:val="00A057C2"/>
    <w:rsid w:val="00A12FDD"/>
    <w:rsid w:val="00A14A71"/>
    <w:rsid w:val="00A15A99"/>
    <w:rsid w:val="00A2154A"/>
    <w:rsid w:val="00A2763D"/>
    <w:rsid w:val="00A330E5"/>
    <w:rsid w:val="00A376D5"/>
    <w:rsid w:val="00A400B1"/>
    <w:rsid w:val="00A611C6"/>
    <w:rsid w:val="00A62365"/>
    <w:rsid w:val="00A6664D"/>
    <w:rsid w:val="00A70D05"/>
    <w:rsid w:val="00A71088"/>
    <w:rsid w:val="00A8222A"/>
    <w:rsid w:val="00A834A0"/>
    <w:rsid w:val="00AA3DE0"/>
    <w:rsid w:val="00AD13AF"/>
    <w:rsid w:val="00AD1BC1"/>
    <w:rsid w:val="00AD2464"/>
    <w:rsid w:val="00AE4A84"/>
    <w:rsid w:val="00AE615B"/>
    <w:rsid w:val="00AF05AC"/>
    <w:rsid w:val="00AF3A11"/>
    <w:rsid w:val="00AF4FAD"/>
    <w:rsid w:val="00AF66BB"/>
    <w:rsid w:val="00B01D05"/>
    <w:rsid w:val="00B03F43"/>
    <w:rsid w:val="00B0530E"/>
    <w:rsid w:val="00B12763"/>
    <w:rsid w:val="00B15506"/>
    <w:rsid w:val="00B1708C"/>
    <w:rsid w:val="00B27938"/>
    <w:rsid w:val="00B314F5"/>
    <w:rsid w:val="00B36B9A"/>
    <w:rsid w:val="00B408DC"/>
    <w:rsid w:val="00B42A2B"/>
    <w:rsid w:val="00B44779"/>
    <w:rsid w:val="00B44FA6"/>
    <w:rsid w:val="00B464A6"/>
    <w:rsid w:val="00B47ECF"/>
    <w:rsid w:val="00B500D5"/>
    <w:rsid w:val="00B53949"/>
    <w:rsid w:val="00B5799F"/>
    <w:rsid w:val="00B60C53"/>
    <w:rsid w:val="00B630FB"/>
    <w:rsid w:val="00B67DFF"/>
    <w:rsid w:val="00B706B1"/>
    <w:rsid w:val="00B71224"/>
    <w:rsid w:val="00B72675"/>
    <w:rsid w:val="00B83AB1"/>
    <w:rsid w:val="00B852B9"/>
    <w:rsid w:val="00B85B11"/>
    <w:rsid w:val="00B9031D"/>
    <w:rsid w:val="00BB0EF8"/>
    <w:rsid w:val="00BB51E7"/>
    <w:rsid w:val="00BB5956"/>
    <w:rsid w:val="00BD05EE"/>
    <w:rsid w:val="00BD141B"/>
    <w:rsid w:val="00BE014D"/>
    <w:rsid w:val="00BE2E76"/>
    <w:rsid w:val="00C11837"/>
    <w:rsid w:val="00C21D37"/>
    <w:rsid w:val="00C23C75"/>
    <w:rsid w:val="00C24C37"/>
    <w:rsid w:val="00C27FF0"/>
    <w:rsid w:val="00C33075"/>
    <w:rsid w:val="00C44B55"/>
    <w:rsid w:val="00C51FB8"/>
    <w:rsid w:val="00C70EC8"/>
    <w:rsid w:val="00C771D5"/>
    <w:rsid w:val="00C91DC1"/>
    <w:rsid w:val="00C92441"/>
    <w:rsid w:val="00C93F65"/>
    <w:rsid w:val="00C94265"/>
    <w:rsid w:val="00C973AB"/>
    <w:rsid w:val="00CA6E2D"/>
    <w:rsid w:val="00CB0141"/>
    <w:rsid w:val="00CB50DA"/>
    <w:rsid w:val="00CB6F39"/>
    <w:rsid w:val="00CD38C7"/>
    <w:rsid w:val="00CD6C2F"/>
    <w:rsid w:val="00CE451C"/>
    <w:rsid w:val="00CF2AD2"/>
    <w:rsid w:val="00D06129"/>
    <w:rsid w:val="00D1076A"/>
    <w:rsid w:val="00D17288"/>
    <w:rsid w:val="00D21165"/>
    <w:rsid w:val="00D405AA"/>
    <w:rsid w:val="00D42B5F"/>
    <w:rsid w:val="00D43A51"/>
    <w:rsid w:val="00D44F41"/>
    <w:rsid w:val="00D45EF2"/>
    <w:rsid w:val="00D47618"/>
    <w:rsid w:val="00D51205"/>
    <w:rsid w:val="00D52A3C"/>
    <w:rsid w:val="00D63E95"/>
    <w:rsid w:val="00D650DE"/>
    <w:rsid w:val="00D701A9"/>
    <w:rsid w:val="00D73520"/>
    <w:rsid w:val="00D75478"/>
    <w:rsid w:val="00D75F18"/>
    <w:rsid w:val="00D76803"/>
    <w:rsid w:val="00D768EB"/>
    <w:rsid w:val="00D81CC7"/>
    <w:rsid w:val="00D81F13"/>
    <w:rsid w:val="00D84BB8"/>
    <w:rsid w:val="00D863F5"/>
    <w:rsid w:val="00D904EB"/>
    <w:rsid w:val="00D9392B"/>
    <w:rsid w:val="00DA1C1B"/>
    <w:rsid w:val="00DA2ED0"/>
    <w:rsid w:val="00DA30A0"/>
    <w:rsid w:val="00DA6753"/>
    <w:rsid w:val="00DB00C5"/>
    <w:rsid w:val="00DB2F80"/>
    <w:rsid w:val="00DB65EB"/>
    <w:rsid w:val="00DB7C2F"/>
    <w:rsid w:val="00DB7DA7"/>
    <w:rsid w:val="00DC164A"/>
    <w:rsid w:val="00DE2B04"/>
    <w:rsid w:val="00DE377F"/>
    <w:rsid w:val="00DE6ED5"/>
    <w:rsid w:val="00DE7AE9"/>
    <w:rsid w:val="00DF592A"/>
    <w:rsid w:val="00E05B72"/>
    <w:rsid w:val="00E0642B"/>
    <w:rsid w:val="00E20C20"/>
    <w:rsid w:val="00E25B15"/>
    <w:rsid w:val="00E30A0A"/>
    <w:rsid w:val="00E35F7E"/>
    <w:rsid w:val="00E4352B"/>
    <w:rsid w:val="00E520AD"/>
    <w:rsid w:val="00E56DD0"/>
    <w:rsid w:val="00E574D8"/>
    <w:rsid w:val="00E61CE0"/>
    <w:rsid w:val="00E62E63"/>
    <w:rsid w:val="00E66EB2"/>
    <w:rsid w:val="00E75297"/>
    <w:rsid w:val="00E80B27"/>
    <w:rsid w:val="00E9067B"/>
    <w:rsid w:val="00E91148"/>
    <w:rsid w:val="00EA1CE1"/>
    <w:rsid w:val="00EA42C8"/>
    <w:rsid w:val="00EA7B70"/>
    <w:rsid w:val="00EB108A"/>
    <w:rsid w:val="00EC4B8D"/>
    <w:rsid w:val="00EE1B44"/>
    <w:rsid w:val="00EF34D3"/>
    <w:rsid w:val="00EF3AD8"/>
    <w:rsid w:val="00EF4A9D"/>
    <w:rsid w:val="00F013D4"/>
    <w:rsid w:val="00F03796"/>
    <w:rsid w:val="00F052C8"/>
    <w:rsid w:val="00F075DA"/>
    <w:rsid w:val="00F1351B"/>
    <w:rsid w:val="00F158A4"/>
    <w:rsid w:val="00F225DB"/>
    <w:rsid w:val="00F25764"/>
    <w:rsid w:val="00F273A8"/>
    <w:rsid w:val="00F32725"/>
    <w:rsid w:val="00F32F1E"/>
    <w:rsid w:val="00F46D9C"/>
    <w:rsid w:val="00F47022"/>
    <w:rsid w:val="00F4735A"/>
    <w:rsid w:val="00F47AB2"/>
    <w:rsid w:val="00F53C20"/>
    <w:rsid w:val="00F54E35"/>
    <w:rsid w:val="00F55988"/>
    <w:rsid w:val="00F569F9"/>
    <w:rsid w:val="00F60001"/>
    <w:rsid w:val="00F6249F"/>
    <w:rsid w:val="00F63757"/>
    <w:rsid w:val="00F6464F"/>
    <w:rsid w:val="00F659E9"/>
    <w:rsid w:val="00F75A52"/>
    <w:rsid w:val="00F770A4"/>
    <w:rsid w:val="00F77E1C"/>
    <w:rsid w:val="00F91EEC"/>
    <w:rsid w:val="00F97311"/>
    <w:rsid w:val="00F97EBF"/>
    <w:rsid w:val="00FA0470"/>
    <w:rsid w:val="00FA37E8"/>
    <w:rsid w:val="00FA454F"/>
    <w:rsid w:val="00FA49DB"/>
    <w:rsid w:val="00FB0D42"/>
    <w:rsid w:val="00FB7318"/>
    <w:rsid w:val="00FB7814"/>
    <w:rsid w:val="00FC171F"/>
    <w:rsid w:val="00FC38AE"/>
    <w:rsid w:val="00FC440A"/>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56C5"/>
  <w15:docId w15:val="{03BA1FA1-1B57-7147-BB9C-85CAD484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Corpotesto"/>
    <w:qFormat/>
    <w:rsid w:val="000E10DA"/>
    <w:pPr>
      <w:widowControl w:val="0"/>
      <w:jc w:val="both"/>
    </w:pPr>
    <w:rPr>
      <w:rFonts w:eastAsia="Dotum" w:cstheme="minorBidi"/>
      <w:kern w:val="2"/>
      <w:sz w:val="21"/>
      <w:szCs w:val="24"/>
    </w:rPr>
  </w:style>
  <w:style w:type="paragraph" w:styleId="Titolo1">
    <w:name w:val="heading 1"/>
    <w:basedOn w:val="Normale"/>
    <w:next w:val="Normale"/>
    <w:link w:val="Titolo1Carattere"/>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Titolo2">
    <w:name w:val="heading 2"/>
    <w:basedOn w:val="Normale"/>
    <w:next w:val="Normale"/>
    <w:link w:val="Titolo2Carattere"/>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Titolo3">
    <w:name w:val="heading 3"/>
    <w:basedOn w:val="Normale"/>
    <w:next w:val="Normale"/>
    <w:link w:val="Titolo3Carattere"/>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Titolo4">
    <w:name w:val="heading 4"/>
    <w:basedOn w:val="Normale"/>
    <w:next w:val="Normale"/>
    <w:link w:val="Titolo4Carattere"/>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Titolo5">
    <w:name w:val="heading 5"/>
    <w:basedOn w:val="Normale"/>
    <w:next w:val="Normale"/>
    <w:link w:val="Titolo5Carattere"/>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Titolo6">
    <w:name w:val="heading 6"/>
    <w:basedOn w:val="Normale"/>
    <w:next w:val="Normale"/>
    <w:link w:val="Titolo6Carattere"/>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Titolo7">
    <w:name w:val="heading 7"/>
    <w:basedOn w:val="Normale"/>
    <w:link w:val="Titolo7Carattere"/>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link w:val="Titolo8Carattere"/>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link w:val="Titolo9Carattere"/>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basedOn w:val="Carpredefinitoparagrafo"/>
    <w:uiPriority w:val="99"/>
    <w:unhideWhenUsed/>
    <w:rsid w:val="00671723"/>
    <w:rPr>
      <w:color w:val="0000FF" w:themeColor="hyperlink"/>
      <w:u w:val="single"/>
    </w:rPr>
  </w:style>
  <w:style w:type="character" w:customStyle="1" w:styleId="jrnl">
    <w:name w:val="jrnl"/>
    <w:basedOn w:val="Carpredefinitoparagrafo"/>
    <w:rsid w:val="00671723"/>
  </w:style>
  <w:style w:type="character" w:customStyle="1" w:styleId="berschrift5Zchn">
    <w:name w:val="Überschrift 5 Zchn"/>
    <w:basedOn w:val="Carpredefinitoparagrafo"/>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Carpredefinitoparagrafo"/>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Carpredefinitoparagrafo"/>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Carpredefinitoparagrafo"/>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Carpredefinitoparagrafo"/>
    <w:uiPriority w:val="20"/>
    <w:rsid w:val="00671723"/>
    <w:rPr>
      <w:i/>
      <w:iCs/>
    </w:rPr>
  </w:style>
  <w:style w:type="character" w:customStyle="1" w:styleId="berschrift1Zchn">
    <w:name w:val="Überschrift 1 Zchn"/>
    <w:basedOn w:val="Carpredefinitoparagrafo"/>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e"/>
    <w:next w:val="Corpotesto"/>
    <w:rsid w:val="00671723"/>
    <w:pPr>
      <w:keepNext/>
      <w:spacing w:before="240" w:after="120"/>
    </w:pPr>
    <w:rPr>
      <w:rFonts w:ascii="Liberation Sans" w:eastAsia="Noto Sans CJK SC" w:hAnsi="Liberation Sans" w:cs="Lohit Devanagari"/>
      <w:sz w:val="28"/>
      <w:szCs w:val="28"/>
    </w:rPr>
  </w:style>
  <w:style w:type="paragraph" w:styleId="Corpotesto">
    <w:name w:val="Body Text"/>
    <w:basedOn w:val="Normale"/>
    <w:link w:val="CorpotestoCarattere"/>
    <w:qFormat/>
    <w:rsid w:val="000E10DA"/>
    <w:pPr>
      <w:spacing w:after="120" w:line="360" w:lineRule="auto"/>
    </w:pPr>
    <w:rPr>
      <w:rFonts w:eastAsia="SimSun" w:cs="Times New Roman"/>
      <w:kern w:val="0"/>
      <w:sz w:val="24"/>
    </w:rPr>
  </w:style>
  <w:style w:type="character" w:customStyle="1" w:styleId="CorpotestoCarattere">
    <w:name w:val="Corpo testo Carattere"/>
    <w:basedOn w:val="Carpredefinitoparagrafo"/>
    <w:link w:val="Corpotesto"/>
    <w:qFormat/>
    <w:rsid w:val="000E10DA"/>
    <w:rPr>
      <w:sz w:val="24"/>
      <w:szCs w:val="24"/>
    </w:rPr>
  </w:style>
  <w:style w:type="paragraph" w:customStyle="1" w:styleId="Verzeichnis">
    <w:name w:val="Verzeichnis"/>
    <w:basedOn w:val="Normale"/>
    <w:rsid w:val="00671723"/>
    <w:pPr>
      <w:suppressLineNumbers/>
    </w:pPr>
    <w:rPr>
      <w:rFonts w:cs="Lohit Devanagari"/>
    </w:rPr>
  </w:style>
  <w:style w:type="paragraph" w:customStyle="1" w:styleId="Titel1">
    <w:name w:val="Titel1"/>
    <w:basedOn w:val="Normale"/>
    <w:rsid w:val="00671723"/>
    <w:pPr>
      <w:spacing w:beforeAutospacing="1" w:afterAutospacing="1"/>
    </w:pPr>
    <w:rPr>
      <w:rFonts w:eastAsia="Times New Roman" w:cs="Times New Roman"/>
      <w:lang w:eastAsia="de-DE"/>
    </w:rPr>
  </w:style>
  <w:style w:type="paragraph" w:customStyle="1" w:styleId="desc">
    <w:name w:val="desc"/>
    <w:basedOn w:val="Normale"/>
    <w:rsid w:val="00671723"/>
    <w:pPr>
      <w:spacing w:beforeAutospacing="1" w:afterAutospacing="1"/>
    </w:pPr>
    <w:rPr>
      <w:rFonts w:eastAsia="Times New Roman" w:cs="Times New Roman"/>
      <w:lang w:eastAsia="de-DE"/>
    </w:rPr>
  </w:style>
  <w:style w:type="paragraph" w:customStyle="1" w:styleId="details">
    <w:name w:val="details"/>
    <w:basedOn w:val="Normale"/>
    <w:rsid w:val="00671723"/>
    <w:pPr>
      <w:spacing w:beforeAutospacing="1" w:afterAutospacing="1"/>
    </w:pPr>
    <w:rPr>
      <w:rFonts w:eastAsia="Times New Roman" w:cs="Times New Roman"/>
      <w:lang w:eastAsia="de-DE"/>
    </w:rPr>
  </w:style>
  <w:style w:type="paragraph" w:customStyle="1" w:styleId="Titel2">
    <w:name w:val="Titel2"/>
    <w:basedOn w:val="Normale"/>
    <w:rsid w:val="00671723"/>
    <w:pPr>
      <w:spacing w:beforeAutospacing="1" w:afterAutospacing="1"/>
    </w:pPr>
    <w:rPr>
      <w:rFonts w:eastAsia="Times New Roman" w:cs="Times New Roman"/>
      <w:lang w:eastAsia="de-DE"/>
    </w:rPr>
  </w:style>
  <w:style w:type="paragraph" w:customStyle="1" w:styleId="Titel3">
    <w:name w:val="Titel3"/>
    <w:basedOn w:val="Normale"/>
    <w:rsid w:val="00671723"/>
    <w:pPr>
      <w:spacing w:beforeAutospacing="1" w:afterAutospacing="1"/>
    </w:pPr>
    <w:rPr>
      <w:rFonts w:eastAsia="Times New Roman" w:cs="Times New Roman"/>
      <w:lang w:eastAsia="de-DE"/>
    </w:rPr>
  </w:style>
  <w:style w:type="paragraph" w:customStyle="1" w:styleId="Titel4">
    <w:name w:val="Titel4"/>
    <w:basedOn w:val="Normale"/>
    <w:rsid w:val="00671723"/>
    <w:pPr>
      <w:spacing w:beforeAutospacing="1" w:afterAutospacing="1"/>
    </w:pPr>
    <w:rPr>
      <w:rFonts w:eastAsia="Times New Roman" w:cs="Times New Roman"/>
      <w:lang w:eastAsia="de-DE"/>
    </w:rPr>
  </w:style>
  <w:style w:type="paragraph" w:customStyle="1" w:styleId="Titel5">
    <w:name w:val="Titel5"/>
    <w:basedOn w:val="Normale"/>
    <w:rsid w:val="00671723"/>
    <w:pPr>
      <w:spacing w:beforeAutospacing="1" w:afterAutospacing="1"/>
    </w:pPr>
    <w:rPr>
      <w:rFonts w:eastAsia="Times New Roman" w:cs="Times New Roman"/>
      <w:lang w:eastAsia="de-DE"/>
    </w:rPr>
  </w:style>
  <w:style w:type="character" w:customStyle="1" w:styleId="Titolo1Carattere">
    <w:name w:val="Titolo 1 Carattere"/>
    <w:basedOn w:val="Carpredefinitoparagrafo"/>
    <w:link w:val="Titolo1"/>
    <w:uiPriority w:val="9"/>
    <w:qFormat/>
    <w:rsid w:val="000E10DA"/>
    <w:rPr>
      <w:rFonts w:cstheme="majorBidi"/>
      <w:b/>
      <w:bCs/>
      <w:kern w:val="44"/>
      <w:sz w:val="44"/>
      <w:szCs w:val="44"/>
    </w:rPr>
  </w:style>
  <w:style w:type="character" w:customStyle="1" w:styleId="Titolo5Carattere">
    <w:name w:val="Titolo 5 Carattere"/>
    <w:basedOn w:val="Carpredefinitoparagrafo"/>
    <w:link w:val="Titolo5"/>
    <w:uiPriority w:val="9"/>
    <w:qFormat/>
    <w:rsid w:val="000E10DA"/>
    <w:rPr>
      <w:rFonts w:eastAsiaTheme="majorEastAsia" w:cstheme="majorBidi"/>
      <w:b/>
      <w:bCs/>
      <w:sz w:val="32"/>
      <w:szCs w:val="28"/>
    </w:rPr>
  </w:style>
  <w:style w:type="character" w:customStyle="1" w:styleId="Titolo7Carattere">
    <w:name w:val="Titolo 7 Carattere"/>
    <w:basedOn w:val="Carpredefinitoparagrafo"/>
    <w:link w:val="Titolo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Titolo8Carattere">
    <w:name w:val="Titolo 8 Carattere"/>
    <w:basedOn w:val="Carpredefinitoparagrafo"/>
    <w:link w:val="Titolo8"/>
    <w:uiPriority w:val="9"/>
    <w:semiHidden/>
    <w:rsid w:val="00671723"/>
    <w:rPr>
      <w:rFonts w:asciiTheme="majorHAnsi" w:eastAsiaTheme="majorEastAsia" w:hAnsiTheme="majorHAnsi" w:cstheme="majorBidi"/>
      <w:color w:val="404040" w:themeColor="text1" w:themeTint="BF"/>
      <w:kern w:val="2"/>
    </w:rPr>
  </w:style>
  <w:style w:type="character" w:customStyle="1" w:styleId="Titolo9Carattere">
    <w:name w:val="Titolo 9 Carattere"/>
    <w:basedOn w:val="Carpredefinitoparagrafo"/>
    <w:link w:val="Titolo9"/>
    <w:uiPriority w:val="9"/>
    <w:semiHidden/>
    <w:rsid w:val="00671723"/>
    <w:rPr>
      <w:rFonts w:asciiTheme="majorHAnsi" w:eastAsiaTheme="majorEastAsia" w:hAnsiTheme="majorHAnsi" w:cstheme="majorBidi"/>
      <w:i/>
      <w:iCs/>
      <w:color w:val="404040" w:themeColor="text1" w:themeTint="BF"/>
      <w:kern w:val="2"/>
    </w:rPr>
  </w:style>
  <w:style w:type="paragraph" w:styleId="Testocommento">
    <w:name w:val="annotation text"/>
    <w:basedOn w:val="Normale"/>
    <w:link w:val="TestocommentoCarattere"/>
    <w:uiPriority w:val="99"/>
    <w:unhideWhenUsed/>
    <w:qFormat/>
    <w:rsid w:val="000E10DA"/>
    <w:pPr>
      <w:jc w:val="left"/>
    </w:pPr>
    <w:rPr>
      <w:rFonts w:cs="Times New Roman"/>
      <w:kern w:val="0"/>
      <w:sz w:val="20"/>
    </w:rPr>
  </w:style>
  <w:style w:type="character" w:customStyle="1" w:styleId="TestocommentoCarattere">
    <w:name w:val="Testo commento Carattere"/>
    <w:basedOn w:val="Carpredefinitoparagrafo"/>
    <w:link w:val="Testocommento"/>
    <w:uiPriority w:val="99"/>
    <w:qFormat/>
    <w:rsid w:val="000E10DA"/>
    <w:rPr>
      <w:rFonts w:eastAsia="Dotum"/>
      <w:szCs w:val="24"/>
    </w:rPr>
  </w:style>
  <w:style w:type="paragraph" w:styleId="Didascalia">
    <w:name w:val="caption"/>
    <w:basedOn w:val="Normale"/>
    <w:uiPriority w:val="35"/>
    <w:semiHidden/>
    <w:unhideWhenUsed/>
    <w:qFormat/>
    <w:rsid w:val="00671723"/>
    <w:pPr>
      <w:spacing w:after="200"/>
    </w:pPr>
    <w:rPr>
      <w:b/>
      <w:bCs/>
      <w:color w:val="4F81BD" w:themeColor="accent1"/>
      <w:sz w:val="18"/>
      <w:szCs w:val="18"/>
    </w:rPr>
  </w:style>
  <w:style w:type="character" w:styleId="Rimandocommento">
    <w:name w:val="annotation reference"/>
    <w:basedOn w:val="Carpredefinitoparagrafo"/>
    <w:unhideWhenUsed/>
    <w:qFormat/>
    <w:rsid w:val="000E10DA"/>
    <w:rPr>
      <w:sz w:val="21"/>
      <w:szCs w:val="21"/>
    </w:rPr>
  </w:style>
  <w:style w:type="character" w:styleId="Numeroriga">
    <w:name w:val="line number"/>
    <w:basedOn w:val="Carpredefinitoparagrafo"/>
    <w:uiPriority w:val="99"/>
    <w:semiHidden/>
    <w:unhideWhenUsed/>
    <w:qFormat/>
    <w:rsid w:val="000E10DA"/>
  </w:style>
  <w:style w:type="paragraph" w:styleId="NormaleWeb">
    <w:name w:val="Normal (Web)"/>
    <w:basedOn w:val="Normale"/>
    <w:uiPriority w:val="99"/>
    <w:rsid w:val="004C60F7"/>
    <w:pPr>
      <w:widowControl/>
      <w:spacing w:before="100" w:beforeAutospacing="1" w:after="100" w:afterAutospacing="1"/>
      <w:jc w:val="left"/>
    </w:pPr>
    <w:rPr>
      <w:rFonts w:ascii="SimSun" w:hAnsi="SimSun"/>
      <w:kern w:val="0"/>
    </w:rPr>
  </w:style>
  <w:style w:type="paragraph" w:styleId="PreformattatoHTML">
    <w:name w:val="HTML Preformatted"/>
    <w:basedOn w:val="Normale"/>
    <w:link w:val="PreformattatoHTMLCarattere"/>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PreformattatoHTMLCarattere">
    <w:name w:val="Preformattato HTML Carattere"/>
    <w:basedOn w:val="Carpredefinitoparagrafo"/>
    <w:link w:val="PreformattatoHTML"/>
    <w:uiPriority w:val="99"/>
    <w:rsid w:val="00671723"/>
    <w:rPr>
      <w:rFonts w:ascii="Courier New" w:eastAsia="Times New Roman" w:hAnsi="Courier New" w:cs="Courier New"/>
      <w:szCs w:val="20"/>
      <w:lang w:eastAsia="de-DE"/>
    </w:rPr>
  </w:style>
  <w:style w:type="paragraph" w:styleId="Soggettocommento">
    <w:name w:val="annotation subject"/>
    <w:basedOn w:val="Testocommento"/>
    <w:next w:val="Testocommento"/>
    <w:link w:val="SoggettocommentoCarattere"/>
    <w:uiPriority w:val="99"/>
    <w:semiHidden/>
    <w:unhideWhenUsed/>
    <w:qFormat/>
    <w:rsid w:val="000E10DA"/>
    <w:rPr>
      <w:b/>
      <w:bCs/>
    </w:rPr>
  </w:style>
  <w:style w:type="character" w:customStyle="1" w:styleId="SoggettocommentoCarattere">
    <w:name w:val="Soggetto commento Carattere"/>
    <w:basedOn w:val="TestocommentoCarattere"/>
    <w:link w:val="Soggettocommento"/>
    <w:uiPriority w:val="99"/>
    <w:semiHidden/>
    <w:qFormat/>
    <w:rsid w:val="000E10DA"/>
    <w:rPr>
      <w:rFonts w:eastAsia="Dotum"/>
      <w:b/>
      <w:bCs/>
      <w:szCs w:val="24"/>
    </w:rPr>
  </w:style>
  <w:style w:type="paragraph" w:styleId="Testofumetto">
    <w:name w:val="Balloon Text"/>
    <w:basedOn w:val="Normale"/>
    <w:link w:val="TestofumettoCarattere"/>
    <w:uiPriority w:val="99"/>
    <w:semiHidden/>
    <w:unhideWhenUsed/>
    <w:qFormat/>
    <w:rsid w:val="000E10DA"/>
    <w:rPr>
      <w:rFonts w:cs="Times New Roman"/>
      <w:kern w:val="0"/>
      <w:sz w:val="18"/>
      <w:szCs w:val="18"/>
    </w:rPr>
  </w:style>
  <w:style w:type="character" w:customStyle="1" w:styleId="TestofumettoCarattere">
    <w:name w:val="Testo fumetto Carattere"/>
    <w:basedOn w:val="Carpredefinitoparagrafo"/>
    <w:link w:val="Testofumetto"/>
    <w:uiPriority w:val="99"/>
    <w:semiHidden/>
    <w:qFormat/>
    <w:rsid w:val="000E10DA"/>
    <w:rPr>
      <w:rFonts w:eastAsia="Dotum"/>
      <w:sz w:val="18"/>
      <w:szCs w:val="18"/>
    </w:rPr>
  </w:style>
  <w:style w:type="paragraph" w:styleId="Paragrafoelenco">
    <w:name w:val="List Paragraph"/>
    <w:basedOn w:val="Normale"/>
    <w:uiPriority w:val="34"/>
    <w:qFormat/>
    <w:rsid w:val="000E10DA"/>
    <w:pPr>
      <w:ind w:firstLineChars="200" w:firstLine="420"/>
    </w:pPr>
  </w:style>
  <w:style w:type="paragraph" w:styleId="Revisione">
    <w:name w:val="Revision"/>
    <w:uiPriority w:val="99"/>
    <w:semiHidden/>
    <w:rsid w:val="00671723"/>
    <w:rPr>
      <w:sz w:val="22"/>
    </w:rPr>
  </w:style>
  <w:style w:type="character" w:customStyle="1" w:styleId="correct">
    <w:name w:val="correct"/>
    <w:basedOn w:val="Carpredefinitoparagrafo"/>
    <w:rsid w:val="004C60F7"/>
  </w:style>
  <w:style w:type="paragraph" w:styleId="Intestazione">
    <w:name w:val="header"/>
    <w:basedOn w:val="Normale"/>
    <w:link w:val="IntestazioneCarattere"/>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IntestazioneCarattere">
    <w:name w:val="Intestazione Carattere"/>
    <w:basedOn w:val="Carpredefinitoparagrafo"/>
    <w:link w:val="Intestazione"/>
    <w:uiPriority w:val="99"/>
    <w:qFormat/>
    <w:rsid w:val="000E10DA"/>
    <w:rPr>
      <w:rFonts w:eastAsia="Dotum"/>
      <w:sz w:val="18"/>
      <w:szCs w:val="18"/>
    </w:rPr>
  </w:style>
  <w:style w:type="paragraph" w:styleId="Pidipagina">
    <w:name w:val="footer"/>
    <w:basedOn w:val="Normale"/>
    <w:link w:val="PidipaginaCarattere"/>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PidipaginaCarattere">
    <w:name w:val="Piè di pagina Carattere"/>
    <w:basedOn w:val="Carpredefinitoparagrafo"/>
    <w:link w:val="Pidipagina"/>
    <w:uiPriority w:val="99"/>
    <w:qFormat/>
    <w:rsid w:val="000E10DA"/>
    <w:rPr>
      <w:rFonts w:eastAsia="Dotum"/>
      <w:sz w:val="18"/>
      <w:szCs w:val="18"/>
    </w:rPr>
  </w:style>
  <w:style w:type="character" w:styleId="Collegamentoipertestuale">
    <w:name w:val="Hyperlink"/>
    <w:basedOn w:val="Carpredefinitoparagrafo"/>
    <w:uiPriority w:val="99"/>
    <w:unhideWhenUsed/>
    <w:qFormat/>
    <w:rsid w:val="000E10DA"/>
    <w:rPr>
      <w:color w:val="0000FF" w:themeColor="hyperlink"/>
      <w:u w:val="single"/>
    </w:rPr>
  </w:style>
  <w:style w:type="paragraph" w:customStyle="1" w:styleId="1">
    <w:name w:val="列出段落1"/>
    <w:basedOn w:val="Normale"/>
    <w:uiPriority w:val="34"/>
    <w:qFormat/>
    <w:rsid w:val="000E10DA"/>
    <w:pPr>
      <w:ind w:firstLineChars="200" w:firstLine="420"/>
    </w:pPr>
    <w:rPr>
      <w:rFonts w:ascii="Calibri" w:eastAsia="SimSun" w:hAnsi="Calibri"/>
      <w:szCs w:val="22"/>
    </w:rPr>
  </w:style>
  <w:style w:type="paragraph" w:customStyle="1" w:styleId="TOC1">
    <w:name w:val="TOC 标题1"/>
    <w:basedOn w:val="Titolo1"/>
    <w:next w:val="Normale"/>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Carpredefinitoparagrafo"/>
    <w:qFormat/>
    <w:rsid w:val="000E10DA"/>
  </w:style>
  <w:style w:type="character" w:customStyle="1" w:styleId="apple-converted-space">
    <w:name w:val="apple-converted-space"/>
    <w:basedOn w:val="Carpredefinitoparagrafo"/>
    <w:qFormat/>
    <w:rsid w:val="000E10DA"/>
  </w:style>
  <w:style w:type="character" w:customStyle="1" w:styleId="underline">
    <w:name w:val="underline"/>
    <w:basedOn w:val="Carpredefinitoparagrafo"/>
    <w:qFormat/>
    <w:rsid w:val="000E10DA"/>
  </w:style>
  <w:style w:type="character" w:customStyle="1" w:styleId="other-issues">
    <w:name w:val="other-issues"/>
    <w:basedOn w:val="Carpredefinitoparagrafo"/>
    <w:qFormat/>
    <w:rsid w:val="000E10DA"/>
  </w:style>
  <w:style w:type="character" w:customStyle="1" w:styleId="double-underline">
    <w:name w:val="double-underline"/>
    <w:basedOn w:val="Carpredefinitoparagrafo"/>
    <w:qFormat/>
    <w:rsid w:val="000E10DA"/>
  </w:style>
  <w:style w:type="character" w:customStyle="1" w:styleId="bold-double-underline">
    <w:name w:val="bold-double-underline"/>
    <w:basedOn w:val="Carpredefinitoparagrafo"/>
    <w:qFormat/>
    <w:rsid w:val="000E10DA"/>
  </w:style>
  <w:style w:type="character" w:customStyle="1" w:styleId="ui-icon-plus-minus-big-open">
    <w:name w:val="ui-icon-plus-minus-big-open"/>
    <w:basedOn w:val="Carpredefinitoparagrafo"/>
    <w:qFormat/>
    <w:rsid w:val="000E10DA"/>
  </w:style>
  <w:style w:type="character" w:customStyle="1" w:styleId="ui-icon-plus-minus-big-open1">
    <w:name w:val="ui-icon-plus-minus-big-open1"/>
    <w:basedOn w:val="Carpredefinitoparagrafo"/>
    <w:qFormat/>
    <w:rsid w:val="000E10DA"/>
  </w:style>
  <w:style w:type="character" w:customStyle="1" w:styleId="ui-icon46">
    <w:name w:val="ui-icon46"/>
    <w:basedOn w:val="Carpredefinitoparagrafo"/>
    <w:qFormat/>
    <w:rsid w:val="000E10DA"/>
  </w:style>
  <w:style w:type="character" w:customStyle="1" w:styleId="ui-icon47">
    <w:name w:val="ui-icon47"/>
    <w:basedOn w:val="Carpredefinitoparagrafo"/>
    <w:qFormat/>
    <w:rsid w:val="000E10DA"/>
  </w:style>
  <w:style w:type="character" w:customStyle="1" w:styleId="ui-icon48">
    <w:name w:val="ui-icon48"/>
    <w:basedOn w:val="Carpredefinitoparagrafo"/>
    <w:qFormat/>
    <w:rsid w:val="000E10DA"/>
  </w:style>
  <w:style w:type="character" w:customStyle="1" w:styleId="pagelink">
    <w:name w:val="page_link"/>
    <w:basedOn w:val="Carpredefinitoparagrafo"/>
    <w:qFormat/>
    <w:rsid w:val="000E10DA"/>
    <w:rPr>
      <w:color w:val="CCCCCC"/>
    </w:rPr>
  </w:style>
  <w:style w:type="character" w:customStyle="1" w:styleId="ui-selectmenu-text">
    <w:name w:val="ui-selectmenu-text"/>
    <w:basedOn w:val="Carpredefinitoparagrafo"/>
    <w:qFormat/>
    <w:rsid w:val="000E10DA"/>
  </w:style>
  <w:style w:type="character" w:customStyle="1" w:styleId="ui-icon-plus-minus-big">
    <w:name w:val="ui-icon-plus-minus-big"/>
    <w:basedOn w:val="Carpredefinitoparagrafo"/>
    <w:qFormat/>
    <w:rsid w:val="000E10DA"/>
  </w:style>
  <w:style w:type="character" w:customStyle="1" w:styleId="ui-icon-plus-minus-big1">
    <w:name w:val="ui-icon-plus-minus-big1"/>
    <w:basedOn w:val="Carpredefinitoparagrafo"/>
    <w:qFormat/>
    <w:rsid w:val="000E10DA"/>
  </w:style>
  <w:style w:type="character" w:customStyle="1" w:styleId="collapsabletbodyicon">
    <w:name w:val="collapsabletbodyicon"/>
    <w:basedOn w:val="Carpredefinitoparagrafo"/>
    <w:qFormat/>
    <w:rsid w:val="000E10DA"/>
  </w:style>
  <w:style w:type="character" w:customStyle="1" w:styleId="fontstyle01">
    <w:name w:val="fontstyle01"/>
    <w:basedOn w:val="Carpredefinitoparagrafo"/>
    <w:qFormat/>
    <w:rsid w:val="000E10DA"/>
    <w:rPr>
      <w:rFonts w:ascii="AdvOTe521d66a" w:hAnsi="AdvOTe521d66a" w:hint="default"/>
      <w:color w:val="231F20"/>
      <w:sz w:val="20"/>
      <w:szCs w:val="20"/>
    </w:rPr>
  </w:style>
  <w:style w:type="character" w:customStyle="1" w:styleId="font71">
    <w:name w:val="font71"/>
    <w:basedOn w:val="Carpredefinitoparagrafo"/>
    <w:qFormat/>
    <w:rsid w:val="000E10DA"/>
    <w:rPr>
      <w:rFonts w:ascii="SimSun" w:eastAsia="SimSun" w:hAnsi="SimSun" w:cs="SimSun" w:hint="eastAsia"/>
      <w:color w:val="000000"/>
      <w:sz w:val="24"/>
      <w:szCs w:val="24"/>
      <w:u w:val="none"/>
    </w:rPr>
  </w:style>
  <w:style w:type="character" w:customStyle="1" w:styleId="font81">
    <w:name w:val="font81"/>
    <w:basedOn w:val="Carpredefinitoparagrafo"/>
    <w:qFormat/>
    <w:rsid w:val="000E10DA"/>
    <w:rPr>
      <w:rFonts w:ascii="Times New Roman" w:hAnsi="Times New Roman" w:cs="Times New Roman" w:hint="default"/>
      <w:color w:val="000000"/>
      <w:sz w:val="24"/>
      <w:szCs w:val="24"/>
      <w:u w:val="none"/>
    </w:rPr>
  </w:style>
  <w:style w:type="character" w:customStyle="1" w:styleId="font61">
    <w:name w:val="font61"/>
    <w:basedOn w:val="Carpredefinitoparagrafo"/>
    <w:qFormat/>
    <w:rsid w:val="000E10DA"/>
    <w:rPr>
      <w:rFonts w:ascii="Times New Roman" w:hAnsi="Times New Roman" w:cs="Times New Roman" w:hint="default"/>
      <w:color w:val="000000"/>
      <w:sz w:val="24"/>
      <w:szCs w:val="24"/>
      <w:u w:val="none"/>
    </w:rPr>
  </w:style>
  <w:style w:type="character" w:customStyle="1" w:styleId="font51">
    <w:name w:val="font51"/>
    <w:basedOn w:val="Carpredefinitoparagrafo"/>
    <w:qFormat/>
    <w:rsid w:val="000E10DA"/>
    <w:rPr>
      <w:rFonts w:ascii="SimSun" w:eastAsia="SimSun" w:hAnsi="SimSun" w:cs="SimSun" w:hint="eastAsia"/>
      <w:color w:val="000000"/>
      <w:sz w:val="24"/>
      <w:szCs w:val="24"/>
      <w:u w:val="none"/>
    </w:rPr>
  </w:style>
  <w:style w:type="character" w:customStyle="1" w:styleId="font91">
    <w:name w:val="font91"/>
    <w:basedOn w:val="Carpredefinitoparagrafo"/>
    <w:qFormat/>
    <w:rsid w:val="000E10DA"/>
    <w:rPr>
      <w:rFonts w:ascii="Dotum" w:eastAsia="Dotum" w:hAnsi="Dotum" w:cs="Dotum"/>
      <w:color w:val="000000"/>
      <w:sz w:val="24"/>
      <w:szCs w:val="24"/>
      <w:u w:val="none"/>
    </w:rPr>
  </w:style>
  <w:style w:type="character" w:customStyle="1" w:styleId="font101">
    <w:name w:val="font101"/>
    <w:basedOn w:val="Carpredefinitoparagrafo"/>
    <w:qFormat/>
    <w:rsid w:val="000E10DA"/>
    <w:rPr>
      <w:rFonts w:ascii="serif" w:eastAsia="serif" w:hAnsi="serif" w:cs="serif" w:hint="default"/>
      <w:color w:val="000000"/>
      <w:sz w:val="24"/>
      <w:szCs w:val="24"/>
      <w:u w:val="none"/>
    </w:rPr>
  </w:style>
  <w:style w:type="character" w:customStyle="1" w:styleId="10">
    <w:name w:val="未处理的提及1"/>
    <w:basedOn w:val="Carpredefinitoparagrafo"/>
    <w:uiPriority w:val="99"/>
    <w:semiHidden/>
    <w:unhideWhenUsed/>
    <w:qFormat/>
    <w:rsid w:val="000E10DA"/>
    <w:rPr>
      <w:color w:val="605E5C"/>
      <w:shd w:val="clear" w:color="auto" w:fill="E1DFDD"/>
    </w:rPr>
  </w:style>
  <w:style w:type="paragraph" w:customStyle="1" w:styleId="EndNoteBibliographyTitle">
    <w:name w:val="EndNote Bibliography Title"/>
    <w:basedOn w:val="Normale"/>
    <w:link w:val="EndNoteBibliographyTitleChar"/>
    <w:qFormat/>
    <w:rsid w:val="000E10DA"/>
    <w:pPr>
      <w:jc w:val="center"/>
    </w:pPr>
    <w:rPr>
      <w:sz w:val="24"/>
    </w:rPr>
  </w:style>
  <w:style w:type="character" w:customStyle="1" w:styleId="EndNoteBibliographyTitleChar">
    <w:name w:val="EndNote Bibliography Title Char"/>
    <w:basedOn w:val="Carpredefinitoparagrafo"/>
    <w:link w:val="EndNoteBibliographyTitle"/>
    <w:qFormat/>
    <w:rsid w:val="000E10DA"/>
    <w:rPr>
      <w:rFonts w:eastAsia="Dotum" w:cstheme="minorBidi"/>
      <w:kern w:val="2"/>
      <w:sz w:val="24"/>
      <w:szCs w:val="24"/>
    </w:rPr>
  </w:style>
  <w:style w:type="paragraph" w:customStyle="1" w:styleId="EndNoteBibliography">
    <w:name w:val="EndNote Bibliography"/>
    <w:basedOn w:val="Normale"/>
    <w:link w:val="EndNoteBibliographyChar"/>
    <w:qFormat/>
    <w:rsid w:val="000E10DA"/>
    <w:rPr>
      <w:sz w:val="24"/>
    </w:rPr>
  </w:style>
  <w:style w:type="character" w:customStyle="1" w:styleId="EndNoteBibliographyChar">
    <w:name w:val="EndNote Bibliography Char"/>
    <w:basedOn w:val="Carpredefinitoparagrafo"/>
    <w:link w:val="EndNoteBibliography"/>
    <w:qFormat/>
    <w:rsid w:val="000E10DA"/>
    <w:rPr>
      <w:rFonts w:eastAsia="Dotum" w:cstheme="minorBidi"/>
      <w:kern w:val="2"/>
      <w:sz w:val="24"/>
      <w:szCs w:val="24"/>
    </w:rPr>
  </w:style>
  <w:style w:type="character" w:customStyle="1" w:styleId="fontstyle21">
    <w:name w:val="fontstyle21"/>
    <w:basedOn w:val="Carpredefinitoparagrafo"/>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e"/>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Carpredefinitoparagrafo"/>
    <w:uiPriority w:val="19"/>
    <w:qFormat/>
    <w:rsid w:val="000E10DA"/>
    <w:rPr>
      <w:i/>
      <w:iCs/>
      <w:color w:val="7F7F7F" w:themeColor="text1" w:themeTint="80"/>
    </w:rPr>
  </w:style>
  <w:style w:type="character" w:customStyle="1" w:styleId="font11">
    <w:name w:val="font11"/>
    <w:basedOn w:val="Carpredefinitoparagrafo"/>
    <w:qFormat/>
    <w:rsid w:val="000E10DA"/>
    <w:rPr>
      <w:rFonts w:ascii="Times New Roman" w:hAnsi="Times New Roman" w:cs="Times New Roman" w:hint="default"/>
      <w:color w:val="000000"/>
      <w:sz w:val="24"/>
      <w:szCs w:val="24"/>
      <w:u w:val="none"/>
    </w:rPr>
  </w:style>
  <w:style w:type="character" w:customStyle="1" w:styleId="font01">
    <w:name w:val="font01"/>
    <w:basedOn w:val="Carpredefinitoparagrafo"/>
    <w:qFormat/>
    <w:rsid w:val="000E10DA"/>
    <w:rPr>
      <w:rFonts w:ascii="Times New Roman" w:hAnsi="Times New Roman" w:cs="Times New Roman" w:hint="default"/>
      <w:color w:val="000000"/>
      <w:sz w:val="24"/>
      <w:szCs w:val="24"/>
      <w:u w:val="none"/>
    </w:rPr>
  </w:style>
  <w:style w:type="character" w:customStyle="1" w:styleId="Titolo2Carattere">
    <w:name w:val="Titolo 2 Carattere"/>
    <w:basedOn w:val="Carpredefinitoparagrafo"/>
    <w:link w:val="Titolo2"/>
    <w:uiPriority w:val="9"/>
    <w:qFormat/>
    <w:rsid w:val="000E10DA"/>
    <w:rPr>
      <w:rFonts w:eastAsiaTheme="majorEastAsia" w:cstheme="majorBidi"/>
      <w:b/>
      <w:bCs/>
      <w:sz w:val="32"/>
      <w:szCs w:val="32"/>
    </w:rPr>
  </w:style>
  <w:style w:type="character" w:customStyle="1" w:styleId="Titolo3Carattere">
    <w:name w:val="Titolo 3 Carattere"/>
    <w:basedOn w:val="Carpredefinitoparagrafo"/>
    <w:link w:val="Titolo3"/>
    <w:uiPriority w:val="9"/>
    <w:qFormat/>
    <w:rsid w:val="000E10DA"/>
    <w:rPr>
      <w:b/>
      <w:bCs/>
      <w:sz w:val="28"/>
      <w:szCs w:val="32"/>
    </w:rPr>
  </w:style>
  <w:style w:type="character" w:customStyle="1" w:styleId="Titolo4Carattere">
    <w:name w:val="Titolo 4 Carattere"/>
    <w:basedOn w:val="Carpredefinitoparagrafo"/>
    <w:link w:val="Titolo4"/>
    <w:uiPriority w:val="9"/>
    <w:qFormat/>
    <w:rsid w:val="000E10DA"/>
    <w:rPr>
      <w:rFonts w:eastAsiaTheme="majorEastAsia" w:cstheme="majorBidi"/>
      <w:b/>
      <w:bCs/>
      <w:sz w:val="24"/>
      <w:szCs w:val="28"/>
    </w:rPr>
  </w:style>
  <w:style w:type="character" w:customStyle="1" w:styleId="Titolo6Carattere">
    <w:name w:val="Titolo 6 Carattere"/>
    <w:basedOn w:val="Carpredefinitoparagrafo"/>
    <w:link w:val="Titolo6"/>
    <w:uiPriority w:val="9"/>
    <w:qFormat/>
    <w:rsid w:val="000E10DA"/>
    <w:rPr>
      <w:rFonts w:asciiTheme="majorHAnsi" w:eastAsiaTheme="majorEastAsia" w:hAnsiTheme="majorHAnsi" w:cstheme="majorBidi"/>
      <w:b/>
      <w:bCs/>
      <w:sz w:val="24"/>
      <w:szCs w:val="24"/>
    </w:rPr>
  </w:style>
  <w:style w:type="paragraph" w:styleId="Sommario1">
    <w:name w:val="toc 1"/>
    <w:basedOn w:val="Normale"/>
    <w:next w:val="Normale"/>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Sommario2">
    <w:name w:val="toc 2"/>
    <w:basedOn w:val="Normale"/>
    <w:next w:val="Normale"/>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Sommario3">
    <w:name w:val="toc 3"/>
    <w:basedOn w:val="Normale"/>
    <w:next w:val="Normale"/>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olo">
    <w:name w:val="Title"/>
    <w:basedOn w:val="Normale"/>
    <w:next w:val="Normale"/>
    <w:link w:val="TitoloCarattere"/>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oloCarattere">
    <w:name w:val="Titolo Carattere"/>
    <w:basedOn w:val="Carpredefinitoparagrafo"/>
    <w:link w:val="Titolo"/>
    <w:uiPriority w:val="10"/>
    <w:qFormat/>
    <w:rsid w:val="000E10DA"/>
    <w:rPr>
      <w:rFonts w:asciiTheme="majorHAnsi" w:hAnsiTheme="majorHAnsi" w:cstheme="majorBidi"/>
      <w:b/>
      <w:bCs/>
      <w:sz w:val="32"/>
      <w:szCs w:val="32"/>
    </w:rPr>
  </w:style>
  <w:style w:type="paragraph" w:styleId="Data">
    <w:name w:val="Date"/>
    <w:basedOn w:val="Normale"/>
    <w:next w:val="Normale"/>
    <w:link w:val="DataCarattere"/>
    <w:uiPriority w:val="99"/>
    <w:semiHidden/>
    <w:unhideWhenUsed/>
    <w:qFormat/>
    <w:rsid w:val="000E10DA"/>
    <w:pPr>
      <w:ind w:leftChars="2500" w:left="100"/>
    </w:pPr>
    <w:rPr>
      <w:rFonts w:cs="Times New Roman"/>
      <w:kern w:val="0"/>
      <w:sz w:val="20"/>
    </w:rPr>
  </w:style>
  <w:style w:type="character" w:customStyle="1" w:styleId="DataCarattere">
    <w:name w:val="Data Carattere"/>
    <w:basedOn w:val="Carpredefinitoparagrafo"/>
    <w:link w:val="Data"/>
    <w:uiPriority w:val="99"/>
    <w:semiHidden/>
    <w:qFormat/>
    <w:rsid w:val="000E10DA"/>
    <w:rPr>
      <w:rFonts w:eastAsia="Dotum"/>
      <w:szCs w:val="24"/>
    </w:rPr>
  </w:style>
  <w:style w:type="character" w:styleId="Enfasicorsivo">
    <w:name w:val="Emphasis"/>
    <w:basedOn w:val="Carpredefinitoparagrafo"/>
    <w:uiPriority w:val="20"/>
    <w:qFormat/>
    <w:rsid w:val="000E10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cbiosci.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3574-6A25-F24C-83DD-31D97E111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Marco Cilibrasi</cp:lastModifiedBy>
  <cp:revision>5</cp:revision>
  <dcterms:created xsi:type="dcterms:W3CDTF">2021-03-08T16:39:00Z</dcterms:created>
  <dcterms:modified xsi:type="dcterms:W3CDTF">2021-03-09T10:33:00Z</dcterms:modified>
</cp:coreProperties>
</file>