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70332" w:rsidRDefault="00170332" w:rsidP="00170332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4"/>
          <w:lang w:bidi="ar"/>
        </w:rPr>
        <w:t xml:space="preserve">Supplementary Methods </w:t>
      </w:r>
    </w:p>
    <w:p w:rsidR="00170332" w:rsidRPr="00AA6A89" w:rsidRDefault="00170332" w:rsidP="00170332">
      <w:pPr>
        <w:spacing w:line="480" w:lineRule="auto"/>
        <w:rPr>
          <w:rFonts w:ascii="Times New Roman" w:eastAsia="宋体" w:hAnsi="Times New Roman" w:cs="Times New Roman"/>
          <w:b/>
          <w:iCs/>
          <w:color w:val="000000"/>
          <w:sz w:val="24"/>
        </w:rPr>
      </w:pPr>
      <w:r w:rsidRPr="00AA6A89">
        <w:rPr>
          <w:rFonts w:ascii="Times New Roman" w:eastAsia="宋体" w:hAnsi="Times New Roman" w:cs="Times New Roman"/>
          <w:b/>
          <w:iCs/>
          <w:color w:val="000000"/>
          <w:sz w:val="24"/>
        </w:rPr>
        <w:t>RNA fluorescence in situ hybridization (RNA-FISH)</w:t>
      </w:r>
    </w:p>
    <w:p w:rsidR="00170332" w:rsidRPr="00AA6A89" w:rsidRDefault="00170332" w:rsidP="00170332">
      <w:pPr>
        <w:spacing w:line="480" w:lineRule="auto"/>
        <w:rPr>
          <w:rFonts w:ascii="Times New Roman" w:eastAsia="宋体" w:hAnsi="Times New Roman" w:cs="Times New Roman"/>
          <w:b/>
          <w:bCs/>
          <w:color w:val="000000"/>
          <w:sz w:val="24"/>
        </w:rPr>
      </w:pPr>
      <w:r w:rsidRPr="00AA6A89">
        <w:rPr>
          <w:rFonts w:ascii="Times New Roman" w:eastAsia="宋体" w:hAnsi="Times New Roman" w:cs="Times New Roman"/>
          <w:color w:val="000000"/>
          <w:sz w:val="24"/>
        </w:rPr>
        <w:t xml:space="preserve">Cells seeded on the slides were fixed with 4% paraformaldehyde. Hybridization was performed with a specific probe for circDIDO1 junction site by using Fluorescent </w:t>
      </w:r>
      <w:proofErr w:type="gramStart"/>
      <w:r w:rsidRPr="00AA6A89">
        <w:rPr>
          <w:rFonts w:ascii="Times New Roman" w:eastAsia="宋体" w:hAnsi="Times New Roman" w:cs="Times New Roman"/>
          <w:color w:val="000000"/>
          <w:sz w:val="24"/>
        </w:rPr>
        <w:t>In</w:t>
      </w:r>
      <w:proofErr w:type="gramEnd"/>
      <w:r w:rsidRPr="00AA6A89">
        <w:rPr>
          <w:rFonts w:ascii="Times New Roman" w:eastAsia="宋体" w:hAnsi="Times New Roman" w:cs="Times New Roman"/>
          <w:color w:val="000000"/>
          <w:sz w:val="24"/>
        </w:rPr>
        <w:t xml:space="preserve"> Situ Hybridization Kit (</w:t>
      </w:r>
      <w:proofErr w:type="spellStart"/>
      <w:r w:rsidRPr="00AA6A89">
        <w:rPr>
          <w:rFonts w:ascii="Times New Roman" w:eastAsia="宋体" w:hAnsi="Times New Roman" w:cs="Times New Roman"/>
          <w:color w:val="000000"/>
          <w:sz w:val="24"/>
        </w:rPr>
        <w:t>GenePharma</w:t>
      </w:r>
      <w:proofErr w:type="spellEnd"/>
      <w:r w:rsidRPr="00AA6A89">
        <w:rPr>
          <w:rFonts w:ascii="Times New Roman" w:eastAsia="宋体" w:hAnsi="Times New Roman" w:cs="Times New Roman"/>
          <w:color w:val="000000"/>
          <w:sz w:val="24"/>
        </w:rPr>
        <w:t>, Shanghai, China). Cell nuclei were counterstained with 4’,6-diamidino-2-phenylindole (DAPI).</w:t>
      </w:r>
    </w:p>
    <w:p w:rsidR="00170332" w:rsidRDefault="00170332" w:rsidP="00170332">
      <w:pPr>
        <w:spacing w:line="480" w:lineRule="auto"/>
        <w:rPr>
          <w:rFonts w:ascii="Times New Roman" w:hAnsi="Times New Roman"/>
          <w:b/>
          <w:bCs/>
          <w:iCs/>
          <w:color w:val="000000"/>
          <w:sz w:val="24"/>
        </w:rPr>
      </w:pPr>
    </w:p>
    <w:p w:rsidR="00170332" w:rsidRPr="002A2E80" w:rsidRDefault="00170332" w:rsidP="00170332">
      <w:pPr>
        <w:spacing w:line="480" w:lineRule="auto"/>
        <w:rPr>
          <w:rFonts w:ascii="Times New Roman" w:hAnsi="Times New Roman"/>
          <w:b/>
          <w:bCs/>
          <w:iCs/>
          <w:color w:val="000000"/>
          <w:sz w:val="24"/>
        </w:rPr>
      </w:pPr>
      <w:r w:rsidRPr="002A2E80">
        <w:rPr>
          <w:rFonts w:ascii="Times New Roman" w:hAnsi="Times New Roman"/>
          <w:b/>
          <w:bCs/>
          <w:iCs/>
          <w:color w:val="000000"/>
          <w:sz w:val="24"/>
        </w:rPr>
        <w:t>RNA extraction and quantitative real time PCR</w:t>
      </w:r>
    </w:p>
    <w:p w:rsidR="00170332" w:rsidRDefault="00170332" w:rsidP="00170332">
      <w:pPr>
        <w:spacing w:line="480" w:lineRule="auto"/>
        <w:rPr>
          <w:rFonts w:asci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Total RNA was isolated from tissue samples and cells by using </w:t>
      </w:r>
      <w:proofErr w:type="spellStart"/>
      <w:r>
        <w:rPr>
          <w:rFonts w:ascii="Times New Roman" w:hAnsi="Times New Roman"/>
          <w:color w:val="000000"/>
          <w:sz w:val="24"/>
        </w:rPr>
        <w:t>Trizol</w:t>
      </w:r>
      <w:proofErr w:type="spellEnd"/>
      <w:r>
        <w:rPr>
          <w:rFonts w:ascii="Times New Roman" w:hAnsi="Times New Roman"/>
          <w:color w:val="000000"/>
          <w:sz w:val="24"/>
        </w:rPr>
        <w:t xml:space="preserve"> reagent (Invitrogen) according to the manufacturer’s procedures. The reverse transcription (RT) for mRNA and </w:t>
      </w:r>
      <w:proofErr w:type="spellStart"/>
      <w:r>
        <w:rPr>
          <w:rFonts w:ascii="Times New Roman" w:hAnsi="Times New Roman"/>
          <w:color w:val="000000"/>
          <w:sz w:val="24"/>
        </w:rPr>
        <w:t>circRNA</w:t>
      </w:r>
      <w:proofErr w:type="spellEnd"/>
      <w:r>
        <w:rPr>
          <w:rFonts w:ascii="Times New Roman" w:hAnsi="Times New Roman"/>
          <w:color w:val="000000"/>
          <w:sz w:val="24"/>
        </w:rPr>
        <w:t xml:space="preserve"> was carried out by using the </w:t>
      </w:r>
      <w:proofErr w:type="spellStart"/>
      <w:r>
        <w:rPr>
          <w:rFonts w:ascii="Times New Roman" w:hAnsi="Times New Roman"/>
          <w:color w:val="000000"/>
          <w:sz w:val="24"/>
        </w:rPr>
        <w:t>HiScript</w:t>
      </w:r>
      <w:proofErr w:type="spellEnd"/>
      <w:r>
        <w:rPr>
          <w:rFonts w:ascii="Times New Roman" w:hAnsi="Times New Roman"/>
          <w:color w:val="000000"/>
          <w:sz w:val="24"/>
        </w:rPr>
        <w:t xml:space="preserve"> 1st</w:t>
      </w:r>
      <w:r>
        <w:rPr>
          <w:rFonts w:ascii="Times New Roman" w:hAnsi="Times New Roman"/>
          <w:color w:val="000000"/>
          <w:sz w:val="24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4"/>
        </w:rPr>
        <w:t>Strand cDNA Synthesis Kit (</w:t>
      </w:r>
      <w:proofErr w:type="spellStart"/>
      <w:r>
        <w:rPr>
          <w:rFonts w:ascii="Times New Roman" w:hAnsi="Times New Roman"/>
          <w:color w:val="000000"/>
          <w:sz w:val="24"/>
        </w:rPr>
        <w:t>Vazyme</w:t>
      </w:r>
      <w:proofErr w:type="spellEnd"/>
      <w:r>
        <w:rPr>
          <w:rFonts w:ascii="Times New Roman" w:hAnsi="Times New Roman"/>
          <w:color w:val="000000"/>
          <w:sz w:val="24"/>
        </w:rPr>
        <w:t xml:space="preserve">, Nanjing, China). Quantitative real time polymerase chain reaction was conducted with </w:t>
      </w:r>
      <w:proofErr w:type="spellStart"/>
      <w:r>
        <w:rPr>
          <w:rFonts w:ascii="Times New Roman" w:hAnsi="Times New Roman"/>
          <w:color w:val="000000"/>
          <w:sz w:val="24"/>
        </w:rPr>
        <w:t>UltraSYBR</w:t>
      </w:r>
      <w:proofErr w:type="spellEnd"/>
      <w:r>
        <w:rPr>
          <w:rFonts w:ascii="Times New Roman" w:hAnsi="Times New Roman"/>
          <w:color w:val="000000"/>
          <w:sz w:val="24"/>
        </w:rPr>
        <w:t xml:space="preserve"> Mixture (</w:t>
      </w:r>
      <w:proofErr w:type="spellStart"/>
      <w:r>
        <w:rPr>
          <w:rFonts w:ascii="Times New Roman" w:hAnsi="Times New Roman"/>
          <w:color w:val="000000"/>
          <w:sz w:val="24"/>
        </w:rPr>
        <w:t>Cwbio</w:t>
      </w:r>
      <w:proofErr w:type="spellEnd"/>
      <w:r>
        <w:rPr>
          <w:rFonts w:ascii="Times New Roman" w:hAnsi="Times New Roman"/>
          <w:color w:val="000000"/>
          <w:sz w:val="24"/>
        </w:rPr>
        <w:t>, Beijing, China) on a real time PCR Detection System (CFX96, Bio-Rad, Hercules, CA, USA). The target genes were normalized to GAPDH to obtain the relative expression level. The sequences of primers were provided in Table S</w:t>
      </w:r>
      <w:r>
        <w:rPr>
          <w:rFonts w:ascii="Times New Roman" w:hAnsi="Times New Roman" w:hint="eastAsia"/>
          <w:color w:val="000000"/>
          <w:sz w:val="24"/>
        </w:rPr>
        <w:t>5</w:t>
      </w:r>
      <w:r>
        <w:rPr>
          <w:rFonts w:ascii="Times New Roman" w:hAnsi="Times New Roman"/>
          <w:color w:val="000000"/>
          <w:sz w:val="24"/>
        </w:rPr>
        <w:t xml:space="preserve"> (Supporting Information)</w:t>
      </w:r>
      <w:r>
        <w:rPr>
          <w:rFonts w:ascii="Times New Roman"/>
          <w:color w:val="000000"/>
          <w:sz w:val="24"/>
        </w:rPr>
        <w:t>.</w:t>
      </w:r>
    </w:p>
    <w:p w:rsidR="00170332" w:rsidRDefault="00170332" w:rsidP="00170332">
      <w:pPr>
        <w:spacing w:line="480" w:lineRule="auto"/>
        <w:rPr>
          <w:rFonts w:ascii="Times New Roman" w:hAnsi="Times New Roman"/>
          <w:b/>
          <w:bCs/>
          <w:iCs/>
          <w:color w:val="000000"/>
          <w:sz w:val="24"/>
        </w:rPr>
      </w:pPr>
    </w:p>
    <w:p w:rsidR="00170332" w:rsidRPr="002A2E80" w:rsidRDefault="00170332" w:rsidP="00170332">
      <w:pPr>
        <w:spacing w:line="480" w:lineRule="auto"/>
        <w:rPr>
          <w:rFonts w:ascii="Times New Roman" w:hAnsi="Times New Roman"/>
          <w:b/>
          <w:bCs/>
          <w:iCs/>
          <w:color w:val="000000"/>
          <w:sz w:val="24"/>
        </w:rPr>
      </w:pPr>
      <w:r w:rsidRPr="002A2E80">
        <w:rPr>
          <w:rFonts w:ascii="Times New Roman" w:hAnsi="Times New Roman"/>
          <w:b/>
          <w:bCs/>
          <w:iCs/>
          <w:color w:val="000000"/>
          <w:sz w:val="24"/>
        </w:rPr>
        <w:t>Gene overexpression and silencing</w:t>
      </w:r>
    </w:p>
    <w:p w:rsidR="00170332" w:rsidRDefault="00170332" w:rsidP="00170332">
      <w:pPr>
        <w:spacing w:line="480" w:lineRule="auto"/>
        <w:rPr>
          <w:rFonts w:asci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Cells were seeded in 6-well plates at a density of 2×10</w:t>
      </w:r>
      <w:r>
        <w:rPr>
          <w:rFonts w:ascii="Times New Roman" w:hAnsi="Times New Roman"/>
          <w:color w:val="000000"/>
          <w:sz w:val="24"/>
          <w:vertAlign w:val="superscript"/>
        </w:rPr>
        <w:t>5</w:t>
      </w:r>
      <w:r>
        <w:rPr>
          <w:rFonts w:ascii="Times New Roman" w:hAnsi="Times New Roman"/>
          <w:color w:val="000000"/>
          <w:sz w:val="24"/>
        </w:rPr>
        <w:t xml:space="preserve"> per well and cultured in 37 °C incubator overnight. The over-expressing plasmid and siRNA (</w:t>
      </w:r>
      <w:proofErr w:type="spellStart"/>
      <w:r>
        <w:rPr>
          <w:rFonts w:ascii="Times New Roman" w:hAnsi="Times New Roman"/>
          <w:color w:val="000000"/>
          <w:sz w:val="24"/>
        </w:rPr>
        <w:t>Hanbio</w:t>
      </w:r>
      <w:proofErr w:type="spellEnd"/>
      <w:r>
        <w:rPr>
          <w:rFonts w:ascii="Times New Roman" w:hAnsi="Times New Roman"/>
          <w:color w:val="000000"/>
          <w:sz w:val="24"/>
        </w:rPr>
        <w:t xml:space="preserve">, Shanghai, China) were transfected into the cells by using </w:t>
      </w:r>
      <w:proofErr w:type="spellStart"/>
      <w:r>
        <w:rPr>
          <w:rFonts w:ascii="Times New Roman" w:hAnsi="Times New Roman"/>
          <w:color w:val="000000"/>
          <w:sz w:val="24"/>
        </w:rPr>
        <w:t>LipoFiter</w:t>
      </w:r>
      <w:proofErr w:type="spellEnd"/>
      <w:r>
        <w:rPr>
          <w:rFonts w:ascii="Times New Roman" w:hAnsi="Times New Roman"/>
          <w:color w:val="000000"/>
          <w:sz w:val="24"/>
        </w:rPr>
        <w:t xml:space="preserve"> transfection reagent (</w:t>
      </w:r>
      <w:proofErr w:type="spellStart"/>
      <w:r>
        <w:rPr>
          <w:rFonts w:ascii="Times New Roman" w:hAnsi="Times New Roman"/>
          <w:color w:val="000000"/>
          <w:sz w:val="24"/>
        </w:rPr>
        <w:t>Hanbio</w:t>
      </w:r>
      <w:proofErr w:type="spellEnd"/>
      <w:r>
        <w:rPr>
          <w:rFonts w:ascii="Times New Roman" w:hAnsi="Times New Roman"/>
          <w:color w:val="000000"/>
          <w:sz w:val="24"/>
        </w:rPr>
        <w:t xml:space="preserve">) in serum-free medium. Cells were changed to complete medium at 6 h after transfection </w:t>
      </w:r>
      <w:r>
        <w:rPr>
          <w:rFonts w:ascii="Times New Roman" w:hAnsi="Times New Roman"/>
          <w:color w:val="000000"/>
          <w:sz w:val="24"/>
        </w:rPr>
        <w:lastRenderedPageBreak/>
        <w:t xml:space="preserve">and cultured for another 30 h. The target sequences of siRNAs and </w:t>
      </w:r>
      <w:proofErr w:type="spellStart"/>
      <w:r>
        <w:rPr>
          <w:rFonts w:ascii="Times New Roman" w:hAnsi="Times New Roman"/>
          <w:color w:val="000000"/>
          <w:sz w:val="24"/>
        </w:rPr>
        <w:t>shRNAs</w:t>
      </w:r>
      <w:proofErr w:type="spellEnd"/>
      <w:r>
        <w:rPr>
          <w:rFonts w:ascii="Times New Roman" w:hAnsi="Times New Roman"/>
          <w:color w:val="000000"/>
          <w:sz w:val="24"/>
        </w:rPr>
        <w:t xml:space="preserve"> were provided in Table S</w:t>
      </w:r>
      <w:r>
        <w:rPr>
          <w:rFonts w:ascii="Times New Roman" w:hAnsi="Times New Roman" w:hint="eastAsia"/>
          <w:color w:val="000000"/>
          <w:sz w:val="24"/>
        </w:rPr>
        <w:t>6</w:t>
      </w:r>
      <w:r>
        <w:rPr>
          <w:rFonts w:ascii="Times New Roman" w:hAnsi="Times New Roman"/>
          <w:color w:val="000000"/>
          <w:sz w:val="24"/>
        </w:rPr>
        <w:t xml:space="preserve"> (Supporting Information)</w:t>
      </w:r>
      <w:r>
        <w:rPr>
          <w:rFonts w:ascii="Times New Roman"/>
          <w:color w:val="000000"/>
          <w:sz w:val="24"/>
        </w:rPr>
        <w:t>.</w:t>
      </w:r>
    </w:p>
    <w:p w:rsidR="00170332" w:rsidRDefault="00170332" w:rsidP="00170332">
      <w:pPr>
        <w:spacing w:line="480" w:lineRule="auto"/>
        <w:rPr>
          <w:rFonts w:ascii="Times New Roman" w:hAnsi="Times New Roman" w:cs="Times New Roman"/>
          <w:b/>
          <w:bCs/>
          <w:iCs/>
          <w:color w:val="000000" w:themeColor="text1"/>
          <w:sz w:val="24"/>
        </w:rPr>
      </w:pPr>
    </w:p>
    <w:p w:rsidR="00170332" w:rsidRPr="002A2E80" w:rsidRDefault="00170332" w:rsidP="00170332">
      <w:pPr>
        <w:spacing w:line="480" w:lineRule="auto"/>
        <w:rPr>
          <w:rFonts w:ascii="Times New Roman" w:hAnsi="Times New Roman"/>
          <w:b/>
          <w:bCs/>
          <w:iCs/>
          <w:color w:val="000000"/>
          <w:sz w:val="24"/>
        </w:rPr>
      </w:pPr>
      <w:r w:rsidRPr="002A2E80">
        <w:rPr>
          <w:rFonts w:ascii="Times New Roman" w:hAnsi="Times New Roman"/>
          <w:b/>
          <w:bCs/>
          <w:iCs/>
          <w:color w:val="000000"/>
          <w:sz w:val="24"/>
        </w:rPr>
        <w:t>Western blot</w:t>
      </w:r>
    </w:p>
    <w:p w:rsidR="00170332" w:rsidRDefault="00170332" w:rsidP="00170332">
      <w:pPr>
        <w:spacing w:line="48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Cells were lysed with RIPA buffer (</w:t>
      </w:r>
      <w:proofErr w:type="spellStart"/>
      <w:r>
        <w:rPr>
          <w:rFonts w:ascii="Times New Roman" w:hAnsi="Times New Roman"/>
          <w:color w:val="000000"/>
          <w:sz w:val="24"/>
        </w:rPr>
        <w:t>Beyotime</w:t>
      </w:r>
      <w:proofErr w:type="spellEnd"/>
      <w:r>
        <w:rPr>
          <w:rFonts w:ascii="Times New Roman" w:hAnsi="Times New Roman"/>
          <w:color w:val="000000"/>
          <w:sz w:val="24"/>
        </w:rPr>
        <w:t xml:space="preserve">, Shanghai, China) containing protease inhibitors (Roche, CA, USA). Equal amounts of proteins </w:t>
      </w:r>
      <w:r>
        <w:rPr>
          <w:rFonts w:ascii="Times New Roman Greek" w:hAnsi="Times New Roman Greek" w:cs="Times New Roman Greek"/>
          <w:color w:val="000000"/>
          <w:sz w:val="24"/>
        </w:rPr>
        <w:t xml:space="preserve">were separated by SDS-polyacrylamide gel electrophoresis (SDS-PAGE) on a 12% polyacrylamide gel. The proteins were transferred </w:t>
      </w:r>
      <w:proofErr w:type="spellStart"/>
      <w:r>
        <w:rPr>
          <w:rFonts w:ascii="Times New Roman Greek" w:hAnsi="Times New Roman Greek" w:cs="Times New Roman Greek"/>
          <w:color w:val="000000"/>
          <w:sz w:val="24"/>
        </w:rPr>
        <w:t>electrophoretically</w:t>
      </w:r>
      <w:proofErr w:type="spellEnd"/>
      <w:r>
        <w:rPr>
          <w:rFonts w:ascii="Times New Roman Greek" w:hAnsi="Times New Roman Greek" w:cs="Times New Roman Greek"/>
          <w:color w:val="000000"/>
          <w:sz w:val="24"/>
        </w:rPr>
        <w:t xml:space="preserve"> onto 0.22 </w:t>
      </w:r>
      <w:proofErr w:type="spellStart"/>
      <w:r>
        <w:rPr>
          <w:rFonts w:ascii="Times New Roman Greek" w:hAnsi="Times New Roman Greek" w:cs="Times New Roman Greek"/>
          <w:color w:val="000000"/>
          <w:sz w:val="24"/>
        </w:rPr>
        <w:t>μm</w:t>
      </w:r>
      <w:proofErr w:type="spellEnd"/>
      <w:r>
        <w:rPr>
          <w:rFonts w:ascii="Times New Roman Greek" w:hAnsi="Times New Roman Greek" w:cs="Times New Roman Greek"/>
          <w:color w:val="000000"/>
          <w:sz w:val="24"/>
        </w:rPr>
        <w:t xml:space="preserve"> PVDF membranes (Millipore), blocked in 5% non-fat milk, and then incubated with primary antibodi</w:t>
      </w:r>
      <w:r>
        <w:rPr>
          <w:rFonts w:ascii="Times New Roman" w:hAnsi="Times New Roman"/>
          <w:color w:val="000000"/>
          <w:sz w:val="24"/>
        </w:rPr>
        <w:t>es. After incubation with HRP-linked secondary antibody, the protein bands were visualized by using chemiluminescence (Millipore, Shanghai, China). GAPDH was used as the loading control.</w:t>
      </w:r>
    </w:p>
    <w:p w:rsidR="00170332" w:rsidRDefault="00170332" w:rsidP="00170332">
      <w:pPr>
        <w:spacing w:line="480" w:lineRule="auto"/>
        <w:rPr>
          <w:rFonts w:ascii="Times New Roman" w:hAnsi="Times New Roman"/>
          <w:b/>
          <w:bCs/>
          <w:iCs/>
          <w:color w:val="000000"/>
          <w:sz w:val="24"/>
        </w:rPr>
      </w:pPr>
    </w:p>
    <w:p w:rsidR="00170332" w:rsidRPr="002A2E80" w:rsidRDefault="00170332" w:rsidP="00170332">
      <w:pPr>
        <w:spacing w:line="480" w:lineRule="auto"/>
        <w:rPr>
          <w:rFonts w:ascii="Times New Roman" w:hAnsi="Times New Roman"/>
          <w:b/>
          <w:bCs/>
          <w:iCs/>
          <w:color w:val="000000"/>
          <w:sz w:val="24"/>
        </w:rPr>
      </w:pPr>
      <w:r w:rsidRPr="002A2E80">
        <w:rPr>
          <w:rFonts w:ascii="Times New Roman" w:hAnsi="Times New Roman"/>
          <w:b/>
          <w:bCs/>
          <w:iCs/>
          <w:color w:val="000000"/>
          <w:sz w:val="24"/>
        </w:rPr>
        <w:t>Immunohistochemistry</w:t>
      </w:r>
    </w:p>
    <w:p w:rsidR="00170332" w:rsidRDefault="00170332" w:rsidP="00170332">
      <w:pPr>
        <w:spacing w:line="48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 Greek" w:hAnsi="Times New Roman Greek" w:cs="Times New Roman Greek"/>
          <w:color w:val="000000"/>
          <w:sz w:val="24"/>
        </w:rPr>
        <w:t xml:space="preserve">For immunohistochemical analyses, 4% paraformaldehyde fixed tissues were embedded in paraffin and cut into 4 </w:t>
      </w:r>
      <w:proofErr w:type="spellStart"/>
      <w:r>
        <w:rPr>
          <w:rFonts w:ascii="Times New Roman Greek" w:hAnsi="Times New Roman Greek" w:cs="Times New Roman Greek"/>
          <w:color w:val="000000"/>
          <w:sz w:val="24"/>
        </w:rPr>
        <w:t>μm</w:t>
      </w:r>
      <w:proofErr w:type="spellEnd"/>
      <w:r>
        <w:rPr>
          <w:rFonts w:ascii="Times New Roman Greek" w:hAnsi="Times New Roman Greek" w:cs="Times New Roman Greek"/>
          <w:color w:val="000000"/>
          <w:sz w:val="24"/>
        </w:rPr>
        <w:t>-thick sections. The sections were incubated with primary monoclonal antibody against Ki-67 (Cell Signal</w:t>
      </w:r>
      <w:r>
        <w:rPr>
          <w:rFonts w:ascii="Times New Roman" w:hAnsi="Times New Roman"/>
          <w:color w:val="000000"/>
          <w:sz w:val="24"/>
        </w:rPr>
        <w:t>ing Technology) followed by incubation with the secondary antibody for 30 min at room temperature. After incubation with 3, 3’-Diaminobenzidine (3, 3’-DAB, Maxim, Fuzhou, China) for 5 min, the sections were counterstained with hematoxylin for 30 s. Finally, the sections were photographed under a TE2000 microscope (Nikon, Tokyo, Japan).</w:t>
      </w:r>
    </w:p>
    <w:p w:rsidR="00170332" w:rsidRDefault="00170332" w:rsidP="00170332">
      <w:pPr>
        <w:spacing w:line="480" w:lineRule="auto"/>
        <w:rPr>
          <w:rFonts w:ascii="Times New Roman" w:eastAsia="宋体" w:hAnsi="Times New Roman" w:cs="Times New Roman"/>
          <w:b/>
          <w:iCs/>
          <w:color w:val="000000"/>
          <w:sz w:val="24"/>
        </w:rPr>
      </w:pPr>
    </w:p>
    <w:p w:rsidR="00170332" w:rsidRPr="002A2E80" w:rsidRDefault="00170332" w:rsidP="00170332">
      <w:pPr>
        <w:spacing w:line="480" w:lineRule="auto"/>
        <w:rPr>
          <w:rFonts w:ascii="Times New Roman" w:eastAsia="宋体" w:hAnsi="Times New Roman" w:cs="Times New Roman"/>
          <w:b/>
          <w:iCs/>
          <w:color w:val="000000"/>
          <w:sz w:val="24"/>
        </w:rPr>
      </w:pPr>
      <w:r w:rsidRPr="002A2E80">
        <w:rPr>
          <w:rFonts w:ascii="Times New Roman" w:eastAsia="宋体" w:hAnsi="Times New Roman" w:cs="Times New Roman"/>
          <w:b/>
          <w:iCs/>
          <w:color w:val="000000"/>
          <w:sz w:val="24"/>
        </w:rPr>
        <w:t>Immunofluorescence</w:t>
      </w:r>
    </w:p>
    <w:p w:rsidR="00AC6D4D" w:rsidRDefault="00170332" w:rsidP="00170332">
      <w:pPr>
        <w:spacing w:line="480" w:lineRule="auto"/>
        <w:rPr>
          <w:rFonts w:ascii="Times New Roman" w:eastAsia="宋体" w:hAnsi="Times New Roman" w:cs="Times New Roman"/>
          <w:color w:val="000000"/>
          <w:sz w:val="24"/>
        </w:rPr>
      </w:pPr>
      <w:r>
        <w:rPr>
          <w:rFonts w:ascii="Times New Roman" w:eastAsia="宋体" w:hAnsi="Times New Roman" w:cs="Times New Roman"/>
          <w:color w:val="000000"/>
          <w:sz w:val="24"/>
        </w:rPr>
        <w:t>Cells seeded on the slides were fixed with 4% paraformaldehyde, permeabilized with 0.5% Triton X-100, and blocked in 5% BSA. The target proteins were then incubated with primary antibodies at 4°C overnight. After incubation with Alexa Fluor 555 donkey anti-rabbit IgG or FITC goat anti-mouse IgG and counterstaining with DAPI, the fluorescent signals were visualized under confocal microscope.</w:t>
      </w:r>
    </w:p>
    <w:p w:rsidR="00C37514" w:rsidRDefault="00C37514" w:rsidP="00170332">
      <w:pPr>
        <w:spacing w:line="480" w:lineRule="auto"/>
        <w:rPr>
          <w:rFonts w:ascii="Times New Roman" w:eastAsia="宋体" w:hAnsi="Times New Roman" w:cs="Times New Roman"/>
          <w:color w:val="000000"/>
          <w:sz w:val="24"/>
        </w:rPr>
      </w:pPr>
    </w:p>
    <w:p w:rsidR="00C37514" w:rsidRDefault="00C37514" w:rsidP="00170332">
      <w:pPr>
        <w:spacing w:line="480" w:lineRule="auto"/>
        <w:rPr>
          <w:rFonts w:ascii="Times New Roman" w:hAnsi="Times New Roman" w:cs="Times New Roman"/>
          <w:b/>
          <w:bCs/>
        </w:rPr>
      </w:pPr>
      <w:r w:rsidRPr="00C37514">
        <w:rPr>
          <w:rFonts w:ascii="Times New Roman" w:hAnsi="Times New Roman" w:cs="Times New Roman"/>
          <w:b/>
          <w:bCs/>
        </w:rPr>
        <w:t>LC-MS/MS</w:t>
      </w:r>
    </w:p>
    <w:p w:rsidR="00C37514" w:rsidRPr="00410B5C" w:rsidRDefault="00410B5C" w:rsidP="00410B5C">
      <w:pPr>
        <w:spacing w:line="480" w:lineRule="auto"/>
        <w:rPr>
          <w:rFonts w:ascii="Times New Roman" w:eastAsia="宋体" w:hAnsi="Times New Roman" w:cs="Times New Roman"/>
          <w:color w:val="000000"/>
          <w:sz w:val="24"/>
        </w:rPr>
      </w:pPr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DIDO1-529aa protein full sequence analysis was carried out using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rLys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-C,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rLys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-C &amp; Asp-N,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rLys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-C &amp; Glu-C,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Chymotrypsin&amp;Glu-C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 and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Pepsin&amp;Glu-C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 protease digestion methods respectively, and finally the full protein sequence analysis was performed. Other protein mass spectrometry used trypsin for protein digestion.</w:t>
      </w:r>
      <w:r w:rsidR="00EF7F22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Before analysis, the peptides were reconstituted in 10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μL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 of 0.1% formic acid. LC-MS/MS was performed on an Q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Exactive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>™ Hybrid Quadrupole-Orbitrap™ Mass Spectrometer (Thermo Scientific) coupled with Ultimate 3000 System. For each sample</w:t>
      </w:r>
      <w:r w:rsidRPr="00410B5C">
        <w:rPr>
          <w:rFonts w:ascii="Times New Roman" w:eastAsia="宋体" w:hAnsi="Times New Roman" w:cs="Times New Roman"/>
          <w:color w:val="000000"/>
          <w:sz w:val="24"/>
        </w:rPr>
        <w:t>，</w:t>
      </w:r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5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μL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 of volume was loaded onto C18 PepMap100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trapcolumn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 (300 μm×5 mm) and eluted on a Thermo Acclaim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PepMap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 RPLC analytical column (150 μm×15 cm). .A procedure of 60 min gradient for each single-shot analysis was performed as followed: 6-9% B in 5 min,</w:t>
      </w:r>
      <w:r w:rsidR="0033488A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410B5C">
        <w:rPr>
          <w:rFonts w:ascii="Times New Roman" w:eastAsia="宋体" w:hAnsi="Times New Roman" w:cs="Times New Roman"/>
          <w:color w:val="000000"/>
          <w:sz w:val="24"/>
        </w:rPr>
        <w:t>9-14% B in 15 min,</w:t>
      </w:r>
      <w:r w:rsidR="000D3A58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410B5C">
        <w:rPr>
          <w:rFonts w:ascii="Times New Roman" w:eastAsia="宋体" w:hAnsi="Times New Roman" w:cs="Times New Roman"/>
          <w:color w:val="000000"/>
          <w:sz w:val="24"/>
        </w:rPr>
        <w:t>14-30% B in 30 min,</w:t>
      </w:r>
      <w:r w:rsidR="00887A88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410B5C">
        <w:rPr>
          <w:rFonts w:ascii="Times New Roman" w:eastAsia="宋体" w:hAnsi="Times New Roman" w:cs="Times New Roman"/>
          <w:color w:val="000000"/>
          <w:sz w:val="24"/>
        </w:rPr>
        <w:t>30-40% B in 8 min, 40-95% B in 2 min</w:t>
      </w:r>
      <w:r w:rsidR="00EF7F22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(A=0.1% formic acid in water, B=0.1% formic acid in 90% acetonitrile). The flow rate was 0.6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μL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/min. Data-dependent mode was operated for the mass spectrometer, with a full MS </w:t>
      </w:r>
      <w:r w:rsidRPr="00410B5C">
        <w:rPr>
          <w:rFonts w:ascii="Times New Roman" w:eastAsia="宋体" w:hAnsi="Times New Roman" w:cs="Times New Roman"/>
          <w:color w:val="000000"/>
          <w:sz w:val="24"/>
        </w:rPr>
        <w:lastRenderedPageBreak/>
        <w:t xml:space="preserve">scan (300-1400 m/z) and 3 s cycle time was set. The MS spectra were acquired at a resolution of 70,000 with an automatic gain control (AGC) target value of 3×106 ions or a maximum integration time of 40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ms.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 High energy collision dissociation (HCD) with the energy set at 27 NCE was used to perform peptide fragmentation. The MS/MS spectra were acquired in the top 15 or 20 most intense precursors at a resolution of 17,500 with an AGC target value of 1×105 ions or a maximum integration time of 60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ms.</w:t>
      </w:r>
      <w:proofErr w:type="spellEnd"/>
      <w:r w:rsidR="00741194">
        <w:rPr>
          <w:rFonts w:ascii="Times New Roman" w:eastAsia="宋体" w:hAnsi="Times New Roman" w:cs="Times New Roman"/>
          <w:color w:val="000000"/>
          <w:sz w:val="24"/>
        </w:rPr>
        <w:t xml:space="preserve"> </w:t>
      </w:r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The raw MS files were analyzed and searched against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uniprot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 xml:space="preserve">-Homo sapiens database based on the species of the samples using </w:t>
      </w:r>
      <w:proofErr w:type="spellStart"/>
      <w:r w:rsidRPr="00410B5C">
        <w:rPr>
          <w:rFonts w:ascii="Times New Roman" w:eastAsia="宋体" w:hAnsi="Times New Roman" w:cs="Times New Roman"/>
          <w:color w:val="000000"/>
          <w:sz w:val="24"/>
        </w:rPr>
        <w:t>Byonic</w:t>
      </w:r>
      <w:proofErr w:type="spellEnd"/>
      <w:r w:rsidRPr="00410B5C">
        <w:rPr>
          <w:rFonts w:ascii="Times New Roman" w:eastAsia="宋体" w:hAnsi="Times New Roman" w:cs="Times New Roman"/>
          <w:color w:val="000000"/>
          <w:sz w:val="24"/>
        </w:rPr>
        <w:t>. The mass tolerance was set to 20 ppm and 0.02 Da for the precursor and the fragment ion respectively, with up to three missed cleavages allowed. Carbamidomethyl (+57.021 Da) was used as a fixed modification and oxidation (M) was used as a variable modification. The results of protein identification were filtered with the criteria of mass tolerance less than 10 ppm for peptides and false positive rate less than 1% at the protein level. Only high confident identified peptides were chosen for downstream protein identification analysis.</w:t>
      </w:r>
    </w:p>
    <w:sectPr w:rsidR="00C37514" w:rsidRPr="00410B5C" w:rsidSect="00567F12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Greek">
    <w:altName w:val="Cambria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332"/>
    <w:rsid w:val="000D3A58"/>
    <w:rsid w:val="00170332"/>
    <w:rsid w:val="002D6507"/>
    <w:rsid w:val="0033488A"/>
    <w:rsid w:val="00393027"/>
    <w:rsid w:val="003D5D9A"/>
    <w:rsid w:val="00400BF4"/>
    <w:rsid w:val="00410B5C"/>
    <w:rsid w:val="005003D8"/>
    <w:rsid w:val="00567F12"/>
    <w:rsid w:val="006124E9"/>
    <w:rsid w:val="00723DCC"/>
    <w:rsid w:val="00741194"/>
    <w:rsid w:val="007E694D"/>
    <w:rsid w:val="00887A88"/>
    <w:rsid w:val="008D076C"/>
    <w:rsid w:val="00966B79"/>
    <w:rsid w:val="00AC6D4D"/>
    <w:rsid w:val="00AD0AD0"/>
    <w:rsid w:val="00BE470D"/>
    <w:rsid w:val="00C0329E"/>
    <w:rsid w:val="00C37514"/>
    <w:rsid w:val="00CE159A"/>
    <w:rsid w:val="00EF7F22"/>
    <w:rsid w:val="00F4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70FA5E"/>
  <w15:chartTrackingRefBased/>
  <w15:docId w15:val="{3EE51774-117F-E045-AA64-843A75A1C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03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799</Words>
  <Characters>4559</Characters>
  <Application>Microsoft Office Word</Application>
  <DocSecurity>0</DocSecurity>
  <Lines>37</Lines>
  <Paragraphs>10</Paragraphs>
  <ScaleCrop>false</ScaleCrop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ub930</dc:creator>
  <cp:keywords/>
  <dc:description/>
  <cp:lastModifiedBy>ub930</cp:lastModifiedBy>
  <cp:revision>8</cp:revision>
  <dcterms:created xsi:type="dcterms:W3CDTF">2021-05-13T01:24:00Z</dcterms:created>
  <dcterms:modified xsi:type="dcterms:W3CDTF">2021-06-25T13:24:00Z</dcterms:modified>
</cp:coreProperties>
</file>