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9BE" w:rsidRDefault="000539BE" w:rsidP="00366682">
      <w:pPr>
        <w:spacing w:line="480" w:lineRule="auto"/>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upplementary methods</w:t>
      </w:r>
    </w:p>
    <w:p w:rsidR="00094445" w:rsidRDefault="00F44A17" w:rsidP="00366682">
      <w:pPr>
        <w:spacing w:line="480" w:lineRule="auto"/>
        <w:rPr>
          <w:rFonts w:ascii="Times New Roman" w:hAnsi="Times New Roman" w:cs="Times New Roman"/>
          <w:b/>
          <w:sz w:val="24"/>
          <w:szCs w:val="24"/>
        </w:rPr>
      </w:pPr>
      <w:r w:rsidRPr="00F44A17">
        <w:rPr>
          <w:rFonts w:ascii="Times New Roman" w:hAnsi="Times New Roman" w:cs="Times New Roman"/>
          <w:b/>
          <w:sz w:val="24"/>
          <w:szCs w:val="24"/>
        </w:rPr>
        <w:t>RNA in situ hybridization (ISH)</w:t>
      </w:r>
    </w:p>
    <w:p w:rsidR="00F44A17" w:rsidRPr="007B46C1" w:rsidRDefault="00F44A17" w:rsidP="00366682">
      <w:pPr>
        <w:spacing w:line="480" w:lineRule="auto"/>
        <w:rPr>
          <w:rFonts w:ascii="Times New Roman" w:hAnsi="Times New Roman" w:cs="Times New Roman"/>
          <w:sz w:val="24"/>
          <w:szCs w:val="24"/>
        </w:rPr>
      </w:pPr>
      <w:r>
        <w:rPr>
          <w:rFonts w:ascii="Times New Roman" w:hAnsi="Times New Roman" w:cs="Times New Roman"/>
          <w:sz w:val="24"/>
          <w:szCs w:val="24"/>
        </w:rPr>
        <w:t>CircDLG1 expression in gastric cancer tissues was detected by using in situ hybridization (ISH). Briefly, the paraffin-embedded sections were digested with proteinase K after dewaxing and rehydration, fixed with 4% paraformaldehyde, hybridized with the 5’digoxin-labeled circDLG1 probe (Exiqon, Dan</w:t>
      </w:r>
      <w:r w:rsidRPr="00283346">
        <w:rPr>
          <w:rFonts w:ascii="Times New Roman" w:hAnsi="Times New Roman" w:cs="Times New Roman"/>
          <w:sz w:val="24"/>
          <w:szCs w:val="24"/>
        </w:rPr>
        <w:t xml:space="preserve">mark) at 55 </w:t>
      </w:r>
      <w:r w:rsidR="00283346" w:rsidRPr="00283346">
        <w:rPr>
          <w:rFonts w:ascii="Times New Roman" w:hAnsi="Times New Roman" w:cs="Times New Roman"/>
          <w:sz w:val="24"/>
          <w:szCs w:val="24"/>
        </w:rPr>
        <w:t>℃</w:t>
      </w:r>
      <w:r w:rsidR="00283346">
        <w:rPr>
          <w:rFonts w:ascii="Times New Roman" w:hAnsi="Times New Roman" w:cs="Times New Roman"/>
          <w:sz w:val="24"/>
          <w:szCs w:val="24"/>
        </w:rPr>
        <w:t xml:space="preserve"> for 12 hours</w:t>
      </w:r>
      <w:r w:rsidR="00283346">
        <w:rPr>
          <w:rFonts w:ascii="Times New Roman" w:hAnsi="Times New Roman" w:cs="Times New Roman" w:hint="eastAsia"/>
          <w:sz w:val="24"/>
          <w:szCs w:val="24"/>
        </w:rPr>
        <w:t>,</w:t>
      </w:r>
      <w:r w:rsidR="00283346">
        <w:rPr>
          <w:rFonts w:ascii="Times New Roman" w:hAnsi="Times New Roman" w:cs="Times New Roman"/>
          <w:sz w:val="24"/>
          <w:szCs w:val="24"/>
        </w:rPr>
        <w:t xml:space="preserve"> and then incubated with anti-digoxin monoclonal antibody (Roche, Switzerland) at 4 </w:t>
      </w:r>
      <w:r w:rsidR="00283346" w:rsidRPr="00283346">
        <w:rPr>
          <w:rFonts w:ascii="Times New Roman" w:hAnsi="Times New Roman" w:cs="Times New Roman"/>
          <w:sz w:val="24"/>
          <w:szCs w:val="24"/>
        </w:rPr>
        <w:t>℃</w:t>
      </w:r>
      <w:r w:rsidR="00283346">
        <w:rPr>
          <w:rFonts w:ascii="Times New Roman" w:hAnsi="Times New Roman" w:cs="Times New Roman"/>
          <w:sz w:val="24"/>
          <w:szCs w:val="24"/>
        </w:rPr>
        <w:t xml:space="preserve"> for 12 hours. The sections were finally stained with nitro blue tetrazolium/5-bromo-4-chloro-3-indolyphospate. The positive staining of circDLG1 was examined (blue staining). </w:t>
      </w:r>
      <w:r w:rsidR="007B46C1">
        <w:rPr>
          <w:rFonts w:ascii="Times New Roman" w:hAnsi="Times New Roman" w:cs="Times New Roman"/>
          <w:sz w:val="24"/>
          <w:szCs w:val="24"/>
        </w:rPr>
        <w:t>The staining scores were determined based on both the intensity and proportion of circDLG1-positive cells in 10 random fiel</w:t>
      </w:r>
      <w:r w:rsidR="007B46C1" w:rsidRPr="007B46C1">
        <w:rPr>
          <w:rFonts w:ascii="Times New Roman" w:hAnsi="Times New Roman" w:cs="Times New Roman"/>
          <w:sz w:val="24"/>
          <w:szCs w:val="24"/>
        </w:rPr>
        <w:t>ds under a 40×</w:t>
      </w:r>
      <w:r w:rsidR="007B46C1">
        <w:rPr>
          <w:rFonts w:ascii="Times New Roman" w:hAnsi="Times New Roman" w:cs="Times New Roman"/>
          <w:sz w:val="24"/>
          <w:szCs w:val="24"/>
        </w:rPr>
        <w:t xml:space="preserve"> objective.</w:t>
      </w:r>
      <w:r w:rsidR="007B46C1" w:rsidRPr="007B46C1">
        <w:rPr>
          <w:rFonts w:ascii="Times New Roman" w:hAnsi="Times New Roman" w:cs="Times New Roman"/>
          <w:sz w:val="24"/>
          <w:szCs w:val="24"/>
        </w:rPr>
        <w:t xml:space="preserve"> The proportion of stained tumor cells was graded as follows: 0, no positive cells; 1, </w:t>
      </w:r>
      <w:r w:rsidR="007B46C1" w:rsidRPr="007B46C1">
        <w:rPr>
          <w:rFonts w:ascii="Times New Roman" w:hAnsi="Times New Roman" w:cs="Times New Roman"/>
          <w:sz w:val="24"/>
          <w:szCs w:val="24"/>
        </w:rPr>
        <w:t>＜</w:t>
      </w:r>
      <w:r w:rsidR="007B46C1" w:rsidRPr="007B46C1">
        <w:rPr>
          <w:rFonts w:ascii="Times New Roman" w:hAnsi="Times New Roman" w:cs="Times New Roman"/>
          <w:sz w:val="24"/>
          <w:szCs w:val="24"/>
        </w:rPr>
        <w:t xml:space="preserve">10%, 2, 10%-50%; 3, </w:t>
      </w:r>
      <w:r w:rsidR="007B46C1" w:rsidRPr="007B46C1">
        <w:rPr>
          <w:rFonts w:ascii="Times New Roman" w:hAnsi="Times New Roman" w:cs="Times New Roman"/>
          <w:sz w:val="24"/>
          <w:szCs w:val="24"/>
        </w:rPr>
        <w:t>＞</w:t>
      </w:r>
      <w:r w:rsidR="007B46C1" w:rsidRPr="007B46C1">
        <w:rPr>
          <w:rFonts w:ascii="Times New Roman" w:hAnsi="Times New Roman" w:cs="Times New Roman"/>
          <w:sz w:val="24"/>
          <w:szCs w:val="24"/>
        </w:rPr>
        <w:t xml:space="preserve">50%. </w:t>
      </w:r>
      <w:r w:rsidR="007B46C1">
        <w:rPr>
          <w:rFonts w:ascii="Times New Roman" w:hAnsi="Times New Roman" w:cs="Times New Roman"/>
          <w:sz w:val="24"/>
          <w:szCs w:val="24"/>
        </w:rPr>
        <w:t xml:space="preserve">The intensity was recorded as follows: 0, no staining; 1, light blue; 2, blue; 3, dark blue. The staining index (SI) was calculated as: SI = staining intensity </w:t>
      </w:r>
      <w:r w:rsidR="007B46C1" w:rsidRPr="007B46C1">
        <w:rPr>
          <w:rFonts w:ascii="Times New Roman" w:hAnsi="Times New Roman" w:cs="Times New Roman"/>
          <w:sz w:val="24"/>
          <w:szCs w:val="24"/>
        </w:rPr>
        <w:t>×</w:t>
      </w:r>
      <w:r w:rsidR="007B46C1">
        <w:rPr>
          <w:rFonts w:ascii="Times New Roman" w:hAnsi="Times New Roman" w:cs="Times New Roman"/>
          <w:sz w:val="24"/>
          <w:szCs w:val="24"/>
        </w:rPr>
        <w:t xml:space="preserve"> proportion of positive staining cells. </w:t>
      </w:r>
    </w:p>
    <w:p w:rsidR="00F44A17" w:rsidRPr="00F44A17" w:rsidRDefault="00F44A17" w:rsidP="00366682">
      <w:pPr>
        <w:spacing w:line="480" w:lineRule="auto"/>
        <w:rPr>
          <w:rFonts w:ascii="Times New Roman" w:hAnsi="Times New Roman" w:cs="Times New Roman"/>
          <w:b/>
          <w:sz w:val="24"/>
          <w:szCs w:val="24"/>
        </w:rPr>
      </w:pPr>
      <w:r w:rsidRPr="00F44A17">
        <w:rPr>
          <w:rFonts w:ascii="Times New Roman" w:hAnsi="Times New Roman" w:cs="Times New Roman"/>
          <w:b/>
          <w:sz w:val="24"/>
          <w:szCs w:val="24"/>
        </w:rPr>
        <w:t>Sphere formation assay</w:t>
      </w:r>
    </w:p>
    <w:p w:rsidR="00FD25F8" w:rsidRDefault="00F44A17" w:rsidP="00366682">
      <w:pPr>
        <w:spacing w:line="480" w:lineRule="auto"/>
        <w:rPr>
          <w:rFonts w:ascii="Times New Roman" w:eastAsia="Calibri" w:hAnsi="Times New Roman" w:cs="Times New Roman"/>
          <w:kern w:val="0"/>
          <w:sz w:val="24"/>
          <w:szCs w:val="24"/>
          <w:lang w:eastAsia="en-US"/>
        </w:rPr>
      </w:pPr>
      <w:r w:rsidRPr="00FD25F8">
        <w:rPr>
          <w:rFonts w:ascii="Times New Roman" w:eastAsia="Calibri" w:hAnsi="Times New Roman" w:cs="Times New Roman"/>
          <w:kern w:val="0"/>
          <w:sz w:val="24"/>
          <w:szCs w:val="24"/>
          <w:lang w:eastAsia="en-US"/>
        </w:rPr>
        <w:t>A sphere-forming assay was performed</w:t>
      </w:r>
      <w:r w:rsidR="00FD25F8">
        <w:rPr>
          <w:rFonts w:ascii="Times New Roman" w:eastAsia="Calibri" w:hAnsi="Times New Roman" w:cs="Times New Roman"/>
          <w:kern w:val="0"/>
          <w:sz w:val="24"/>
          <w:szCs w:val="24"/>
          <w:lang w:eastAsia="en-US"/>
        </w:rPr>
        <w:t xml:space="preserve"> suing gastric cancer cell lines</w:t>
      </w:r>
      <w:r w:rsidRPr="00FD25F8">
        <w:rPr>
          <w:rFonts w:ascii="Times New Roman" w:eastAsia="Calibri" w:hAnsi="Times New Roman" w:cs="Times New Roman"/>
          <w:kern w:val="0"/>
          <w:sz w:val="24"/>
          <w:szCs w:val="24"/>
          <w:lang w:eastAsia="en-US"/>
        </w:rPr>
        <w:t>.</w:t>
      </w:r>
      <w:r w:rsidR="00FD25F8">
        <w:rPr>
          <w:rFonts w:ascii="Times New Roman" w:eastAsia="Calibri" w:hAnsi="Times New Roman" w:cs="Times New Roman"/>
          <w:kern w:val="0"/>
          <w:sz w:val="24"/>
          <w:szCs w:val="24"/>
          <w:lang w:eastAsia="en-US"/>
        </w:rPr>
        <w:t xml:space="preserve"> Briefly, cell suspensions (1.0 </w:t>
      </w:r>
      <w:r w:rsidR="00FD25F8" w:rsidRPr="00FD25F8">
        <w:rPr>
          <w:rFonts w:ascii="Times New Roman" w:eastAsia="Calibri" w:hAnsi="Times New Roman" w:cs="Times New Roman"/>
          <w:kern w:val="0"/>
          <w:sz w:val="24"/>
          <w:szCs w:val="24"/>
          <w:lang w:eastAsia="en-US"/>
        </w:rPr>
        <w:t>×</w:t>
      </w:r>
      <w:r w:rsidR="00FD25F8">
        <w:rPr>
          <w:rFonts w:ascii="Times New Roman" w:eastAsia="Calibri" w:hAnsi="Times New Roman" w:cs="Times New Roman"/>
          <w:kern w:val="0"/>
          <w:sz w:val="24"/>
          <w:szCs w:val="24"/>
          <w:lang w:eastAsia="en-US"/>
        </w:rPr>
        <w:t xml:space="preserve"> </w:t>
      </w:r>
      <w:r w:rsidRPr="00FD25F8">
        <w:rPr>
          <w:rFonts w:ascii="Times New Roman" w:eastAsia="Calibri" w:hAnsi="Times New Roman" w:cs="Times New Roman"/>
          <w:kern w:val="0"/>
          <w:sz w:val="24"/>
          <w:szCs w:val="24"/>
          <w:lang w:eastAsia="en-US"/>
        </w:rPr>
        <w:t>10</w:t>
      </w:r>
      <w:r w:rsidRPr="00FD25F8">
        <w:rPr>
          <w:rFonts w:ascii="Times New Roman" w:eastAsia="Calibri" w:hAnsi="Times New Roman" w:cs="Times New Roman"/>
          <w:kern w:val="0"/>
          <w:sz w:val="24"/>
          <w:szCs w:val="24"/>
          <w:vertAlign w:val="superscript"/>
          <w:lang w:eastAsia="en-US"/>
        </w:rPr>
        <w:t>3</w:t>
      </w:r>
      <w:r w:rsidRPr="00FD25F8">
        <w:rPr>
          <w:rFonts w:eastAsia="Calibri"/>
          <w:kern w:val="0"/>
          <w:sz w:val="24"/>
          <w:szCs w:val="24"/>
          <w:lang w:eastAsia="en-US"/>
        </w:rPr>
        <w:t> </w:t>
      </w:r>
      <w:r w:rsidRPr="00FD25F8">
        <w:rPr>
          <w:rFonts w:ascii="Times New Roman" w:eastAsia="Calibri" w:hAnsi="Times New Roman" w:cs="Times New Roman"/>
          <w:kern w:val="0"/>
          <w:sz w:val="24"/>
          <w:szCs w:val="24"/>
          <w:lang w:eastAsia="en-US"/>
        </w:rPr>
        <w:t>cells/well) were seeded in 6-well ultralow attachment plates (Corning Inc. Corning, USA) using serum-free DMEM/F12 (Invitrogen) containing 20 ng/mL of basic fibroblast g</w:t>
      </w:r>
      <w:r w:rsidR="00FD25F8">
        <w:rPr>
          <w:rFonts w:ascii="Times New Roman" w:eastAsia="Calibri" w:hAnsi="Times New Roman" w:cs="Times New Roman"/>
          <w:kern w:val="0"/>
          <w:sz w:val="24"/>
          <w:szCs w:val="24"/>
          <w:lang w:eastAsia="en-US"/>
        </w:rPr>
        <w:t xml:space="preserve">rowth factor (Miltenyi Biotec), </w:t>
      </w:r>
      <w:r w:rsidRPr="00FD25F8">
        <w:rPr>
          <w:rFonts w:ascii="Times New Roman" w:eastAsia="Calibri" w:hAnsi="Times New Roman" w:cs="Times New Roman"/>
          <w:kern w:val="0"/>
          <w:sz w:val="24"/>
          <w:szCs w:val="24"/>
          <w:lang w:eastAsia="en-US"/>
        </w:rPr>
        <w:t>2 m</w:t>
      </w:r>
      <w:r w:rsidR="00FD25F8">
        <w:rPr>
          <w:rFonts w:ascii="Times New Roman" w:eastAsia="Calibri" w:hAnsi="Times New Roman" w:cs="Times New Roman"/>
          <w:kern w:val="0"/>
          <w:sz w:val="24"/>
          <w:szCs w:val="24"/>
          <w:lang w:eastAsia="en-US"/>
        </w:rPr>
        <w:t xml:space="preserve">M L-glutamine (Mediatech Inc.), and </w:t>
      </w:r>
      <w:r w:rsidR="00FD25F8" w:rsidRPr="00FD25F8">
        <w:rPr>
          <w:rFonts w:ascii="Times New Roman" w:eastAsia="Calibri" w:hAnsi="Times New Roman" w:cs="Times New Roman"/>
          <w:kern w:val="0"/>
          <w:sz w:val="24"/>
          <w:szCs w:val="24"/>
          <w:lang w:eastAsia="en-US"/>
        </w:rPr>
        <w:t>20 ng/mL of epidermal growth factor (Miltenyi Biotec, A</w:t>
      </w:r>
      <w:r w:rsidR="00FD25F8">
        <w:rPr>
          <w:rFonts w:ascii="Times New Roman" w:eastAsia="Calibri" w:hAnsi="Times New Roman" w:cs="Times New Roman"/>
          <w:kern w:val="0"/>
          <w:sz w:val="24"/>
          <w:szCs w:val="24"/>
          <w:lang w:eastAsia="en-US"/>
        </w:rPr>
        <w:t xml:space="preserve">uburn, USA). After </w:t>
      </w:r>
      <w:r w:rsidRPr="00FD25F8">
        <w:rPr>
          <w:rFonts w:ascii="Times New Roman" w:eastAsia="Calibri" w:hAnsi="Times New Roman" w:cs="Times New Roman"/>
          <w:kern w:val="0"/>
          <w:sz w:val="24"/>
          <w:szCs w:val="24"/>
          <w:lang w:eastAsia="en-US"/>
        </w:rPr>
        <w:t xml:space="preserve">culturing for 7 days, the size and number of tumor spheres were evaluated </w:t>
      </w:r>
      <w:r w:rsidRPr="00FD25F8">
        <w:rPr>
          <w:rFonts w:ascii="Times New Roman" w:eastAsia="Calibri" w:hAnsi="Times New Roman" w:cs="Times New Roman"/>
          <w:kern w:val="0"/>
          <w:sz w:val="24"/>
          <w:szCs w:val="24"/>
          <w:lang w:eastAsia="en-US"/>
        </w:rPr>
        <w:lastRenderedPageBreak/>
        <w:t>using microscopy.</w:t>
      </w:r>
    </w:p>
    <w:p w:rsidR="00D02BF2" w:rsidRDefault="00D02BF2" w:rsidP="00366682">
      <w:pPr>
        <w:spacing w:line="480" w:lineRule="auto"/>
        <w:rPr>
          <w:rFonts w:ascii="Times New Roman" w:hAnsi="Times New Roman" w:cs="Times New Roman"/>
          <w:b/>
          <w:szCs w:val="21"/>
        </w:rPr>
      </w:pPr>
      <w:r w:rsidRPr="00D02BF2">
        <w:rPr>
          <w:rFonts w:ascii="Times New Roman" w:hAnsi="Times New Roman" w:cs="Times New Roman" w:hint="eastAsia"/>
          <w:b/>
          <w:szCs w:val="21"/>
        </w:rPr>
        <w:t>RNA sequencing</w:t>
      </w:r>
      <w:r w:rsidR="00637806">
        <w:rPr>
          <w:rFonts w:ascii="Times New Roman" w:hAnsi="Times New Roman" w:cs="Times New Roman"/>
          <w:b/>
          <w:szCs w:val="21"/>
        </w:rPr>
        <w:t xml:space="preserve"> to identify differentially expressed RNA after circDLG1 knockdown</w:t>
      </w:r>
    </w:p>
    <w:p w:rsidR="0068330F" w:rsidRDefault="00F16F90" w:rsidP="00366682">
      <w:pPr>
        <w:spacing w:line="480" w:lineRule="auto"/>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 xml:space="preserve">NA sequencing was performed according to our previously described method </w:t>
      </w:r>
      <w:r>
        <w:rPr>
          <w:rFonts w:ascii="Times New Roman" w:hAnsi="Times New Roman" w:cs="Times New Roman"/>
          <w:szCs w:val="21"/>
        </w:rPr>
        <w:fldChar w:fldCharType="begin">
          <w:fldData xml:space="preserve">PEVuZE5vdGU+PENpdGU+PEF1dGhvcj5DaGVuPC9BdXRob3I+PFllYXI+MjAxNzwvWWVhcj48UmVj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PEVuZE5vdGU+PENpdGU+PEF1dGhvcj5DaGVuPC9BdXRob3I+PFllYXI+MjAxNzwvWWVhcj48UmVj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noProof/>
          <w:szCs w:val="21"/>
        </w:rPr>
        <w:t>[1]</w:t>
      </w:r>
      <w:r>
        <w:rPr>
          <w:rFonts w:ascii="Times New Roman" w:hAnsi="Times New Roman" w:cs="Times New Roman"/>
          <w:szCs w:val="21"/>
        </w:rPr>
        <w:fldChar w:fldCharType="end"/>
      </w:r>
      <w:r>
        <w:rPr>
          <w:rFonts w:ascii="Times New Roman" w:hAnsi="Times New Roman" w:cs="Times New Roman"/>
          <w:szCs w:val="21"/>
        </w:rPr>
        <w:t xml:space="preserve">. </w:t>
      </w:r>
      <w:r w:rsidR="00E06BBE">
        <w:rPr>
          <w:rFonts w:ascii="Times New Roman" w:hAnsi="Times New Roman" w:cs="Times New Roman"/>
          <w:szCs w:val="21"/>
        </w:rPr>
        <w:t xml:space="preserve">Briefly, </w:t>
      </w:r>
      <w:r w:rsidR="0068330F" w:rsidRPr="0068330F">
        <w:rPr>
          <w:rFonts w:ascii="Times New Roman" w:hAnsi="Times New Roman" w:cs="Times New Roman"/>
          <w:color w:val="000000"/>
          <w:szCs w:val="21"/>
          <w:shd w:val="clear" w:color="auto" w:fill="FFFFFF"/>
        </w:rPr>
        <w:t>Total RNA was isolated from cells/tissues using Trizol (invitrogen) according to the manufacturer's protocol. RNA purity was assessed using the Qubit®. Each RNA sample had an A260:A280 ratio above 1.8 and A260:A230 ratio above 2.0. RNA integrity was evaluated using the Agilent 2200 TapeStation (Agilent Technologies, USA) and each sample had a RINe above 7.0. Briefly, rRNAs were removed from Total RNA using Epicentre Ribo-Zero rRNARemoval Kit (illumina, USA) and fragmented to approximately 200 bp. Subsequently, the purified RNAs were subjected to first strand and second strand cDNA synthesis followed by adaptor ligation and enrichment with a low-cycle according to instructions of TruSeq® RNA LT/HT Sample Prep Kit (Illumina, USA). The purified library products were evaluated using the Agilent 2200 TapeStation and Qubit®2.0 (Life Technologies, USA) and then diluted to 10 pM for cluster genera</w:t>
      </w:r>
      <w:r w:rsidR="0068330F" w:rsidRPr="006E088A">
        <w:rPr>
          <w:rFonts w:ascii="Times New Roman" w:hAnsi="Times New Roman" w:cs="Times New Roman"/>
          <w:color w:val="000000"/>
          <w:szCs w:val="21"/>
          <w:shd w:val="clear" w:color="auto" w:fill="FFFFFF"/>
        </w:rPr>
        <w:t>tion</w:t>
      </w:r>
      <w:r w:rsidR="0068330F" w:rsidRPr="006E088A">
        <w:rPr>
          <w:rStyle w:val="apple-converted-space"/>
          <w:rFonts w:ascii="Times New Roman" w:hAnsi="Times New Roman" w:cs="Times New Roman"/>
          <w:color w:val="000000"/>
          <w:szCs w:val="21"/>
          <w:shd w:val="clear" w:color="auto" w:fill="FFFFFF"/>
        </w:rPr>
        <w:t> </w:t>
      </w:r>
      <w:r w:rsidR="0068330F" w:rsidRPr="006E088A">
        <w:rPr>
          <w:rStyle w:val="a7"/>
          <w:rFonts w:ascii="Times New Roman" w:hAnsi="Times New Roman" w:cs="Times New Roman"/>
          <w:color w:val="000000"/>
          <w:szCs w:val="21"/>
          <w:shd w:val="clear" w:color="auto" w:fill="FFFFFF"/>
        </w:rPr>
        <w:t>in situ</w:t>
      </w:r>
      <w:r w:rsidR="0068330F" w:rsidRPr="006E088A">
        <w:rPr>
          <w:rStyle w:val="apple-converted-space"/>
          <w:rFonts w:ascii="Times New Roman" w:hAnsi="Times New Roman" w:cs="Times New Roman"/>
          <w:color w:val="000000"/>
          <w:szCs w:val="21"/>
          <w:shd w:val="clear" w:color="auto" w:fill="FFFFFF"/>
        </w:rPr>
        <w:t> </w:t>
      </w:r>
      <w:r w:rsidR="0068330F" w:rsidRPr="006E088A">
        <w:rPr>
          <w:rFonts w:ascii="Times New Roman" w:hAnsi="Times New Roman" w:cs="Times New Roman"/>
          <w:color w:val="000000"/>
          <w:szCs w:val="21"/>
          <w:shd w:val="clear" w:color="auto" w:fill="FFFFFF"/>
        </w:rPr>
        <w:t>on the HiSe</w:t>
      </w:r>
      <w:r w:rsidR="0068330F" w:rsidRPr="0068330F">
        <w:rPr>
          <w:rFonts w:ascii="Times New Roman" w:hAnsi="Times New Roman" w:cs="Times New Roman"/>
          <w:color w:val="000000"/>
          <w:szCs w:val="21"/>
          <w:shd w:val="clear" w:color="auto" w:fill="FFFFFF"/>
        </w:rPr>
        <w:t>q3000 pair-end flow cell followed by sequencing (2×150 bp) on HiSeq3000.</w:t>
      </w:r>
      <w:r w:rsidR="0068330F" w:rsidRPr="0068330F">
        <w:rPr>
          <w:rStyle w:val="apple-converted-space"/>
          <w:rFonts w:ascii="Times New Roman" w:hAnsi="Times New Roman" w:cs="Times New Roman"/>
          <w:color w:val="000000"/>
          <w:szCs w:val="21"/>
          <w:shd w:val="clear" w:color="auto" w:fill="FFFFFF"/>
        </w:rPr>
        <w:t> </w:t>
      </w:r>
      <w:r w:rsidR="0068330F" w:rsidRPr="00021E20">
        <w:rPr>
          <w:rFonts w:ascii="Times New Roman" w:hAnsi="Times New Roman" w:cs="Times New Roman" w:hint="eastAsia"/>
          <w:szCs w:val="21"/>
        </w:rPr>
        <w:t xml:space="preserve">Differentially expressed RNAs were evaluated by using </w:t>
      </w:r>
      <w:r w:rsidR="0068330F" w:rsidRPr="00021E20">
        <w:rPr>
          <w:rFonts w:ascii="Times New Roman" w:hAnsi="Times New Roman" w:cs="Times New Roman"/>
          <w:szCs w:val="21"/>
        </w:rPr>
        <w:t>the</w:t>
      </w:r>
      <w:r w:rsidR="0068330F" w:rsidRPr="00021E20">
        <w:rPr>
          <w:rFonts w:ascii="Times New Roman" w:hAnsi="Times New Roman" w:cs="Times New Roman" w:hint="eastAsia"/>
          <w:szCs w:val="21"/>
        </w:rPr>
        <w:t xml:space="preserve"> DEGseq algorithm. </w:t>
      </w:r>
      <w:r w:rsidR="0068330F">
        <w:rPr>
          <w:rFonts w:ascii="Times New Roman" w:hAnsi="Times New Roman" w:cs="Times New Roman"/>
          <w:szCs w:val="21"/>
        </w:rPr>
        <w:t>T</w:t>
      </w:r>
      <w:r w:rsidR="0068330F">
        <w:rPr>
          <w:rFonts w:ascii="Times New Roman" w:hAnsi="Times New Roman" w:cs="Times New Roman" w:hint="eastAsia"/>
          <w:szCs w:val="21"/>
        </w:rPr>
        <w:t xml:space="preserve">he differentially expressed circRNAs were defined as q-value &lt; 0.05 with a fold </w:t>
      </w:r>
      <w:r w:rsidR="0068330F">
        <w:rPr>
          <w:rFonts w:ascii="Times New Roman" w:hAnsi="Times New Roman" w:cs="Times New Roman"/>
          <w:szCs w:val="21"/>
        </w:rPr>
        <w:t>change</w:t>
      </w:r>
      <w:r w:rsidR="0068330F">
        <w:rPr>
          <w:rFonts w:ascii="Times New Roman" w:hAnsi="Times New Roman" w:cs="Times New Roman" w:hint="eastAsia"/>
          <w:szCs w:val="21"/>
        </w:rPr>
        <w:t xml:space="preserve"> &gt; 2 or &lt; 0.5. </w:t>
      </w:r>
    </w:p>
    <w:p w:rsidR="00637806" w:rsidRDefault="00066D54" w:rsidP="00366682">
      <w:pPr>
        <w:spacing w:line="480" w:lineRule="auto"/>
        <w:rPr>
          <w:rFonts w:ascii="Times New Roman" w:hAnsi="Times New Roman" w:cs="Times New Roman"/>
          <w:b/>
          <w:szCs w:val="21"/>
        </w:rPr>
      </w:pPr>
      <w:r w:rsidRPr="00066D54">
        <w:rPr>
          <w:rFonts w:ascii="Times New Roman" w:hAnsi="Times New Roman" w:cs="Times New Roman" w:hint="eastAsia"/>
          <w:b/>
          <w:szCs w:val="21"/>
        </w:rPr>
        <w:t>S</w:t>
      </w:r>
      <w:r w:rsidRPr="00066D54">
        <w:rPr>
          <w:rFonts w:ascii="Times New Roman" w:hAnsi="Times New Roman" w:cs="Times New Roman"/>
          <w:b/>
          <w:szCs w:val="21"/>
        </w:rPr>
        <w:t>equencing of tumor tissues and Tumor mutation burden (TMB) analysis</w:t>
      </w:r>
    </w:p>
    <w:p w:rsidR="00066D54" w:rsidRPr="0029595A" w:rsidRDefault="0029595A" w:rsidP="00366682">
      <w:pPr>
        <w:spacing w:line="480" w:lineRule="auto"/>
        <w:rPr>
          <w:rFonts w:ascii="Times New Roman" w:hAnsi="Times New Roman" w:cs="Times New Roman"/>
          <w:szCs w:val="21"/>
        </w:rPr>
      </w:pPr>
      <w:r w:rsidRPr="0029595A">
        <w:rPr>
          <w:rFonts w:ascii="Times New Roman" w:hAnsi="Times New Roman" w:cs="Times New Roman" w:hint="eastAsia"/>
          <w:szCs w:val="21"/>
        </w:rPr>
        <w:t>S</w:t>
      </w:r>
      <w:r w:rsidRPr="0029595A">
        <w:rPr>
          <w:rFonts w:ascii="Times New Roman" w:hAnsi="Times New Roman" w:cs="Times New Roman"/>
          <w:szCs w:val="21"/>
        </w:rPr>
        <w:t>equencing of tumor tissues and Tumor mutation burden (TMB) analysis</w:t>
      </w:r>
      <w:r>
        <w:rPr>
          <w:rFonts w:ascii="Times New Roman" w:hAnsi="Times New Roman" w:cs="Times New Roman"/>
          <w:szCs w:val="21"/>
        </w:rPr>
        <w:t xml:space="preserve"> was performed according to our previously described method </w:t>
      </w:r>
      <w:r>
        <w:rPr>
          <w:rFonts w:ascii="Times New Roman" w:hAnsi="Times New Roman" w:cs="Times New Roman"/>
          <w:szCs w:val="21"/>
        </w:rPr>
        <w:fldChar w:fldCharType="begin">
          <w:fldData xml:space="preserve">PEVuZE5vdGU+PENpdGU+PEF1dGhvcj5KaW48L0F1dGhvcj48WWVhcj4yMDIwPC9ZZWFyPjxSZWNO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PEVuZE5vdGU+PENpdGU+PEF1dGhvcj5KaW48L0F1dGhvcj48WWVhcj4yMDIwPC9ZZWFyPjxSZWNO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noProof/>
          <w:szCs w:val="21"/>
        </w:rPr>
        <w:t>[2]</w:t>
      </w:r>
      <w:r>
        <w:rPr>
          <w:rFonts w:ascii="Times New Roman" w:hAnsi="Times New Roman" w:cs="Times New Roman"/>
          <w:szCs w:val="21"/>
        </w:rPr>
        <w:fldChar w:fldCharType="end"/>
      </w:r>
      <w:r>
        <w:rPr>
          <w:rFonts w:ascii="Times New Roman" w:hAnsi="Times New Roman" w:cs="Times New Roman"/>
          <w:szCs w:val="21"/>
        </w:rPr>
        <w:t xml:space="preserve">. </w:t>
      </w:r>
      <w:r w:rsidR="00AF0F7E">
        <w:rPr>
          <w:rFonts w:ascii="Times New Roman" w:hAnsi="Times New Roman" w:cs="Times New Roman"/>
          <w:szCs w:val="21"/>
        </w:rPr>
        <w:t>T</w:t>
      </w:r>
      <w:r w:rsidR="00AF0F7E">
        <w:rPr>
          <w:rFonts w:ascii="Times New Roman" w:hAnsi="Times New Roman" w:cs="Times New Roman" w:hint="eastAsia"/>
          <w:szCs w:val="21"/>
        </w:rPr>
        <w:t>he</w:t>
      </w:r>
      <w:r w:rsidR="00AF0F7E">
        <w:rPr>
          <w:rFonts w:ascii="Times New Roman" w:hAnsi="Times New Roman" w:cs="Times New Roman"/>
          <w:szCs w:val="21"/>
        </w:rPr>
        <w:t xml:space="preserve"> median level of TMB was used as the cut-off value to divide high and low TMB. </w:t>
      </w:r>
      <w:bookmarkStart w:id="0" w:name="_GoBack"/>
      <w:bookmarkEnd w:id="0"/>
    </w:p>
    <w:p w:rsidR="00066D54" w:rsidRPr="00066D54" w:rsidRDefault="0029595A" w:rsidP="00890029">
      <w:pPr>
        <w:spacing w:line="360" w:lineRule="auto"/>
        <w:rPr>
          <w:rFonts w:ascii="Times New Roman" w:hAnsi="Times New Roman" w:cs="Times New Roman"/>
          <w:b/>
          <w:szCs w:val="21"/>
        </w:rPr>
      </w:pPr>
      <w:r>
        <w:rPr>
          <w:rFonts w:ascii="Times New Roman" w:hAnsi="Times New Roman" w:cs="Times New Roman" w:hint="eastAsia"/>
          <w:b/>
          <w:szCs w:val="21"/>
        </w:rPr>
        <w:t>R</w:t>
      </w:r>
      <w:r>
        <w:rPr>
          <w:rFonts w:ascii="Times New Roman" w:hAnsi="Times New Roman" w:cs="Times New Roman"/>
          <w:b/>
          <w:szCs w:val="21"/>
        </w:rPr>
        <w:t>eferences:</w:t>
      </w:r>
    </w:p>
    <w:p w:rsidR="00D12088" w:rsidRPr="00D12088" w:rsidRDefault="00F16F90" w:rsidP="00D12088">
      <w:pPr>
        <w:pStyle w:val="EndNoteBibliography"/>
        <w:ind w:left="720" w:hanging="720"/>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sidR="00D12088" w:rsidRPr="00D12088">
        <w:t>1.</w:t>
      </w:r>
      <w:r w:rsidR="00D12088" w:rsidRPr="00D12088">
        <w:tab/>
        <w:t>Chen DL, Lu YX, Zhang JX, Wei XL, Wang F, Zeng ZL , et al. Long non-coding RNA UICLM promotes colorectal cancer liver metastasis by acting as a ceRNA for microRNA-215 to regulate ZEB2 expression. Theranostics</w:t>
      </w:r>
      <w:r w:rsidR="00D12088" w:rsidRPr="00D12088">
        <w:rPr>
          <w:i/>
        </w:rPr>
        <w:t xml:space="preserve"> </w:t>
      </w:r>
      <w:r w:rsidR="00D12088" w:rsidRPr="00D12088">
        <w:t>2017; 7(19):4836-4849.</w:t>
      </w:r>
    </w:p>
    <w:p w:rsidR="00D12088" w:rsidRPr="00D12088" w:rsidRDefault="00D12088" w:rsidP="00D12088">
      <w:pPr>
        <w:pStyle w:val="EndNoteBibliography"/>
        <w:ind w:left="720" w:hanging="720"/>
      </w:pPr>
      <w:r w:rsidRPr="00D12088">
        <w:lastRenderedPageBreak/>
        <w:t>2.</w:t>
      </w:r>
      <w:r w:rsidRPr="00D12088">
        <w:tab/>
        <w:t>Jin Y, Chen DL, Wang F, Yang CP, Chen XX, You JQ , et al. The predicting role of circulating tumor DNA landscape in gastric cancer patients treated with immune checkpoint inhibitors. Mol Cancer</w:t>
      </w:r>
      <w:r w:rsidRPr="00D12088">
        <w:rPr>
          <w:i/>
        </w:rPr>
        <w:t xml:space="preserve"> </w:t>
      </w:r>
      <w:r w:rsidRPr="00D12088">
        <w:t>2020; 19(1):154.</w:t>
      </w:r>
    </w:p>
    <w:p w:rsidR="00F44A17" w:rsidRPr="00890029" w:rsidRDefault="00F16F90" w:rsidP="00890029">
      <w:pPr>
        <w:spacing w:line="360" w:lineRule="auto"/>
        <w:rPr>
          <w:rFonts w:ascii="Times New Roman" w:hAnsi="Times New Roman" w:cs="Times New Roman"/>
          <w:szCs w:val="21"/>
        </w:rPr>
      </w:pPr>
      <w:r>
        <w:rPr>
          <w:rFonts w:ascii="Times New Roman" w:hAnsi="Times New Roman" w:cs="Times New Roman"/>
          <w:szCs w:val="21"/>
        </w:rPr>
        <w:fldChar w:fldCharType="end"/>
      </w:r>
    </w:p>
    <w:sectPr w:rsidR="00F44A17" w:rsidRPr="008900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4F8" w:rsidRDefault="009B74F8" w:rsidP="00F44A17">
      <w:r>
        <w:separator/>
      </w:r>
    </w:p>
  </w:endnote>
  <w:endnote w:type="continuationSeparator" w:id="0">
    <w:p w:rsidR="009B74F8" w:rsidRDefault="009B74F8" w:rsidP="00F4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4F8" w:rsidRDefault="009B74F8" w:rsidP="00F44A17">
      <w:r>
        <w:separator/>
      </w:r>
    </w:p>
  </w:footnote>
  <w:footnote w:type="continuationSeparator" w:id="0">
    <w:p w:rsidR="009B74F8" w:rsidRDefault="009B74F8" w:rsidP="00F44A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e0t5zr6rv5zneeestpztt39zt2at9e0tva&quot;&gt;我的EndNote库&lt;record-ids&gt;&lt;item&gt;104&lt;/item&gt;&lt;item&gt;105&lt;/item&gt;&lt;/record-ids&gt;&lt;/item&gt;&lt;/Libraries&gt;"/>
  </w:docVars>
  <w:rsids>
    <w:rsidRoot w:val="00546E77"/>
    <w:rsid w:val="000539BE"/>
    <w:rsid w:val="00066D54"/>
    <w:rsid w:val="00094445"/>
    <w:rsid w:val="00175943"/>
    <w:rsid w:val="00283346"/>
    <w:rsid w:val="0029595A"/>
    <w:rsid w:val="003028A8"/>
    <w:rsid w:val="00366682"/>
    <w:rsid w:val="00546E77"/>
    <w:rsid w:val="00637806"/>
    <w:rsid w:val="0068330F"/>
    <w:rsid w:val="00694808"/>
    <w:rsid w:val="006B4960"/>
    <w:rsid w:val="006E088A"/>
    <w:rsid w:val="0078631B"/>
    <w:rsid w:val="007B46C1"/>
    <w:rsid w:val="00890029"/>
    <w:rsid w:val="008E0515"/>
    <w:rsid w:val="009B74F8"/>
    <w:rsid w:val="00A251BA"/>
    <w:rsid w:val="00A507A5"/>
    <w:rsid w:val="00AF0F7E"/>
    <w:rsid w:val="00D02BF2"/>
    <w:rsid w:val="00D12088"/>
    <w:rsid w:val="00D616BD"/>
    <w:rsid w:val="00E06BBE"/>
    <w:rsid w:val="00F16F90"/>
    <w:rsid w:val="00F44A17"/>
    <w:rsid w:val="00FD2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B8DDB5-078D-4D7E-A882-15BFDDA4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A1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4A17"/>
    <w:rPr>
      <w:sz w:val="18"/>
      <w:szCs w:val="18"/>
    </w:rPr>
  </w:style>
  <w:style w:type="paragraph" w:styleId="a5">
    <w:name w:val="footer"/>
    <w:basedOn w:val="a"/>
    <w:link w:val="a6"/>
    <w:uiPriority w:val="99"/>
    <w:unhideWhenUsed/>
    <w:rsid w:val="00F44A17"/>
    <w:pPr>
      <w:tabs>
        <w:tab w:val="center" w:pos="4153"/>
        <w:tab w:val="right" w:pos="8306"/>
      </w:tabs>
      <w:snapToGrid w:val="0"/>
      <w:jc w:val="left"/>
    </w:pPr>
    <w:rPr>
      <w:sz w:val="18"/>
      <w:szCs w:val="18"/>
    </w:rPr>
  </w:style>
  <w:style w:type="character" w:customStyle="1" w:styleId="a6">
    <w:name w:val="页脚 字符"/>
    <w:basedOn w:val="a0"/>
    <w:link w:val="a5"/>
    <w:uiPriority w:val="99"/>
    <w:rsid w:val="00F44A17"/>
    <w:rPr>
      <w:sz w:val="18"/>
      <w:szCs w:val="18"/>
    </w:rPr>
  </w:style>
  <w:style w:type="character" w:customStyle="1" w:styleId="apple-converted-space">
    <w:name w:val="apple-converted-space"/>
    <w:basedOn w:val="a0"/>
    <w:rsid w:val="00F44A17"/>
  </w:style>
  <w:style w:type="paragraph" w:customStyle="1" w:styleId="EndNoteBibliographyTitle">
    <w:name w:val="EndNote Bibliography Title"/>
    <w:basedOn w:val="a"/>
    <w:link w:val="EndNoteBibliographyTitle0"/>
    <w:rsid w:val="00FD25F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D25F8"/>
    <w:rPr>
      <w:rFonts w:ascii="等线" w:eastAsia="等线" w:hAnsi="等线"/>
      <w:noProof/>
      <w:sz w:val="20"/>
    </w:rPr>
  </w:style>
  <w:style w:type="paragraph" w:customStyle="1" w:styleId="EndNoteBibliography">
    <w:name w:val="EndNote Bibliography"/>
    <w:basedOn w:val="a"/>
    <w:link w:val="EndNoteBibliography0"/>
    <w:rsid w:val="00FD25F8"/>
    <w:rPr>
      <w:rFonts w:ascii="等线" w:eastAsia="等线" w:hAnsi="等线"/>
      <w:noProof/>
      <w:sz w:val="20"/>
    </w:rPr>
  </w:style>
  <w:style w:type="character" w:customStyle="1" w:styleId="EndNoteBibliography0">
    <w:name w:val="EndNote Bibliography 字符"/>
    <w:basedOn w:val="a0"/>
    <w:link w:val="EndNoteBibliography"/>
    <w:rsid w:val="00FD25F8"/>
    <w:rPr>
      <w:rFonts w:ascii="等线" w:eastAsia="等线" w:hAnsi="等线"/>
      <w:noProof/>
      <w:sz w:val="20"/>
    </w:rPr>
  </w:style>
  <w:style w:type="character" w:styleId="a7">
    <w:name w:val="Emphasis"/>
    <w:basedOn w:val="a0"/>
    <w:uiPriority w:val="20"/>
    <w:qFormat/>
    <w:rsid w:val="00D02B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CDL</dc:creator>
  <cp:keywords/>
  <dc:description/>
  <cp:lastModifiedBy>CDL</cp:lastModifiedBy>
  <cp:revision>16</cp:revision>
  <dcterms:created xsi:type="dcterms:W3CDTF">2021-09-25T09:23:00Z</dcterms:created>
  <dcterms:modified xsi:type="dcterms:W3CDTF">2021-10-03T15:48:00Z</dcterms:modified>
</cp:coreProperties>
</file>