
<file path=[Content_Types].xml><?xml version="1.0" encoding="utf-8"?>
<Types xmlns="http://schemas.openxmlformats.org/package/2006/content-types">
  <Default Extension="png" ContentType="image/png"/>
  <Default Extension="pdf" ContentType="application/pd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586B2" w14:textId="4AABF220" w:rsidR="00A0324D" w:rsidRPr="00A0324D" w:rsidRDefault="00A0324D" w:rsidP="00EF0058">
      <w:pPr>
        <w:widowControl w:val="0"/>
        <w:spacing w:line="480" w:lineRule="auto"/>
        <w:jc w:val="both"/>
        <w:rPr>
          <w:rFonts w:ascii="Avenir Book" w:hAnsi="Avenir Book"/>
          <w:b/>
          <w:color w:val="000000" w:themeColor="text1"/>
          <w:sz w:val="18"/>
          <w:szCs w:val="18"/>
          <w:shd w:val="clear" w:color="auto" w:fill="FFFFFF"/>
        </w:rPr>
      </w:pPr>
      <w:r w:rsidRPr="00A0324D">
        <w:rPr>
          <w:rFonts w:ascii="Avenir Book" w:hAnsi="Avenir Book"/>
          <w:b/>
          <w:color w:val="000000" w:themeColor="text1"/>
          <w:sz w:val="18"/>
          <w:szCs w:val="18"/>
          <w:shd w:val="clear" w:color="auto" w:fill="FFFFFF"/>
        </w:rPr>
        <w:t xml:space="preserve">Supplementary Table 1. Summary of patients with multiple normal samples. </w:t>
      </w:r>
      <w:r w:rsidRPr="00A0324D">
        <w:rPr>
          <w:rFonts w:ascii="Avenir Book" w:hAnsi="Avenir Book"/>
          <w:iCs/>
          <w:sz w:val="18"/>
          <w:szCs w:val="18"/>
          <w:lang w:val="en-US"/>
        </w:rPr>
        <w:t xml:space="preserve">Patients 0006, 0007 and 0008 have multiple samples from non-BPH normal and </w:t>
      </w:r>
      <w:proofErr w:type="spellStart"/>
      <w:r w:rsidRPr="00A0324D">
        <w:rPr>
          <w:rFonts w:ascii="Avenir Book" w:hAnsi="Avenir Book"/>
          <w:iCs/>
          <w:sz w:val="18"/>
          <w:szCs w:val="18"/>
          <w:lang w:val="en-US"/>
        </w:rPr>
        <w:t>tumour</w:t>
      </w:r>
      <w:proofErr w:type="spellEnd"/>
      <w:r w:rsidRPr="00A0324D">
        <w:rPr>
          <w:rFonts w:ascii="Avenir Book" w:hAnsi="Avenir Book"/>
          <w:iCs/>
          <w:sz w:val="18"/>
          <w:szCs w:val="18"/>
          <w:lang w:val="en-US"/>
        </w:rPr>
        <w:t xml:space="preserve"> tissue and patients 0065, 0073 and 0077 have a sample from non-BPH and BPH normal tissue.</w:t>
      </w:r>
    </w:p>
    <w:tbl>
      <w:tblPr>
        <w:tblW w:w="5245" w:type="dxa"/>
        <w:tblBorders>
          <w:bottom w:val="single" w:sz="4" w:space="0" w:color="auto"/>
        </w:tblBorders>
        <w:tblLook w:val="04A0" w:firstRow="1" w:lastRow="0" w:firstColumn="1" w:lastColumn="0" w:noHBand="0" w:noVBand="1"/>
      </w:tblPr>
      <w:tblGrid>
        <w:gridCol w:w="1300"/>
        <w:gridCol w:w="2160"/>
        <w:gridCol w:w="1785"/>
      </w:tblGrid>
      <w:tr w:rsidR="00A0324D" w:rsidRPr="00A0324D" w14:paraId="6C4CC3B9" w14:textId="77777777" w:rsidTr="00A0324D">
        <w:trPr>
          <w:trHeight w:val="680"/>
        </w:trPr>
        <w:tc>
          <w:tcPr>
            <w:tcW w:w="1300" w:type="dxa"/>
            <w:tcBorders>
              <w:bottom w:val="single" w:sz="4" w:space="0" w:color="auto"/>
            </w:tcBorders>
            <w:shd w:val="clear" w:color="auto" w:fill="auto"/>
            <w:noWrap/>
            <w:vAlign w:val="bottom"/>
            <w:hideMark/>
          </w:tcPr>
          <w:p w14:paraId="411D4FB4" w14:textId="77777777" w:rsidR="00A0324D" w:rsidRPr="00A0324D" w:rsidRDefault="00A0324D" w:rsidP="00EF0058">
            <w:pPr>
              <w:widowControl w:val="0"/>
              <w:jc w:val="center"/>
              <w:rPr>
                <w:rFonts w:ascii="Avenir Book" w:hAnsi="Avenir Book"/>
                <w:b/>
                <w:bCs/>
                <w:color w:val="000000"/>
                <w:sz w:val="21"/>
                <w:szCs w:val="21"/>
              </w:rPr>
            </w:pPr>
            <w:r w:rsidRPr="00A0324D">
              <w:rPr>
                <w:rFonts w:ascii="Avenir Book" w:hAnsi="Avenir Book"/>
                <w:b/>
                <w:bCs/>
                <w:color w:val="000000"/>
                <w:sz w:val="21"/>
                <w:szCs w:val="21"/>
              </w:rPr>
              <w:t>Patient</w:t>
            </w:r>
          </w:p>
        </w:tc>
        <w:tc>
          <w:tcPr>
            <w:tcW w:w="2160" w:type="dxa"/>
            <w:tcBorders>
              <w:bottom w:val="single" w:sz="4" w:space="0" w:color="auto"/>
            </w:tcBorders>
            <w:shd w:val="clear" w:color="auto" w:fill="auto"/>
            <w:noWrap/>
            <w:vAlign w:val="bottom"/>
            <w:hideMark/>
          </w:tcPr>
          <w:p w14:paraId="1C877B98" w14:textId="77777777" w:rsidR="00A0324D" w:rsidRPr="00A0324D" w:rsidRDefault="00A0324D" w:rsidP="00EF0058">
            <w:pPr>
              <w:widowControl w:val="0"/>
              <w:jc w:val="center"/>
              <w:rPr>
                <w:rFonts w:ascii="Avenir Book" w:hAnsi="Avenir Book"/>
                <w:b/>
                <w:bCs/>
                <w:color w:val="000000"/>
                <w:sz w:val="21"/>
                <w:szCs w:val="21"/>
              </w:rPr>
            </w:pPr>
            <w:r w:rsidRPr="00A0324D">
              <w:rPr>
                <w:rFonts w:ascii="Avenir Book" w:hAnsi="Avenir Book"/>
                <w:b/>
                <w:bCs/>
                <w:color w:val="000000"/>
                <w:sz w:val="21"/>
                <w:szCs w:val="21"/>
              </w:rPr>
              <w:t>Sample type</w:t>
            </w:r>
          </w:p>
        </w:tc>
        <w:tc>
          <w:tcPr>
            <w:tcW w:w="1785" w:type="dxa"/>
            <w:tcBorders>
              <w:bottom w:val="single" w:sz="4" w:space="0" w:color="auto"/>
            </w:tcBorders>
            <w:shd w:val="clear" w:color="auto" w:fill="auto"/>
            <w:vAlign w:val="bottom"/>
            <w:hideMark/>
          </w:tcPr>
          <w:p w14:paraId="149D2979" w14:textId="77777777" w:rsidR="00A0324D" w:rsidRPr="00A0324D" w:rsidRDefault="00A0324D" w:rsidP="00EF0058">
            <w:pPr>
              <w:widowControl w:val="0"/>
              <w:jc w:val="center"/>
              <w:rPr>
                <w:rFonts w:ascii="Avenir Book" w:hAnsi="Avenir Book"/>
                <w:b/>
                <w:bCs/>
                <w:color w:val="000000"/>
                <w:sz w:val="21"/>
                <w:szCs w:val="21"/>
              </w:rPr>
            </w:pPr>
            <w:r w:rsidRPr="00A0324D">
              <w:rPr>
                <w:rFonts w:ascii="Avenir Book" w:hAnsi="Avenir Book"/>
                <w:b/>
                <w:bCs/>
                <w:color w:val="000000"/>
                <w:sz w:val="21"/>
                <w:szCs w:val="21"/>
              </w:rPr>
              <w:t>Number of samples</w:t>
            </w:r>
          </w:p>
        </w:tc>
      </w:tr>
      <w:tr w:rsidR="00A0324D" w:rsidRPr="00A0324D" w14:paraId="69D051DA" w14:textId="77777777" w:rsidTr="00A0324D">
        <w:trPr>
          <w:trHeight w:val="320"/>
        </w:trPr>
        <w:tc>
          <w:tcPr>
            <w:tcW w:w="1300" w:type="dxa"/>
            <w:tcBorders>
              <w:top w:val="single" w:sz="4" w:space="0" w:color="auto"/>
            </w:tcBorders>
            <w:shd w:val="clear" w:color="auto" w:fill="auto"/>
            <w:noWrap/>
            <w:vAlign w:val="bottom"/>
            <w:hideMark/>
          </w:tcPr>
          <w:p w14:paraId="57FD75F5"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0006</w:t>
            </w:r>
          </w:p>
        </w:tc>
        <w:tc>
          <w:tcPr>
            <w:tcW w:w="2160" w:type="dxa"/>
            <w:tcBorders>
              <w:top w:val="single" w:sz="4" w:space="0" w:color="auto"/>
            </w:tcBorders>
            <w:shd w:val="clear" w:color="auto" w:fill="auto"/>
            <w:noWrap/>
            <w:vAlign w:val="bottom"/>
            <w:hideMark/>
          </w:tcPr>
          <w:p w14:paraId="31A32B9F"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Tumour</w:t>
            </w:r>
          </w:p>
        </w:tc>
        <w:tc>
          <w:tcPr>
            <w:tcW w:w="1785" w:type="dxa"/>
            <w:tcBorders>
              <w:top w:val="single" w:sz="4" w:space="0" w:color="auto"/>
            </w:tcBorders>
            <w:shd w:val="clear" w:color="auto" w:fill="auto"/>
            <w:noWrap/>
            <w:vAlign w:val="bottom"/>
            <w:hideMark/>
          </w:tcPr>
          <w:p w14:paraId="5BCD30A7"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4</w:t>
            </w:r>
          </w:p>
        </w:tc>
      </w:tr>
      <w:tr w:rsidR="00A0324D" w:rsidRPr="00A0324D" w14:paraId="4C5C5B58" w14:textId="77777777" w:rsidTr="00A0324D">
        <w:trPr>
          <w:trHeight w:val="320"/>
        </w:trPr>
        <w:tc>
          <w:tcPr>
            <w:tcW w:w="1300" w:type="dxa"/>
            <w:shd w:val="clear" w:color="auto" w:fill="auto"/>
            <w:noWrap/>
            <w:vAlign w:val="bottom"/>
            <w:hideMark/>
          </w:tcPr>
          <w:p w14:paraId="77E11A91"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 </w:t>
            </w:r>
          </w:p>
        </w:tc>
        <w:tc>
          <w:tcPr>
            <w:tcW w:w="2160" w:type="dxa"/>
            <w:shd w:val="clear" w:color="auto" w:fill="auto"/>
            <w:noWrap/>
            <w:vAlign w:val="bottom"/>
            <w:hideMark/>
          </w:tcPr>
          <w:p w14:paraId="11C52EFB"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Non-BPH normal</w:t>
            </w:r>
          </w:p>
        </w:tc>
        <w:tc>
          <w:tcPr>
            <w:tcW w:w="1785" w:type="dxa"/>
            <w:shd w:val="clear" w:color="auto" w:fill="auto"/>
            <w:noWrap/>
            <w:vAlign w:val="bottom"/>
            <w:hideMark/>
          </w:tcPr>
          <w:p w14:paraId="54A801DD"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3</w:t>
            </w:r>
          </w:p>
        </w:tc>
      </w:tr>
      <w:tr w:rsidR="00A0324D" w:rsidRPr="00A0324D" w14:paraId="781B8172" w14:textId="77777777" w:rsidTr="00A0324D">
        <w:trPr>
          <w:trHeight w:val="320"/>
        </w:trPr>
        <w:tc>
          <w:tcPr>
            <w:tcW w:w="1300" w:type="dxa"/>
            <w:shd w:val="clear" w:color="auto" w:fill="D9D9D9" w:themeFill="background1" w:themeFillShade="D9"/>
            <w:noWrap/>
            <w:vAlign w:val="bottom"/>
            <w:hideMark/>
          </w:tcPr>
          <w:p w14:paraId="0E291391"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0007</w:t>
            </w:r>
          </w:p>
        </w:tc>
        <w:tc>
          <w:tcPr>
            <w:tcW w:w="2160" w:type="dxa"/>
            <w:shd w:val="clear" w:color="auto" w:fill="D9D9D9" w:themeFill="background1" w:themeFillShade="D9"/>
            <w:noWrap/>
            <w:vAlign w:val="bottom"/>
            <w:hideMark/>
          </w:tcPr>
          <w:p w14:paraId="58E057EC"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Tumour</w:t>
            </w:r>
          </w:p>
        </w:tc>
        <w:tc>
          <w:tcPr>
            <w:tcW w:w="1785" w:type="dxa"/>
            <w:shd w:val="clear" w:color="auto" w:fill="D9D9D9" w:themeFill="background1" w:themeFillShade="D9"/>
            <w:noWrap/>
            <w:vAlign w:val="bottom"/>
            <w:hideMark/>
          </w:tcPr>
          <w:p w14:paraId="3199E60E"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5</w:t>
            </w:r>
          </w:p>
        </w:tc>
      </w:tr>
      <w:tr w:rsidR="00A0324D" w:rsidRPr="00A0324D" w14:paraId="287438A9" w14:textId="77777777" w:rsidTr="00A0324D">
        <w:trPr>
          <w:trHeight w:val="320"/>
        </w:trPr>
        <w:tc>
          <w:tcPr>
            <w:tcW w:w="1300" w:type="dxa"/>
            <w:shd w:val="clear" w:color="auto" w:fill="D9D9D9" w:themeFill="background1" w:themeFillShade="D9"/>
            <w:noWrap/>
            <w:vAlign w:val="bottom"/>
            <w:hideMark/>
          </w:tcPr>
          <w:p w14:paraId="5241F4DD"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 </w:t>
            </w:r>
          </w:p>
        </w:tc>
        <w:tc>
          <w:tcPr>
            <w:tcW w:w="2160" w:type="dxa"/>
            <w:shd w:val="clear" w:color="auto" w:fill="D9D9D9" w:themeFill="background1" w:themeFillShade="D9"/>
            <w:noWrap/>
            <w:vAlign w:val="bottom"/>
            <w:hideMark/>
          </w:tcPr>
          <w:p w14:paraId="475BA544"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Non-BPH normal</w:t>
            </w:r>
          </w:p>
        </w:tc>
        <w:tc>
          <w:tcPr>
            <w:tcW w:w="1785" w:type="dxa"/>
            <w:shd w:val="clear" w:color="auto" w:fill="D9D9D9" w:themeFill="background1" w:themeFillShade="D9"/>
            <w:noWrap/>
            <w:vAlign w:val="bottom"/>
            <w:hideMark/>
          </w:tcPr>
          <w:p w14:paraId="21DFF985"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3</w:t>
            </w:r>
          </w:p>
        </w:tc>
      </w:tr>
      <w:tr w:rsidR="00A0324D" w:rsidRPr="00A0324D" w14:paraId="5722DA37" w14:textId="77777777" w:rsidTr="00A0324D">
        <w:trPr>
          <w:trHeight w:val="320"/>
        </w:trPr>
        <w:tc>
          <w:tcPr>
            <w:tcW w:w="1300" w:type="dxa"/>
            <w:shd w:val="clear" w:color="auto" w:fill="auto"/>
            <w:noWrap/>
            <w:vAlign w:val="bottom"/>
            <w:hideMark/>
          </w:tcPr>
          <w:p w14:paraId="0DAE80F7"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0008</w:t>
            </w:r>
          </w:p>
        </w:tc>
        <w:tc>
          <w:tcPr>
            <w:tcW w:w="2160" w:type="dxa"/>
            <w:shd w:val="clear" w:color="auto" w:fill="auto"/>
            <w:noWrap/>
            <w:vAlign w:val="bottom"/>
            <w:hideMark/>
          </w:tcPr>
          <w:p w14:paraId="7A9647D6"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Tumour</w:t>
            </w:r>
          </w:p>
        </w:tc>
        <w:tc>
          <w:tcPr>
            <w:tcW w:w="1785" w:type="dxa"/>
            <w:shd w:val="clear" w:color="auto" w:fill="auto"/>
            <w:noWrap/>
            <w:vAlign w:val="bottom"/>
            <w:hideMark/>
          </w:tcPr>
          <w:p w14:paraId="724EE136"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3</w:t>
            </w:r>
          </w:p>
        </w:tc>
      </w:tr>
      <w:tr w:rsidR="00A0324D" w:rsidRPr="00A0324D" w14:paraId="5B332EA7" w14:textId="77777777" w:rsidTr="00A0324D">
        <w:trPr>
          <w:trHeight w:val="320"/>
        </w:trPr>
        <w:tc>
          <w:tcPr>
            <w:tcW w:w="1300" w:type="dxa"/>
            <w:shd w:val="clear" w:color="auto" w:fill="auto"/>
            <w:noWrap/>
            <w:vAlign w:val="bottom"/>
            <w:hideMark/>
          </w:tcPr>
          <w:p w14:paraId="6F1A44B9"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 </w:t>
            </w:r>
          </w:p>
        </w:tc>
        <w:tc>
          <w:tcPr>
            <w:tcW w:w="2160" w:type="dxa"/>
            <w:shd w:val="clear" w:color="auto" w:fill="auto"/>
            <w:noWrap/>
            <w:vAlign w:val="bottom"/>
            <w:hideMark/>
          </w:tcPr>
          <w:p w14:paraId="5DCB57C1"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Non-BPH normal</w:t>
            </w:r>
          </w:p>
        </w:tc>
        <w:tc>
          <w:tcPr>
            <w:tcW w:w="1785" w:type="dxa"/>
            <w:shd w:val="clear" w:color="auto" w:fill="auto"/>
            <w:noWrap/>
            <w:vAlign w:val="bottom"/>
            <w:hideMark/>
          </w:tcPr>
          <w:p w14:paraId="5CF26C57"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3</w:t>
            </w:r>
          </w:p>
        </w:tc>
      </w:tr>
      <w:tr w:rsidR="00A0324D" w:rsidRPr="00A0324D" w14:paraId="3F82A0AD" w14:textId="77777777" w:rsidTr="00A0324D">
        <w:trPr>
          <w:trHeight w:val="320"/>
        </w:trPr>
        <w:tc>
          <w:tcPr>
            <w:tcW w:w="1300" w:type="dxa"/>
            <w:shd w:val="clear" w:color="auto" w:fill="D9D9D9" w:themeFill="background1" w:themeFillShade="D9"/>
            <w:noWrap/>
            <w:vAlign w:val="bottom"/>
            <w:hideMark/>
          </w:tcPr>
          <w:p w14:paraId="5591AFD5"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0065</w:t>
            </w:r>
          </w:p>
        </w:tc>
        <w:tc>
          <w:tcPr>
            <w:tcW w:w="2160" w:type="dxa"/>
            <w:shd w:val="clear" w:color="auto" w:fill="D9D9D9" w:themeFill="background1" w:themeFillShade="D9"/>
            <w:noWrap/>
            <w:vAlign w:val="bottom"/>
            <w:hideMark/>
          </w:tcPr>
          <w:p w14:paraId="51135F2F"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Non-BPH normal</w:t>
            </w:r>
          </w:p>
        </w:tc>
        <w:tc>
          <w:tcPr>
            <w:tcW w:w="1785" w:type="dxa"/>
            <w:shd w:val="clear" w:color="auto" w:fill="D9D9D9" w:themeFill="background1" w:themeFillShade="D9"/>
            <w:noWrap/>
            <w:vAlign w:val="bottom"/>
            <w:hideMark/>
          </w:tcPr>
          <w:p w14:paraId="6F3781FC"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1</w:t>
            </w:r>
          </w:p>
        </w:tc>
      </w:tr>
      <w:tr w:rsidR="00A0324D" w:rsidRPr="00A0324D" w14:paraId="009E947D" w14:textId="77777777" w:rsidTr="00A0324D">
        <w:trPr>
          <w:trHeight w:val="320"/>
        </w:trPr>
        <w:tc>
          <w:tcPr>
            <w:tcW w:w="1300" w:type="dxa"/>
            <w:shd w:val="clear" w:color="auto" w:fill="D9D9D9" w:themeFill="background1" w:themeFillShade="D9"/>
            <w:noWrap/>
            <w:vAlign w:val="bottom"/>
            <w:hideMark/>
          </w:tcPr>
          <w:p w14:paraId="115AD7B4"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 </w:t>
            </w:r>
          </w:p>
        </w:tc>
        <w:tc>
          <w:tcPr>
            <w:tcW w:w="2160" w:type="dxa"/>
            <w:shd w:val="clear" w:color="auto" w:fill="D9D9D9" w:themeFill="background1" w:themeFillShade="D9"/>
            <w:noWrap/>
            <w:vAlign w:val="bottom"/>
            <w:hideMark/>
          </w:tcPr>
          <w:p w14:paraId="6511D979"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BPH normal</w:t>
            </w:r>
          </w:p>
        </w:tc>
        <w:tc>
          <w:tcPr>
            <w:tcW w:w="1785" w:type="dxa"/>
            <w:shd w:val="clear" w:color="auto" w:fill="D9D9D9" w:themeFill="background1" w:themeFillShade="D9"/>
            <w:noWrap/>
            <w:vAlign w:val="bottom"/>
            <w:hideMark/>
          </w:tcPr>
          <w:p w14:paraId="78D0E2ED"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1</w:t>
            </w:r>
          </w:p>
        </w:tc>
      </w:tr>
      <w:tr w:rsidR="00A0324D" w:rsidRPr="00A0324D" w14:paraId="390E1D70" w14:textId="77777777" w:rsidTr="00A0324D">
        <w:trPr>
          <w:trHeight w:val="320"/>
        </w:trPr>
        <w:tc>
          <w:tcPr>
            <w:tcW w:w="1300" w:type="dxa"/>
            <w:shd w:val="clear" w:color="auto" w:fill="auto"/>
            <w:noWrap/>
            <w:vAlign w:val="bottom"/>
            <w:hideMark/>
          </w:tcPr>
          <w:p w14:paraId="5EB33296"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0073</w:t>
            </w:r>
          </w:p>
        </w:tc>
        <w:tc>
          <w:tcPr>
            <w:tcW w:w="2160" w:type="dxa"/>
            <w:shd w:val="clear" w:color="auto" w:fill="auto"/>
            <w:noWrap/>
            <w:vAlign w:val="bottom"/>
            <w:hideMark/>
          </w:tcPr>
          <w:p w14:paraId="1BA880A8"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Non-BPH normal</w:t>
            </w:r>
          </w:p>
        </w:tc>
        <w:tc>
          <w:tcPr>
            <w:tcW w:w="1785" w:type="dxa"/>
            <w:shd w:val="clear" w:color="auto" w:fill="auto"/>
            <w:noWrap/>
            <w:vAlign w:val="bottom"/>
            <w:hideMark/>
          </w:tcPr>
          <w:p w14:paraId="2A5C7C02"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1</w:t>
            </w:r>
          </w:p>
        </w:tc>
      </w:tr>
      <w:tr w:rsidR="00A0324D" w:rsidRPr="00A0324D" w14:paraId="50B98FE4" w14:textId="77777777" w:rsidTr="00A0324D">
        <w:trPr>
          <w:trHeight w:val="320"/>
        </w:trPr>
        <w:tc>
          <w:tcPr>
            <w:tcW w:w="1300" w:type="dxa"/>
            <w:shd w:val="clear" w:color="auto" w:fill="auto"/>
            <w:noWrap/>
            <w:vAlign w:val="bottom"/>
            <w:hideMark/>
          </w:tcPr>
          <w:p w14:paraId="6D8C1AD1"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 </w:t>
            </w:r>
          </w:p>
        </w:tc>
        <w:tc>
          <w:tcPr>
            <w:tcW w:w="2160" w:type="dxa"/>
            <w:shd w:val="clear" w:color="auto" w:fill="auto"/>
            <w:noWrap/>
            <w:vAlign w:val="bottom"/>
            <w:hideMark/>
          </w:tcPr>
          <w:p w14:paraId="32EDA88E"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BPH normal</w:t>
            </w:r>
          </w:p>
        </w:tc>
        <w:tc>
          <w:tcPr>
            <w:tcW w:w="1785" w:type="dxa"/>
            <w:shd w:val="clear" w:color="auto" w:fill="auto"/>
            <w:noWrap/>
            <w:vAlign w:val="bottom"/>
            <w:hideMark/>
          </w:tcPr>
          <w:p w14:paraId="62682753"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1</w:t>
            </w:r>
          </w:p>
        </w:tc>
      </w:tr>
      <w:tr w:rsidR="00A0324D" w:rsidRPr="00A0324D" w14:paraId="601D0988" w14:textId="77777777" w:rsidTr="00A0324D">
        <w:trPr>
          <w:trHeight w:val="320"/>
        </w:trPr>
        <w:tc>
          <w:tcPr>
            <w:tcW w:w="1300" w:type="dxa"/>
            <w:shd w:val="clear" w:color="auto" w:fill="D9D9D9" w:themeFill="background1" w:themeFillShade="D9"/>
            <w:noWrap/>
            <w:vAlign w:val="bottom"/>
            <w:hideMark/>
          </w:tcPr>
          <w:p w14:paraId="79D1F784"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0077</w:t>
            </w:r>
          </w:p>
        </w:tc>
        <w:tc>
          <w:tcPr>
            <w:tcW w:w="2160" w:type="dxa"/>
            <w:shd w:val="clear" w:color="auto" w:fill="D9D9D9" w:themeFill="background1" w:themeFillShade="D9"/>
            <w:noWrap/>
            <w:vAlign w:val="bottom"/>
            <w:hideMark/>
          </w:tcPr>
          <w:p w14:paraId="07116D0E"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Non-BPH normal</w:t>
            </w:r>
          </w:p>
        </w:tc>
        <w:tc>
          <w:tcPr>
            <w:tcW w:w="1785" w:type="dxa"/>
            <w:shd w:val="clear" w:color="auto" w:fill="D9D9D9" w:themeFill="background1" w:themeFillShade="D9"/>
            <w:noWrap/>
            <w:vAlign w:val="bottom"/>
            <w:hideMark/>
          </w:tcPr>
          <w:p w14:paraId="42916D5B"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1</w:t>
            </w:r>
          </w:p>
        </w:tc>
      </w:tr>
      <w:tr w:rsidR="00A0324D" w:rsidRPr="00A0324D" w14:paraId="45F7E996" w14:textId="77777777" w:rsidTr="00A0324D">
        <w:trPr>
          <w:trHeight w:val="320"/>
        </w:trPr>
        <w:tc>
          <w:tcPr>
            <w:tcW w:w="1300" w:type="dxa"/>
            <w:shd w:val="clear" w:color="auto" w:fill="D9D9D9" w:themeFill="background1" w:themeFillShade="D9"/>
            <w:noWrap/>
            <w:vAlign w:val="bottom"/>
            <w:hideMark/>
          </w:tcPr>
          <w:p w14:paraId="55039F90"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 </w:t>
            </w:r>
          </w:p>
        </w:tc>
        <w:tc>
          <w:tcPr>
            <w:tcW w:w="2160" w:type="dxa"/>
            <w:shd w:val="clear" w:color="auto" w:fill="D9D9D9" w:themeFill="background1" w:themeFillShade="D9"/>
            <w:noWrap/>
            <w:vAlign w:val="bottom"/>
            <w:hideMark/>
          </w:tcPr>
          <w:p w14:paraId="070D4C81"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BPH normal</w:t>
            </w:r>
          </w:p>
        </w:tc>
        <w:tc>
          <w:tcPr>
            <w:tcW w:w="1785" w:type="dxa"/>
            <w:shd w:val="clear" w:color="auto" w:fill="D9D9D9" w:themeFill="background1" w:themeFillShade="D9"/>
            <w:noWrap/>
            <w:vAlign w:val="bottom"/>
            <w:hideMark/>
          </w:tcPr>
          <w:p w14:paraId="243CA7A3" w14:textId="77777777" w:rsidR="00A0324D" w:rsidRPr="00A0324D" w:rsidRDefault="00A0324D" w:rsidP="00EF0058">
            <w:pPr>
              <w:widowControl w:val="0"/>
              <w:jc w:val="center"/>
              <w:rPr>
                <w:rFonts w:ascii="Avenir Book" w:hAnsi="Avenir Book"/>
                <w:color w:val="000000"/>
                <w:sz w:val="21"/>
                <w:szCs w:val="21"/>
              </w:rPr>
            </w:pPr>
            <w:r w:rsidRPr="00A0324D">
              <w:rPr>
                <w:rFonts w:ascii="Avenir Book" w:hAnsi="Avenir Book"/>
                <w:color w:val="000000"/>
                <w:sz w:val="21"/>
                <w:szCs w:val="21"/>
              </w:rPr>
              <w:t>1</w:t>
            </w:r>
          </w:p>
        </w:tc>
      </w:tr>
    </w:tbl>
    <w:p w14:paraId="64636BC9" w14:textId="573B203D" w:rsidR="005F4EF9" w:rsidRDefault="005F4EF9" w:rsidP="00EF0058">
      <w:pPr>
        <w:pStyle w:val="Caption"/>
        <w:widowControl w:val="0"/>
        <w:spacing w:line="480" w:lineRule="auto"/>
        <w:rPr>
          <w:rFonts w:ascii="Times New Roman" w:hAnsi="Times New Roman" w:cs="Times New Roman"/>
          <w:b/>
          <w:i w:val="0"/>
          <w:color w:val="000000" w:themeColor="text1"/>
          <w:sz w:val="20"/>
          <w:szCs w:val="20"/>
        </w:rPr>
      </w:pPr>
    </w:p>
    <w:p w14:paraId="1250B89A" w14:textId="3DC6A9C3" w:rsidR="00206B5F" w:rsidRDefault="00206B5F" w:rsidP="00EF0058">
      <w:pPr>
        <w:widowControl w:val="0"/>
      </w:pPr>
    </w:p>
    <w:p w14:paraId="096B7210" w14:textId="6912F259" w:rsidR="00206B5F" w:rsidRPr="00206B5F" w:rsidRDefault="00206B5F" w:rsidP="00EF0058">
      <w:pPr>
        <w:widowControl w:val="0"/>
        <w:rPr>
          <w:rFonts w:ascii="Avenir Book" w:hAnsi="Avenir Book"/>
          <w:b/>
          <w:bCs/>
          <w:sz w:val="18"/>
          <w:szCs w:val="18"/>
        </w:rPr>
      </w:pPr>
      <w:r w:rsidRPr="00206B5F">
        <w:rPr>
          <w:rFonts w:ascii="Avenir Book" w:hAnsi="Avenir Book"/>
          <w:b/>
          <w:bCs/>
          <w:sz w:val="18"/>
          <w:szCs w:val="18"/>
        </w:rPr>
        <w:t>Supplementary Table 2. The number of mutations in common between normal samples from the same donor.</w:t>
      </w:r>
    </w:p>
    <w:p w14:paraId="55084575" w14:textId="77777777" w:rsidR="00206B5F" w:rsidRPr="00206B5F" w:rsidRDefault="00206B5F" w:rsidP="00EF0058">
      <w:pPr>
        <w:widowControl w:val="0"/>
      </w:pPr>
    </w:p>
    <w:tbl>
      <w:tblPr>
        <w:tblW w:w="6500" w:type="dxa"/>
        <w:tblLook w:val="04A0" w:firstRow="1" w:lastRow="0" w:firstColumn="1" w:lastColumn="0" w:noHBand="0" w:noVBand="1"/>
      </w:tblPr>
      <w:tblGrid>
        <w:gridCol w:w="1300"/>
        <w:gridCol w:w="1300"/>
        <w:gridCol w:w="1300"/>
        <w:gridCol w:w="1300"/>
        <w:gridCol w:w="1300"/>
      </w:tblGrid>
      <w:tr w:rsidR="00206B5F" w:rsidRPr="00206B5F" w14:paraId="7CBA927E" w14:textId="77777777" w:rsidTr="00206B5F">
        <w:trPr>
          <w:trHeight w:val="340"/>
        </w:trPr>
        <w:tc>
          <w:tcPr>
            <w:tcW w:w="1300" w:type="dxa"/>
            <w:tcBorders>
              <w:top w:val="nil"/>
              <w:left w:val="nil"/>
              <w:bottom w:val="single" w:sz="4" w:space="0" w:color="auto"/>
              <w:right w:val="nil"/>
            </w:tcBorders>
            <w:shd w:val="clear" w:color="auto" w:fill="auto"/>
            <w:noWrap/>
            <w:vAlign w:val="bottom"/>
            <w:hideMark/>
          </w:tcPr>
          <w:p w14:paraId="15FBEB81" w14:textId="77777777" w:rsidR="00206B5F" w:rsidRPr="00206B5F" w:rsidRDefault="00206B5F" w:rsidP="00EF0058">
            <w:pPr>
              <w:widowControl w:val="0"/>
              <w:jc w:val="right"/>
              <w:rPr>
                <w:rFonts w:ascii="Avenir Book" w:eastAsia="Times New Roman" w:hAnsi="Avenir Book" w:cs="Calibri"/>
                <w:b/>
                <w:bCs/>
                <w:color w:val="000000"/>
                <w:sz w:val="21"/>
                <w:szCs w:val="21"/>
                <w:lang w:eastAsia="en-GB"/>
              </w:rPr>
            </w:pPr>
            <w:bookmarkStart w:id="0" w:name="_Toc50814431"/>
            <w:bookmarkStart w:id="1" w:name="_Toc51337513"/>
            <w:bookmarkStart w:id="2" w:name="_Toc51338595"/>
            <w:bookmarkStart w:id="3" w:name="_Toc51510651"/>
            <w:bookmarkStart w:id="4" w:name="_Toc51992250"/>
            <w:bookmarkStart w:id="5" w:name="_Toc52349488"/>
            <w:bookmarkStart w:id="6" w:name="_Toc52349706"/>
            <w:bookmarkStart w:id="7" w:name="_Toc52349832"/>
            <w:bookmarkStart w:id="8" w:name="_Toc52350985"/>
            <w:r w:rsidRPr="00206B5F">
              <w:rPr>
                <w:rFonts w:ascii="Avenir Book" w:eastAsia="Times New Roman" w:hAnsi="Avenir Book" w:cs="Calibri"/>
                <w:b/>
                <w:bCs/>
                <w:color w:val="000000"/>
                <w:sz w:val="21"/>
                <w:szCs w:val="21"/>
                <w:lang w:eastAsia="en-GB"/>
              </w:rPr>
              <w:t>Donor</w:t>
            </w:r>
          </w:p>
        </w:tc>
        <w:tc>
          <w:tcPr>
            <w:tcW w:w="1300" w:type="dxa"/>
            <w:tcBorders>
              <w:top w:val="nil"/>
              <w:left w:val="nil"/>
              <w:bottom w:val="single" w:sz="4" w:space="0" w:color="auto"/>
              <w:right w:val="nil"/>
            </w:tcBorders>
            <w:shd w:val="clear" w:color="auto" w:fill="auto"/>
            <w:noWrap/>
            <w:vAlign w:val="bottom"/>
            <w:hideMark/>
          </w:tcPr>
          <w:p w14:paraId="7C8679FE" w14:textId="77777777" w:rsidR="00206B5F" w:rsidRPr="00206B5F" w:rsidRDefault="00206B5F" w:rsidP="00EF0058">
            <w:pPr>
              <w:widowControl w:val="0"/>
              <w:jc w:val="center"/>
              <w:rPr>
                <w:rFonts w:ascii="Avenir Book" w:eastAsia="Times New Roman" w:hAnsi="Avenir Book" w:cs="Calibri"/>
                <w:b/>
                <w:bCs/>
                <w:color w:val="000000"/>
                <w:sz w:val="21"/>
                <w:szCs w:val="21"/>
                <w:lang w:eastAsia="en-GB"/>
              </w:rPr>
            </w:pPr>
            <w:r w:rsidRPr="00206B5F">
              <w:rPr>
                <w:rFonts w:ascii="Avenir Book" w:eastAsia="Times New Roman" w:hAnsi="Avenir Book" w:cs="Calibri"/>
                <w:b/>
                <w:bCs/>
                <w:color w:val="000000"/>
                <w:sz w:val="21"/>
                <w:szCs w:val="21"/>
                <w:lang w:eastAsia="en-GB"/>
              </w:rPr>
              <w:t>Samples</w:t>
            </w:r>
          </w:p>
        </w:tc>
        <w:tc>
          <w:tcPr>
            <w:tcW w:w="1300" w:type="dxa"/>
            <w:tcBorders>
              <w:top w:val="nil"/>
              <w:left w:val="nil"/>
              <w:bottom w:val="single" w:sz="4" w:space="0" w:color="auto"/>
              <w:right w:val="nil"/>
            </w:tcBorders>
            <w:shd w:val="clear" w:color="auto" w:fill="auto"/>
            <w:noWrap/>
            <w:vAlign w:val="bottom"/>
            <w:hideMark/>
          </w:tcPr>
          <w:p w14:paraId="4E030613" w14:textId="77777777" w:rsidR="00206B5F" w:rsidRPr="00206B5F" w:rsidRDefault="00206B5F" w:rsidP="00EF0058">
            <w:pPr>
              <w:widowControl w:val="0"/>
              <w:jc w:val="center"/>
              <w:rPr>
                <w:rFonts w:ascii="Avenir Book" w:eastAsia="Times New Roman" w:hAnsi="Avenir Book" w:cs="Calibri"/>
                <w:b/>
                <w:bCs/>
                <w:color w:val="000000"/>
                <w:sz w:val="21"/>
                <w:szCs w:val="21"/>
                <w:lang w:eastAsia="en-GB"/>
              </w:rPr>
            </w:pPr>
            <w:r w:rsidRPr="00206B5F">
              <w:rPr>
                <w:rFonts w:ascii="Avenir Book" w:eastAsia="Times New Roman" w:hAnsi="Avenir Book" w:cs="Calibri"/>
                <w:b/>
                <w:bCs/>
                <w:color w:val="000000"/>
                <w:sz w:val="21"/>
                <w:szCs w:val="21"/>
                <w:lang w:eastAsia="en-GB"/>
              </w:rPr>
              <w:t>SNVs</w:t>
            </w:r>
          </w:p>
        </w:tc>
        <w:tc>
          <w:tcPr>
            <w:tcW w:w="1300" w:type="dxa"/>
            <w:tcBorders>
              <w:top w:val="nil"/>
              <w:left w:val="nil"/>
              <w:bottom w:val="single" w:sz="4" w:space="0" w:color="auto"/>
              <w:right w:val="nil"/>
            </w:tcBorders>
            <w:shd w:val="clear" w:color="auto" w:fill="auto"/>
            <w:noWrap/>
            <w:vAlign w:val="bottom"/>
            <w:hideMark/>
          </w:tcPr>
          <w:p w14:paraId="650CEA08" w14:textId="77777777" w:rsidR="00206B5F" w:rsidRPr="00206B5F" w:rsidRDefault="00206B5F" w:rsidP="00EF0058">
            <w:pPr>
              <w:widowControl w:val="0"/>
              <w:jc w:val="center"/>
              <w:rPr>
                <w:rFonts w:ascii="Avenir Book" w:eastAsia="Times New Roman" w:hAnsi="Avenir Book" w:cs="Calibri"/>
                <w:b/>
                <w:bCs/>
                <w:color w:val="000000"/>
                <w:sz w:val="21"/>
                <w:szCs w:val="21"/>
                <w:lang w:eastAsia="en-GB"/>
              </w:rPr>
            </w:pPr>
            <w:r w:rsidRPr="00206B5F">
              <w:rPr>
                <w:rFonts w:ascii="Avenir Book" w:eastAsia="Times New Roman" w:hAnsi="Avenir Book" w:cs="Calibri"/>
                <w:b/>
                <w:bCs/>
                <w:color w:val="000000"/>
                <w:sz w:val="21"/>
                <w:szCs w:val="21"/>
                <w:lang w:eastAsia="en-GB"/>
              </w:rPr>
              <w:t>Indels</w:t>
            </w:r>
          </w:p>
        </w:tc>
        <w:tc>
          <w:tcPr>
            <w:tcW w:w="1300" w:type="dxa"/>
            <w:tcBorders>
              <w:top w:val="nil"/>
              <w:left w:val="nil"/>
              <w:bottom w:val="single" w:sz="4" w:space="0" w:color="auto"/>
              <w:right w:val="nil"/>
            </w:tcBorders>
            <w:shd w:val="clear" w:color="auto" w:fill="auto"/>
            <w:noWrap/>
            <w:vAlign w:val="bottom"/>
            <w:hideMark/>
          </w:tcPr>
          <w:p w14:paraId="3B7B1AA9" w14:textId="77777777" w:rsidR="00206B5F" w:rsidRPr="00206B5F" w:rsidRDefault="00206B5F" w:rsidP="00EF0058">
            <w:pPr>
              <w:widowControl w:val="0"/>
              <w:jc w:val="center"/>
              <w:rPr>
                <w:rFonts w:ascii="Avenir Book" w:eastAsia="Times New Roman" w:hAnsi="Avenir Book" w:cs="Calibri"/>
                <w:b/>
                <w:bCs/>
                <w:color w:val="000000"/>
                <w:sz w:val="21"/>
                <w:szCs w:val="21"/>
                <w:lang w:eastAsia="en-GB"/>
              </w:rPr>
            </w:pPr>
            <w:r w:rsidRPr="00206B5F">
              <w:rPr>
                <w:rFonts w:ascii="Avenir Book" w:eastAsia="Times New Roman" w:hAnsi="Avenir Book" w:cs="Calibri"/>
                <w:b/>
                <w:bCs/>
                <w:color w:val="000000"/>
                <w:sz w:val="21"/>
                <w:szCs w:val="21"/>
                <w:lang w:eastAsia="en-GB"/>
              </w:rPr>
              <w:t>SVs</w:t>
            </w:r>
          </w:p>
        </w:tc>
      </w:tr>
      <w:tr w:rsidR="00206B5F" w:rsidRPr="00206B5F" w14:paraId="49D49AB8" w14:textId="77777777" w:rsidTr="00206B5F">
        <w:trPr>
          <w:trHeight w:val="340"/>
        </w:trPr>
        <w:tc>
          <w:tcPr>
            <w:tcW w:w="1300" w:type="dxa"/>
            <w:tcBorders>
              <w:top w:val="nil"/>
              <w:left w:val="nil"/>
              <w:bottom w:val="nil"/>
              <w:right w:val="nil"/>
            </w:tcBorders>
            <w:shd w:val="clear" w:color="auto" w:fill="auto"/>
            <w:noWrap/>
            <w:vAlign w:val="bottom"/>
            <w:hideMark/>
          </w:tcPr>
          <w:p w14:paraId="1C92E875"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0006</w:t>
            </w:r>
          </w:p>
        </w:tc>
        <w:tc>
          <w:tcPr>
            <w:tcW w:w="1300" w:type="dxa"/>
            <w:tcBorders>
              <w:top w:val="nil"/>
              <w:left w:val="nil"/>
              <w:bottom w:val="nil"/>
              <w:right w:val="nil"/>
            </w:tcBorders>
            <w:shd w:val="clear" w:color="auto" w:fill="auto"/>
            <w:noWrap/>
            <w:vAlign w:val="bottom"/>
            <w:hideMark/>
          </w:tcPr>
          <w:p w14:paraId="4AEC8D92"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N1;N2</w:t>
            </w:r>
          </w:p>
        </w:tc>
        <w:tc>
          <w:tcPr>
            <w:tcW w:w="1300" w:type="dxa"/>
            <w:tcBorders>
              <w:top w:val="nil"/>
              <w:left w:val="nil"/>
              <w:bottom w:val="nil"/>
              <w:right w:val="nil"/>
            </w:tcBorders>
            <w:shd w:val="clear" w:color="auto" w:fill="auto"/>
            <w:noWrap/>
            <w:vAlign w:val="bottom"/>
            <w:hideMark/>
          </w:tcPr>
          <w:p w14:paraId="6FFFF54D"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25</w:t>
            </w:r>
          </w:p>
        </w:tc>
        <w:tc>
          <w:tcPr>
            <w:tcW w:w="1300" w:type="dxa"/>
            <w:tcBorders>
              <w:top w:val="nil"/>
              <w:left w:val="nil"/>
              <w:bottom w:val="nil"/>
              <w:right w:val="nil"/>
            </w:tcBorders>
            <w:shd w:val="clear" w:color="auto" w:fill="auto"/>
            <w:noWrap/>
            <w:vAlign w:val="bottom"/>
            <w:hideMark/>
          </w:tcPr>
          <w:p w14:paraId="49726DF4"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4</w:t>
            </w:r>
          </w:p>
        </w:tc>
        <w:tc>
          <w:tcPr>
            <w:tcW w:w="1300" w:type="dxa"/>
            <w:tcBorders>
              <w:top w:val="nil"/>
              <w:left w:val="nil"/>
              <w:bottom w:val="nil"/>
              <w:right w:val="nil"/>
            </w:tcBorders>
            <w:shd w:val="clear" w:color="auto" w:fill="auto"/>
            <w:noWrap/>
            <w:vAlign w:val="bottom"/>
            <w:hideMark/>
          </w:tcPr>
          <w:p w14:paraId="45F1018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4E497BE6" w14:textId="77777777" w:rsidTr="00206B5F">
        <w:trPr>
          <w:trHeight w:val="340"/>
        </w:trPr>
        <w:tc>
          <w:tcPr>
            <w:tcW w:w="1300" w:type="dxa"/>
            <w:tcBorders>
              <w:top w:val="nil"/>
              <w:left w:val="nil"/>
              <w:bottom w:val="nil"/>
              <w:right w:val="nil"/>
            </w:tcBorders>
            <w:shd w:val="clear" w:color="auto" w:fill="auto"/>
            <w:noWrap/>
            <w:vAlign w:val="bottom"/>
            <w:hideMark/>
          </w:tcPr>
          <w:p w14:paraId="7C40564A"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0006</w:t>
            </w:r>
          </w:p>
        </w:tc>
        <w:tc>
          <w:tcPr>
            <w:tcW w:w="1300" w:type="dxa"/>
            <w:tcBorders>
              <w:top w:val="nil"/>
              <w:left w:val="nil"/>
              <w:bottom w:val="nil"/>
              <w:right w:val="nil"/>
            </w:tcBorders>
            <w:shd w:val="clear" w:color="auto" w:fill="auto"/>
            <w:noWrap/>
            <w:vAlign w:val="bottom"/>
            <w:hideMark/>
          </w:tcPr>
          <w:p w14:paraId="4B3B3FBB"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N1;N3</w:t>
            </w:r>
          </w:p>
        </w:tc>
        <w:tc>
          <w:tcPr>
            <w:tcW w:w="1300" w:type="dxa"/>
            <w:tcBorders>
              <w:top w:val="nil"/>
              <w:left w:val="nil"/>
              <w:bottom w:val="nil"/>
              <w:right w:val="nil"/>
            </w:tcBorders>
            <w:shd w:val="clear" w:color="auto" w:fill="auto"/>
            <w:noWrap/>
            <w:vAlign w:val="bottom"/>
            <w:hideMark/>
          </w:tcPr>
          <w:p w14:paraId="3B08C3AC"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w:t>
            </w:r>
          </w:p>
        </w:tc>
        <w:tc>
          <w:tcPr>
            <w:tcW w:w="1300" w:type="dxa"/>
            <w:tcBorders>
              <w:top w:val="nil"/>
              <w:left w:val="nil"/>
              <w:bottom w:val="nil"/>
              <w:right w:val="nil"/>
            </w:tcBorders>
            <w:shd w:val="clear" w:color="auto" w:fill="auto"/>
            <w:noWrap/>
            <w:vAlign w:val="bottom"/>
            <w:hideMark/>
          </w:tcPr>
          <w:p w14:paraId="5A47760C"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w:t>
            </w:r>
          </w:p>
        </w:tc>
        <w:tc>
          <w:tcPr>
            <w:tcW w:w="1300" w:type="dxa"/>
            <w:tcBorders>
              <w:top w:val="nil"/>
              <w:left w:val="nil"/>
              <w:bottom w:val="nil"/>
              <w:right w:val="nil"/>
            </w:tcBorders>
            <w:shd w:val="clear" w:color="auto" w:fill="auto"/>
            <w:noWrap/>
            <w:vAlign w:val="bottom"/>
            <w:hideMark/>
          </w:tcPr>
          <w:p w14:paraId="02889F07"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6440F7C2" w14:textId="77777777" w:rsidTr="00206B5F">
        <w:trPr>
          <w:trHeight w:val="340"/>
        </w:trPr>
        <w:tc>
          <w:tcPr>
            <w:tcW w:w="1300" w:type="dxa"/>
            <w:tcBorders>
              <w:top w:val="nil"/>
              <w:left w:val="nil"/>
              <w:bottom w:val="nil"/>
              <w:right w:val="nil"/>
            </w:tcBorders>
            <w:shd w:val="clear" w:color="auto" w:fill="auto"/>
            <w:noWrap/>
            <w:vAlign w:val="bottom"/>
            <w:hideMark/>
          </w:tcPr>
          <w:p w14:paraId="742314C6"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0006</w:t>
            </w:r>
          </w:p>
        </w:tc>
        <w:tc>
          <w:tcPr>
            <w:tcW w:w="1300" w:type="dxa"/>
            <w:tcBorders>
              <w:top w:val="nil"/>
              <w:left w:val="nil"/>
              <w:bottom w:val="nil"/>
              <w:right w:val="nil"/>
            </w:tcBorders>
            <w:shd w:val="clear" w:color="auto" w:fill="auto"/>
            <w:noWrap/>
            <w:vAlign w:val="bottom"/>
            <w:hideMark/>
          </w:tcPr>
          <w:p w14:paraId="00E0E832"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N2;N3</w:t>
            </w:r>
          </w:p>
        </w:tc>
        <w:tc>
          <w:tcPr>
            <w:tcW w:w="1300" w:type="dxa"/>
            <w:tcBorders>
              <w:top w:val="nil"/>
              <w:left w:val="nil"/>
              <w:bottom w:val="nil"/>
              <w:right w:val="nil"/>
            </w:tcBorders>
            <w:shd w:val="clear" w:color="auto" w:fill="auto"/>
            <w:noWrap/>
            <w:vAlign w:val="bottom"/>
            <w:hideMark/>
          </w:tcPr>
          <w:p w14:paraId="4F3867CE"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125</w:t>
            </w:r>
          </w:p>
        </w:tc>
        <w:tc>
          <w:tcPr>
            <w:tcW w:w="1300" w:type="dxa"/>
            <w:tcBorders>
              <w:top w:val="nil"/>
              <w:left w:val="nil"/>
              <w:bottom w:val="nil"/>
              <w:right w:val="nil"/>
            </w:tcBorders>
            <w:shd w:val="clear" w:color="auto" w:fill="auto"/>
            <w:noWrap/>
            <w:vAlign w:val="bottom"/>
            <w:hideMark/>
          </w:tcPr>
          <w:p w14:paraId="41F3390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208</w:t>
            </w:r>
          </w:p>
        </w:tc>
        <w:tc>
          <w:tcPr>
            <w:tcW w:w="1300" w:type="dxa"/>
            <w:tcBorders>
              <w:top w:val="nil"/>
              <w:left w:val="nil"/>
              <w:bottom w:val="nil"/>
              <w:right w:val="nil"/>
            </w:tcBorders>
            <w:shd w:val="clear" w:color="auto" w:fill="auto"/>
            <w:noWrap/>
            <w:vAlign w:val="bottom"/>
            <w:hideMark/>
          </w:tcPr>
          <w:p w14:paraId="2ADFBC21"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63FD59D7" w14:textId="77777777" w:rsidTr="00206B5F">
        <w:trPr>
          <w:trHeight w:val="340"/>
        </w:trPr>
        <w:tc>
          <w:tcPr>
            <w:tcW w:w="1300" w:type="dxa"/>
            <w:tcBorders>
              <w:top w:val="nil"/>
              <w:left w:val="nil"/>
              <w:bottom w:val="nil"/>
              <w:right w:val="nil"/>
            </w:tcBorders>
            <w:shd w:val="clear" w:color="auto" w:fill="auto"/>
            <w:noWrap/>
            <w:vAlign w:val="bottom"/>
            <w:hideMark/>
          </w:tcPr>
          <w:p w14:paraId="2B6DA90A"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0006</w:t>
            </w:r>
          </w:p>
        </w:tc>
        <w:tc>
          <w:tcPr>
            <w:tcW w:w="1300" w:type="dxa"/>
            <w:tcBorders>
              <w:top w:val="nil"/>
              <w:left w:val="nil"/>
              <w:bottom w:val="nil"/>
              <w:right w:val="nil"/>
            </w:tcBorders>
            <w:shd w:val="clear" w:color="auto" w:fill="auto"/>
            <w:noWrap/>
            <w:vAlign w:val="bottom"/>
            <w:hideMark/>
          </w:tcPr>
          <w:p w14:paraId="28FABD20"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N1;N2;N3</w:t>
            </w:r>
          </w:p>
        </w:tc>
        <w:tc>
          <w:tcPr>
            <w:tcW w:w="1300" w:type="dxa"/>
            <w:tcBorders>
              <w:top w:val="nil"/>
              <w:left w:val="nil"/>
              <w:bottom w:val="nil"/>
              <w:right w:val="nil"/>
            </w:tcBorders>
            <w:shd w:val="clear" w:color="auto" w:fill="auto"/>
            <w:noWrap/>
            <w:vAlign w:val="bottom"/>
            <w:hideMark/>
          </w:tcPr>
          <w:p w14:paraId="36363BF5"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c>
          <w:tcPr>
            <w:tcW w:w="1300" w:type="dxa"/>
            <w:tcBorders>
              <w:top w:val="nil"/>
              <w:left w:val="nil"/>
              <w:bottom w:val="nil"/>
              <w:right w:val="nil"/>
            </w:tcBorders>
            <w:shd w:val="clear" w:color="auto" w:fill="auto"/>
            <w:noWrap/>
            <w:vAlign w:val="bottom"/>
            <w:hideMark/>
          </w:tcPr>
          <w:p w14:paraId="59A6FCD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w:t>
            </w:r>
          </w:p>
        </w:tc>
        <w:tc>
          <w:tcPr>
            <w:tcW w:w="1300" w:type="dxa"/>
            <w:tcBorders>
              <w:top w:val="nil"/>
              <w:left w:val="nil"/>
              <w:bottom w:val="nil"/>
              <w:right w:val="nil"/>
            </w:tcBorders>
            <w:shd w:val="clear" w:color="auto" w:fill="auto"/>
            <w:noWrap/>
            <w:vAlign w:val="bottom"/>
            <w:hideMark/>
          </w:tcPr>
          <w:p w14:paraId="763ED850"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4BEA4656" w14:textId="77777777" w:rsidTr="00206B5F">
        <w:trPr>
          <w:trHeight w:val="340"/>
        </w:trPr>
        <w:tc>
          <w:tcPr>
            <w:tcW w:w="1300" w:type="dxa"/>
            <w:tcBorders>
              <w:top w:val="nil"/>
              <w:left w:val="nil"/>
              <w:bottom w:val="nil"/>
              <w:right w:val="nil"/>
            </w:tcBorders>
            <w:shd w:val="clear" w:color="000000" w:fill="D9D9D9"/>
            <w:noWrap/>
            <w:vAlign w:val="bottom"/>
            <w:hideMark/>
          </w:tcPr>
          <w:p w14:paraId="096C72C9"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0007</w:t>
            </w:r>
          </w:p>
        </w:tc>
        <w:tc>
          <w:tcPr>
            <w:tcW w:w="1300" w:type="dxa"/>
            <w:tcBorders>
              <w:top w:val="nil"/>
              <w:left w:val="nil"/>
              <w:bottom w:val="nil"/>
              <w:right w:val="nil"/>
            </w:tcBorders>
            <w:shd w:val="clear" w:color="000000" w:fill="D9D9D9"/>
            <w:noWrap/>
            <w:vAlign w:val="bottom"/>
            <w:hideMark/>
          </w:tcPr>
          <w:p w14:paraId="207C4F2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N1;N2</w:t>
            </w:r>
          </w:p>
        </w:tc>
        <w:tc>
          <w:tcPr>
            <w:tcW w:w="1300" w:type="dxa"/>
            <w:tcBorders>
              <w:top w:val="nil"/>
              <w:left w:val="nil"/>
              <w:bottom w:val="nil"/>
              <w:right w:val="nil"/>
            </w:tcBorders>
            <w:shd w:val="clear" w:color="000000" w:fill="D9D9D9"/>
            <w:noWrap/>
            <w:vAlign w:val="bottom"/>
            <w:hideMark/>
          </w:tcPr>
          <w:p w14:paraId="5BF5659B"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622</w:t>
            </w:r>
          </w:p>
        </w:tc>
        <w:tc>
          <w:tcPr>
            <w:tcW w:w="1300" w:type="dxa"/>
            <w:tcBorders>
              <w:top w:val="nil"/>
              <w:left w:val="nil"/>
              <w:bottom w:val="nil"/>
              <w:right w:val="nil"/>
            </w:tcBorders>
            <w:shd w:val="clear" w:color="000000" w:fill="D9D9D9"/>
            <w:noWrap/>
            <w:vAlign w:val="bottom"/>
            <w:hideMark/>
          </w:tcPr>
          <w:p w14:paraId="7047CE5C"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4</w:t>
            </w:r>
          </w:p>
        </w:tc>
        <w:tc>
          <w:tcPr>
            <w:tcW w:w="1300" w:type="dxa"/>
            <w:tcBorders>
              <w:top w:val="nil"/>
              <w:left w:val="nil"/>
              <w:bottom w:val="nil"/>
              <w:right w:val="nil"/>
            </w:tcBorders>
            <w:shd w:val="clear" w:color="000000" w:fill="D9D9D9"/>
            <w:noWrap/>
            <w:vAlign w:val="bottom"/>
            <w:hideMark/>
          </w:tcPr>
          <w:p w14:paraId="0DC4A493"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70C50A8D" w14:textId="77777777" w:rsidTr="00206B5F">
        <w:trPr>
          <w:trHeight w:val="340"/>
        </w:trPr>
        <w:tc>
          <w:tcPr>
            <w:tcW w:w="1300" w:type="dxa"/>
            <w:tcBorders>
              <w:top w:val="nil"/>
              <w:left w:val="nil"/>
              <w:bottom w:val="nil"/>
              <w:right w:val="nil"/>
            </w:tcBorders>
            <w:shd w:val="clear" w:color="000000" w:fill="D9D9D9"/>
            <w:noWrap/>
            <w:vAlign w:val="bottom"/>
            <w:hideMark/>
          </w:tcPr>
          <w:p w14:paraId="75992E26"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0007</w:t>
            </w:r>
          </w:p>
        </w:tc>
        <w:tc>
          <w:tcPr>
            <w:tcW w:w="1300" w:type="dxa"/>
            <w:tcBorders>
              <w:top w:val="nil"/>
              <w:left w:val="nil"/>
              <w:bottom w:val="nil"/>
              <w:right w:val="nil"/>
            </w:tcBorders>
            <w:shd w:val="clear" w:color="000000" w:fill="D9D9D9"/>
            <w:noWrap/>
            <w:vAlign w:val="bottom"/>
            <w:hideMark/>
          </w:tcPr>
          <w:p w14:paraId="108C7100"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N1;N3</w:t>
            </w:r>
          </w:p>
        </w:tc>
        <w:tc>
          <w:tcPr>
            <w:tcW w:w="1300" w:type="dxa"/>
            <w:tcBorders>
              <w:top w:val="nil"/>
              <w:left w:val="nil"/>
              <w:bottom w:val="nil"/>
              <w:right w:val="nil"/>
            </w:tcBorders>
            <w:shd w:val="clear" w:color="000000" w:fill="D9D9D9"/>
            <w:noWrap/>
            <w:vAlign w:val="bottom"/>
            <w:hideMark/>
          </w:tcPr>
          <w:p w14:paraId="76D7D6F4"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w:t>
            </w:r>
          </w:p>
        </w:tc>
        <w:tc>
          <w:tcPr>
            <w:tcW w:w="1300" w:type="dxa"/>
            <w:tcBorders>
              <w:top w:val="nil"/>
              <w:left w:val="nil"/>
              <w:bottom w:val="nil"/>
              <w:right w:val="nil"/>
            </w:tcBorders>
            <w:shd w:val="clear" w:color="000000" w:fill="D9D9D9"/>
            <w:noWrap/>
            <w:vAlign w:val="bottom"/>
            <w:hideMark/>
          </w:tcPr>
          <w:p w14:paraId="515E3332"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w:t>
            </w:r>
          </w:p>
        </w:tc>
        <w:tc>
          <w:tcPr>
            <w:tcW w:w="1300" w:type="dxa"/>
            <w:tcBorders>
              <w:top w:val="nil"/>
              <w:left w:val="nil"/>
              <w:bottom w:val="nil"/>
              <w:right w:val="nil"/>
            </w:tcBorders>
            <w:shd w:val="clear" w:color="000000" w:fill="D9D9D9"/>
            <w:noWrap/>
            <w:vAlign w:val="bottom"/>
            <w:hideMark/>
          </w:tcPr>
          <w:p w14:paraId="25DED603"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3CD19016" w14:textId="77777777" w:rsidTr="00206B5F">
        <w:trPr>
          <w:trHeight w:val="340"/>
        </w:trPr>
        <w:tc>
          <w:tcPr>
            <w:tcW w:w="1300" w:type="dxa"/>
            <w:tcBorders>
              <w:top w:val="nil"/>
              <w:left w:val="nil"/>
              <w:bottom w:val="nil"/>
              <w:right w:val="nil"/>
            </w:tcBorders>
            <w:shd w:val="clear" w:color="000000" w:fill="D9D9D9"/>
            <w:noWrap/>
            <w:vAlign w:val="bottom"/>
            <w:hideMark/>
          </w:tcPr>
          <w:p w14:paraId="5232BEC7"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0007</w:t>
            </w:r>
          </w:p>
        </w:tc>
        <w:tc>
          <w:tcPr>
            <w:tcW w:w="1300" w:type="dxa"/>
            <w:tcBorders>
              <w:top w:val="nil"/>
              <w:left w:val="nil"/>
              <w:bottom w:val="nil"/>
              <w:right w:val="nil"/>
            </w:tcBorders>
            <w:shd w:val="clear" w:color="000000" w:fill="D9D9D9"/>
            <w:noWrap/>
            <w:vAlign w:val="bottom"/>
            <w:hideMark/>
          </w:tcPr>
          <w:p w14:paraId="7FCDC65C"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N2;N3</w:t>
            </w:r>
          </w:p>
        </w:tc>
        <w:tc>
          <w:tcPr>
            <w:tcW w:w="1300" w:type="dxa"/>
            <w:tcBorders>
              <w:top w:val="nil"/>
              <w:left w:val="nil"/>
              <w:bottom w:val="nil"/>
              <w:right w:val="nil"/>
            </w:tcBorders>
            <w:shd w:val="clear" w:color="000000" w:fill="D9D9D9"/>
            <w:noWrap/>
            <w:vAlign w:val="bottom"/>
            <w:hideMark/>
          </w:tcPr>
          <w:p w14:paraId="143FB11C"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221</w:t>
            </w:r>
          </w:p>
        </w:tc>
        <w:tc>
          <w:tcPr>
            <w:tcW w:w="1300" w:type="dxa"/>
            <w:tcBorders>
              <w:top w:val="nil"/>
              <w:left w:val="nil"/>
              <w:bottom w:val="nil"/>
              <w:right w:val="nil"/>
            </w:tcBorders>
            <w:shd w:val="clear" w:color="000000" w:fill="D9D9D9"/>
            <w:noWrap/>
            <w:vAlign w:val="bottom"/>
            <w:hideMark/>
          </w:tcPr>
          <w:p w14:paraId="6A7A320C"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284</w:t>
            </w:r>
          </w:p>
        </w:tc>
        <w:tc>
          <w:tcPr>
            <w:tcW w:w="1300" w:type="dxa"/>
            <w:tcBorders>
              <w:top w:val="nil"/>
              <w:left w:val="nil"/>
              <w:bottom w:val="nil"/>
              <w:right w:val="nil"/>
            </w:tcBorders>
            <w:shd w:val="clear" w:color="000000" w:fill="D9D9D9"/>
            <w:noWrap/>
            <w:vAlign w:val="bottom"/>
            <w:hideMark/>
          </w:tcPr>
          <w:p w14:paraId="6CDEDD02"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3ADB8317" w14:textId="77777777" w:rsidTr="00206B5F">
        <w:trPr>
          <w:trHeight w:val="340"/>
        </w:trPr>
        <w:tc>
          <w:tcPr>
            <w:tcW w:w="1300" w:type="dxa"/>
            <w:tcBorders>
              <w:top w:val="nil"/>
              <w:left w:val="nil"/>
              <w:bottom w:val="nil"/>
              <w:right w:val="nil"/>
            </w:tcBorders>
            <w:shd w:val="clear" w:color="000000" w:fill="D9D9D9"/>
            <w:noWrap/>
            <w:vAlign w:val="bottom"/>
            <w:hideMark/>
          </w:tcPr>
          <w:p w14:paraId="4E91674B"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0007</w:t>
            </w:r>
          </w:p>
        </w:tc>
        <w:tc>
          <w:tcPr>
            <w:tcW w:w="1300" w:type="dxa"/>
            <w:tcBorders>
              <w:top w:val="nil"/>
              <w:left w:val="nil"/>
              <w:bottom w:val="nil"/>
              <w:right w:val="nil"/>
            </w:tcBorders>
            <w:shd w:val="clear" w:color="000000" w:fill="D9D9D9"/>
            <w:noWrap/>
            <w:vAlign w:val="bottom"/>
            <w:hideMark/>
          </w:tcPr>
          <w:p w14:paraId="3B349724"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N1;N2;N3</w:t>
            </w:r>
          </w:p>
        </w:tc>
        <w:tc>
          <w:tcPr>
            <w:tcW w:w="1300" w:type="dxa"/>
            <w:tcBorders>
              <w:top w:val="nil"/>
              <w:left w:val="nil"/>
              <w:bottom w:val="nil"/>
              <w:right w:val="nil"/>
            </w:tcBorders>
            <w:shd w:val="clear" w:color="000000" w:fill="D9D9D9"/>
            <w:noWrap/>
            <w:vAlign w:val="bottom"/>
            <w:hideMark/>
          </w:tcPr>
          <w:p w14:paraId="6B971352"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w:t>
            </w:r>
          </w:p>
        </w:tc>
        <w:tc>
          <w:tcPr>
            <w:tcW w:w="1300" w:type="dxa"/>
            <w:tcBorders>
              <w:top w:val="nil"/>
              <w:left w:val="nil"/>
              <w:bottom w:val="nil"/>
              <w:right w:val="nil"/>
            </w:tcBorders>
            <w:shd w:val="clear" w:color="000000" w:fill="D9D9D9"/>
            <w:noWrap/>
            <w:vAlign w:val="bottom"/>
            <w:hideMark/>
          </w:tcPr>
          <w:p w14:paraId="1DCD296D"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w:t>
            </w:r>
          </w:p>
        </w:tc>
        <w:tc>
          <w:tcPr>
            <w:tcW w:w="1300" w:type="dxa"/>
            <w:tcBorders>
              <w:top w:val="nil"/>
              <w:left w:val="nil"/>
              <w:bottom w:val="nil"/>
              <w:right w:val="nil"/>
            </w:tcBorders>
            <w:shd w:val="clear" w:color="000000" w:fill="D9D9D9"/>
            <w:noWrap/>
            <w:vAlign w:val="bottom"/>
            <w:hideMark/>
          </w:tcPr>
          <w:p w14:paraId="62BAFF2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1139542D" w14:textId="77777777" w:rsidTr="00206B5F">
        <w:trPr>
          <w:trHeight w:val="340"/>
        </w:trPr>
        <w:tc>
          <w:tcPr>
            <w:tcW w:w="1300" w:type="dxa"/>
            <w:tcBorders>
              <w:top w:val="nil"/>
              <w:left w:val="nil"/>
              <w:bottom w:val="nil"/>
              <w:right w:val="nil"/>
            </w:tcBorders>
            <w:shd w:val="clear" w:color="auto" w:fill="auto"/>
            <w:noWrap/>
            <w:vAlign w:val="bottom"/>
            <w:hideMark/>
          </w:tcPr>
          <w:p w14:paraId="1240CFDE"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0008</w:t>
            </w:r>
          </w:p>
        </w:tc>
        <w:tc>
          <w:tcPr>
            <w:tcW w:w="1300" w:type="dxa"/>
            <w:tcBorders>
              <w:top w:val="nil"/>
              <w:left w:val="nil"/>
              <w:bottom w:val="nil"/>
              <w:right w:val="nil"/>
            </w:tcBorders>
            <w:shd w:val="clear" w:color="auto" w:fill="auto"/>
            <w:noWrap/>
            <w:vAlign w:val="bottom"/>
            <w:hideMark/>
          </w:tcPr>
          <w:p w14:paraId="5B732833"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N1;N2</w:t>
            </w:r>
          </w:p>
        </w:tc>
        <w:tc>
          <w:tcPr>
            <w:tcW w:w="1300" w:type="dxa"/>
            <w:tcBorders>
              <w:top w:val="nil"/>
              <w:left w:val="nil"/>
              <w:bottom w:val="nil"/>
              <w:right w:val="nil"/>
            </w:tcBorders>
            <w:shd w:val="clear" w:color="auto" w:fill="auto"/>
            <w:noWrap/>
            <w:vAlign w:val="bottom"/>
            <w:hideMark/>
          </w:tcPr>
          <w:p w14:paraId="6BDA2157"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c>
          <w:tcPr>
            <w:tcW w:w="1300" w:type="dxa"/>
            <w:tcBorders>
              <w:top w:val="nil"/>
              <w:left w:val="nil"/>
              <w:bottom w:val="nil"/>
              <w:right w:val="nil"/>
            </w:tcBorders>
            <w:shd w:val="clear" w:color="auto" w:fill="auto"/>
            <w:noWrap/>
            <w:vAlign w:val="bottom"/>
            <w:hideMark/>
          </w:tcPr>
          <w:p w14:paraId="2A3DE744"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c>
          <w:tcPr>
            <w:tcW w:w="1300" w:type="dxa"/>
            <w:tcBorders>
              <w:top w:val="nil"/>
              <w:left w:val="nil"/>
              <w:bottom w:val="nil"/>
              <w:right w:val="nil"/>
            </w:tcBorders>
            <w:shd w:val="clear" w:color="auto" w:fill="auto"/>
            <w:noWrap/>
            <w:vAlign w:val="bottom"/>
            <w:hideMark/>
          </w:tcPr>
          <w:p w14:paraId="23DDDB7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491C2591" w14:textId="77777777" w:rsidTr="00206B5F">
        <w:trPr>
          <w:trHeight w:val="340"/>
        </w:trPr>
        <w:tc>
          <w:tcPr>
            <w:tcW w:w="1300" w:type="dxa"/>
            <w:tcBorders>
              <w:top w:val="nil"/>
              <w:left w:val="nil"/>
              <w:bottom w:val="nil"/>
              <w:right w:val="nil"/>
            </w:tcBorders>
            <w:shd w:val="clear" w:color="auto" w:fill="auto"/>
            <w:noWrap/>
            <w:vAlign w:val="bottom"/>
            <w:hideMark/>
          </w:tcPr>
          <w:p w14:paraId="5F5F040F"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0008</w:t>
            </w:r>
          </w:p>
        </w:tc>
        <w:tc>
          <w:tcPr>
            <w:tcW w:w="1300" w:type="dxa"/>
            <w:tcBorders>
              <w:top w:val="nil"/>
              <w:left w:val="nil"/>
              <w:bottom w:val="nil"/>
              <w:right w:val="nil"/>
            </w:tcBorders>
            <w:shd w:val="clear" w:color="auto" w:fill="auto"/>
            <w:noWrap/>
            <w:vAlign w:val="bottom"/>
            <w:hideMark/>
          </w:tcPr>
          <w:p w14:paraId="5B2B98C0"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N1;N3</w:t>
            </w:r>
          </w:p>
        </w:tc>
        <w:tc>
          <w:tcPr>
            <w:tcW w:w="1300" w:type="dxa"/>
            <w:tcBorders>
              <w:top w:val="nil"/>
              <w:left w:val="nil"/>
              <w:bottom w:val="nil"/>
              <w:right w:val="nil"/>
            </w:tcBorders>
            <w:shd w:val="clear" w:color="auto" w:fill="auto"/>
            <w:noWrap/>
            <w:vAlign w:val="bottom"/>
            <w:hideMark/>
          </w:tcPr>
          <w:p w14:paraId="328FEDC5"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c>
          <w:tcPr>
            <w:tcW w:w="1300" w:type="dxa"/>
            <w:tcBorders>
              <w:top w:val="nil"/>
              <w:left w:val="nil"/>
              <w:bottom w:val="nil"/>
              <w:right w:val="nil"/>
            </w:tcBorders>
            <w:shd w:val="clear" w:color="auto" w:fill="auto"/>
            <w:noWrap/>
            <w:vAlign w:val="bottom"/>
            <w:hideMark/>
          </w:tcPr>
          <w:p w14:paraId="56A1673F"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c>
          <w:tcPr>
            <w:tcW w:w="1300" w:type="dxa"/>
            <w:tcBorders>
              <w:top w:val="nil"/>
              <w:left w:val="nil"/>
              <w:bottom w:val="nil"/>
              <w:right w:val="nil"/>
            </w:tcBorders>
            <w:shd w:val="clear" w:color="auto" w:fill="auto"/>
            <w:noWrap/>
            <w:vAlign w:val="bottom"/>
            <w:hideMark/>
          </w:tcPr>
          <w:p w14:paraId="0902BD13"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503DAE21" w14:textId="77777777" w:rsidTr="00206B5F">
        <w:trPr>
          <w:trHeight w:val="340"/>
        </w:trPr>
        <w:tc>
          <w:tcPr>
            <w:tcW w:w="1300" w:type="dxa"/>
            <w:tcBorders>
              <w:top w:val="nil"/>
              <w:left w:val="nil"/>
              <w:bottom w:val="nil"/>
              <w:right w:val="nil"/>
            </w:tcBorders>
            <w:shd w:val="clear" w:color="auto" w:fill="auto"/>
            <w:noWrap/>
            <w:vAlign w:val="bottom"/>
            <w:hideMark/>
          </w:tcPr>
          <w:p w14:paraId="57DA1732"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0008</w:t>
            </w:r>
          </w:p>
        </w:tc>
        <w:tc>
          <w:tcPr>
            <w:tcW w:w="1300" w:type="dxa"/>
            <w:tcBorders>
              <w:top w:val="nil"/>
              <w:left w:val="nil"/>
              <w:bottom w:val="nil"/>
              <w:right w:val="nil"/>
            </w:tcBorders>
            <w:shd w:val="clear" w:color="auto" w:fill="auto"/>
            <w:noWrap/>
            <w:vAlign w:val="bottom"/>
            <w:hideMark/>
          </w:tcPr>
          <w:p w14:paraId="64B8CC1A"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N2;N3</w:t>
            </w:r>
          </w:p>
        </w:tc>
        <w:tc>
          <w:tcPr>
            <w:tcW w:w="1300" w:type="dxa"/>
            <w:tcBorders>
              <w:top w:val="nil"/>
              <w:left w:val="nil"/>
              <w:bottom w:val="nil"/>
              <w:right w:val="nil"/>
            </w:tcBorders>
            <w:shd w:val="clear" w:color="auto" w:fill="auto"/>
            <w:noWrap/>
            <w:vAlign w:val="bottom"/>
            <w:hideMark/>
          </w:tcPr>
          <w:p w14:paraId="207AF3B7"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199</w:t>
            </w:r>
          </w:p>
        </w:tc>
        <w:tc>
          <w:tcPr>
            <w:tcW w:w="1300" w:type="dxa"/>
            <w:tcBorders>
              <w:top w:val="nil"/>
              <w:left w:val="nil"/>
              <w:bottom w:val="nil"/>
              <w:right w:val="nil"/>
            </w:tcBorders>
            <w:shd w:val="clear" w:color="auto" w:fill="auto"/>
            <w:noWrap/>
            <w:vAlign w:val="bottom"/>
            <w:hideMark/>
          </w:tcPr>
          <w:p w14:paraId="27E4670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265</w:t>
            </w:r>
          </w:p>
        </w:tc>
        <w:tc>
          <w:tcPr>
            <w:tcW w:w="1300" w:type="dxa"/>
            <w:tcBorders>
              <w:top w:val="nil"/>
              <w:left w:val="nil"/>
              <w:bottom w:val="nil"/>
              <w:right w:val="nil"/>
            </w:tcBorders>
            <w:shd w:val="clear" w:color="auto" w:fill="auto"/>
            <w:noWrap/>
            <w:vAlign w:val="bottom"/>
            <w:hideMark/>
          </w:tcPr>
          <w:p w14:paraId="0051768D"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31001E8B" w14:textId="77777777" w:rsidTr="00206B5F">
        <w:trPr>
          <w:trHeight w:val="340"/>
        </w:trPr>
        <w:tc>
          <w:tcPr>
            <w:tcW w:w="1300" w:type="dxa"/>
            <w:tcBorders>
              <w:top w:val="nil"/>
              <w:left w:val="nil"/>
              <w:bottom w:val="nil"/>
              <w:right w:val="nil"/>
            </w:tcBorders>
            <w:shd w:val="clear" w:color="000000" w:fill="D9D9D9"/>
            <w:noWrap/>
            <w:vAlign w:val="bottom"/>
            <w:hideMark/>
          </w:tcPr>
          <w:p w14:paraId="694DF696"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0065</w:t>
            </w:r>
          </w:p>
        </w:tc>
        <w:tc>
          <w:tcPr>
            <w:tcW w:w="1300" w:type="dxa"/>
            <w:tcBorders>
              <w:top w:val="nil"/>
              <w:left w:val="nil"/>
              <w:bottom w:val="nil"/>
              <w:right w:val="nil"/>
            </w:tcBorders>
            <w:shd w:val="clear" w:color="000000" w:fill="D9D9D9"/>
            <w:noWrap/>
            <w:vAlign w:val="bottom"/>
            <w:hideMark/>
          </w:tcPr>
          <w:p w14:paraId="6EF9D578"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N;BPH</w:t>
            </w:r>
          </w:p>
        </w:tc>
        <w:tc>
          <w:tcPr>
            <w:tcW w:w="1300" w:type="dxa"/>
            <w:tcBorders>
              <w:top w:val="nil"/>
              <w:left w:val="nil"/>
              <w:bottom w:val="nil"/>
              <w:right w:val="nil"/>
            </w:tcBorders>
            <w:shd w:val="clear" w:color="000000" w:fill="D9D9D9"/>
            <w:noWrap/>
            <w:vAlign w:val="bottom"/>
            <w:hideMark/>
          </w:tcPr>
          <w:p w14:paraId="017F5BE7"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129</w:t>
            </w:r>
          </w:p>
        </w:tc>
        <w:tc>
          <w:tcPr>
            <w:tcW w:w="1300" w:type="dxa"/>
            <w:tcBorders>
              <w:top w:val="nil"/>
              <w:left w:val="nil"/>
              <w:bottom w:val="nil"/>
              <w:right w:val="nil"/>
            </w:tcBorders>
            <w:shd w:val="clear" w:color="000000" w:fill="D9D9D9"/>
            <w:noWrap/>
            <w:vAlign w:val="bottom"/>
            <w:hideMark/>
          </w:tcPr>
          <w:p w14:paraId="0DF55169"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188</w:t>
            </w:r>
          </w:p>
        </w:tc>
        <w:tc>
          <w:tcPr>
            <w:tcW w:w="1300" w:type="dxa"/>
            <w:tcBorders>
              <w:top w:val="nil"/>
              <w:left w:val="nil"/>
              <w:bottom w:val="nil"/>
              <w:right w:val="nil"/>
            </w:tcBorders>
            <w:shd w:val="clear" w:color="000000" w:fill="D9D9D9"/>
            <w:noWrap/>
            <w:vAlign w:val="bottom"/>
            <w:hideMark/>
          </w:tcPr>
          <w:p w14:paraId="1740EE3B"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061EC465" w14:textId="77777777" w:rsidTr="00206B5F">
        <w:trPr>
          <w:trHeight w:val="340"/>
        </w:trPr>
        <w:tc>
          <w:tcPr>
            <w:tcW w:w="1300" w:type="dxa"/>
            <w:tcBorders>
              <w:top w:val="nil"/>
              <w:left w:val="nil"/>
              <w:bottom w:val="nil"/>
              <w:right w:val="nil"/>
            </w:tcBorders>
            <w:shd w:val="clear" w:color="auto" w:fill="auto"/>
            <w:noWrap/>
            <w:vAlign w:val="bottom"/>
            <w:hideMark/>
          </w:tcPr>
          <w:p w14:paraId="6CA0992A"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0073</w:t>
            </w:r>
          </w:p>
        </w:tc>
        <w:tc>
          <w:tcPr>
            <w:tcW w:w="1300" w:type="dxa"/>
            <w:tcBorders>
              <w:top w:val="nil"/>
              <w:left w:val="nil"/>
              <w:bottom w:val="nil"/>
              <w:right w:val="nil"/>
            </w:tcBorders>
            <w:shd w:val="clear" w:color="auto" w:fill="auto"/>
            <w:noWrap/>
            <w:vAlign w:val="bottom"/>
            <w:hideMark/>
          </w:tcPr>
          <w:p w14:paraId="6820E092"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N;BPH</w:t>
            </w:r>
          </w:p>
        </w:tc>
        <w:tc>
          <w:tcPr>
            <w:tcW w:w="1300" w:type="dxa"/>
            <w:tcBorders>
              <w:top w:val="nil"/>
              <w:left w:val="nil"/>
              <w:bottom w:val="nil"/>
              <w:right w:val="nil"/>
            </w:tcBorders>
            <w:shd w:val="clear" w:color="auto" w:fill="auto"/>
            <w:noWrap/>
            <w:vAlign w:val="bottom"/>
            <w:hideMark/>
          </w:tcPr>
          <w:p w14:paraId="50543075"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94</w:t>
            </w:r>
          </w:p>
        </w:tc>
        <w:tc>
          <w:tcPr>
            <w:tcW w:w="1300" w:type="dxa"/>
            <w:tcBorders>
              <w:top w:val="nil"/>
              <w:left w:val="nil"/>
              <w:bottom w:val="nil"/>
              <w:right w:val="nil"/>
            </w:tcBorders>
            <w:shd w:val="clear" w:color="auto" w:fill="auto"/>
            <w:noWrap/>
            <w:vAlign w:val="bottom"/>
            <w:hideMark/>
          </w:tcPr>
          <w:p w14:paraId="48D3D62A"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282</w:t>
            </w:r>
          </w:p>
        </w:tc>
        <w:tc>
          <w:tcPr>
            <w:tcW w:w="1300" w:type="dxa"/>
            <w:tcBorders>
              <w:top w:val="nil"/>
              <w:left w:val="nil"/>
              <w:bottom w:val="nil"/>
              <w:right w:val="nil"/>
            </w:tcBorders>
            <w:shd w:val="clear" w:color="auto" w:fill="auto"/>
            <w:noWrap/>
            <w:vAlign w:val="bottom"/>
            <w:hideMark/>
          </w:tcPr>
          <w:p w14:paraId="01CBE50D"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r w:rsidR="00206B5F" w:rsidRPr="00206B5F" w14:paraId="38A7A2BE" w14:textId="77777777" w:rsidTr="00206B5F">
        <w:trPr>
          <w:trHeight w:val="340"/>
        </w:trPr>
        <w:tc>
          <w:tcPr>
            <w:tcW w:w="1300" w:type="dxa"/>
            <w:tcBorders>
              <w:top w:val="nil"/>
              <w:left w:val="nil"/>
              <w:bottom w:val="single" w:sz="4" w:space="0" w:color="auto"/>
              <w:right w:val="nil"/>
            </w:tcBorders>
            <w:shd w:val="clear" w:color="000000" w:fill="D9D9D9"/>
            <w:noWrap/>
            <w:vAlign w:val="bottom"/>
            <w:hideMark/>
          </w:tcPr>
          <w:p w14:paraId="656111A9" w14:textId="77777777" w:rsidR="00206B5F" w:rsidRPr="00206B5F" w:rsidRDefault="00206B5F" w:rsidP="00EF0058">
            <w:pPr>
              <w:widowControl w:val="0"/>
              <w:jc w:val="right"/>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0077</w:t>
            </w:r>
          </w:p>
        </w:tc>
        <w:tc>
          <w:tcPr>
            <w:tcW w:w="1300" w:type="dxa"/>
            <w:tcBorders>
              <w:top w:val="nil"/>
              <w:left w:val="nil"/>
              <w:bottom w:val="single" w:sz="4" w:space="0" w:color="auto"/>
              <w:right w:val="nil"/>
            </w:tcBorders>
            <w:shd w:val="clear" w:color="000000" w:fill="D9D9D9"/>
            <w:noWrap/>
            <w:vAlign w:val="bottom"/>
            <w:hideMark/>
          </w:tcPr>
          <w:p w14:paraId="57EF6F5A"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N;BPH</w:t>
            </w:r>
          </w:p>
        </w:tc>
        <w:tc>
          <w:tcPr>
            <w:tcW w:w="1300" w:type="dxa"/>
            <w:tcBorders>
              <w:top w:val="nil"/>
              <w:left w:val="nil"/>
              <w:bottom w:val="single" w:sz="4" w:space="0" w:color="auto"/>
              <w:right w:val="nil"/>
            </w:tcBorders>
            <w:shd w:val="clear" w:color="000000" w:fill="D9D9D9"/>
            <w:noWrap/>
            <w:vAlign w:val="bottom"/>
            <w:hideMark/>
          </w:tcPr>
          <w:p w14:paraId="178FC0FD"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201</w:t>
            </w:r>
          </w:p>
        </w:tc>
        <w:tc>
          <w:tcPr>
            <w:tcW w:w="1300" w:type="dxa"/>
            <w:tcBorders>
              <w:top w:val="nil"/>
              <w:left w:val="nil"/>
              <w:bottom w:val="single" w:sz="4" w:space="0" w:color="auto"/>
              <w:right w:val="nil"/>
            </w:tcBorders>
            <w:shd w:val="clear" w:color="000000" w:fill="D9D9D9"/>
            <w:noWrap/>
            <w:vAlign w:val="bottom"/>
            <w:hideMark/>
          </w:tcPr>
          <w:p w14:paraId="00EB75F7"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c>
          <w:tcPr>
            <w:tcW w:w="1300" w:type="dxa"/>
            <w:tcBorders>
              <w:top w:val="nil"/>
              <w:left w:val="nil"/>
              <w:bottom w:val="single" w:sz="4" w:space="0" w:color="auto"/>
              <w:right w:val="nil"/>
            </w:tcBorders>
            <w:shd w:val="clear" w:color="000000" w:fill="D9D9D9"/>
            <w:noWrap/>
            <w:vAlign w:val="bottom"/>
            <w:hideMark/>
          </w:tcPr>
          <w:p w14:paraId="64194637" w14:textId="77777777" w:rsidR="00206B5F" w:rsidRPr="00206B5F" w:rsidRDefault="00206B5F" w:rsidP="00EF0058">
            <w:pPr>
              <w:widowControl w:val="0"/>
              <w:jc w:val="center"/>
              <w:rPr>
                <w:rFonts w:ascii="Avenir Book" w:eastAsia="Times New Roman" w:hAnsi="Avenir Book" w:cs="Calibri"/>
                <w:color w:val="000000"/>
                <w:sz w:val="21"/>
                <w:szCs w:val="21"/>
                <w:lang w:eastAsia="en-GB"/>
              </w:rPr>
            </w:pPr>
            <w:r w:rsidRPr="00206B5F">
              <w:rPr>
                <w:rFonts w:ascii="Avenir Book" w:eastAsia="Times New Roman" w:hAnsi="Avenir Book" w:cs="Calibri"/>
                <w:color w:val="000000"/>
                <w:sz w:val="21"/>
                <w:szCs w:val="21"/>
                <w:lang w:eastAsia="en-GB"/>
              </w:rPr>
              <w:t>0</w:t>
            </w:r>
          </w:p>
        </w:tc>
      </w:tr>
    </w:tbl>
    <w:p w14:paraId="511311FF" w14:textId="77777777" w:rsidR="00206B5F" w:rsidRDefault="00206B5F" w:rsidP="00EF0058">
      <w:pPr>
        <w:pStyle w:val="Caption"/>
        <w:widowControl w:val="0"/>
        <w:spacing w:before="120" w:after="120" w:line="480" w:lineRule="auto"/>
        <w:rPr>
          <w:rFonts w:ascii="Avenir Book" w:eastAsia="Droid Sans Fallback" w:hAnsi="Avenir Book"/>
          <w:b/>
          <w:i w:val="0"/>
          <w:iCs w:val="0"/>
          <w:color w:val="000000" w:themeColor="text1"/>
          <w:lang w:eastAsia="zh-CN" w:bidi="hi-IN"/>
        </w:rPr>
      </w:pPr>
    </w:p>
    <w:p w14:paraId="5809CB89" w14:textId="00EB8096" w:rsidR="00A0324D" w:rsidRPr="00A0324D" w:rsidRDefault="00A0324D" w:rsidP="00EF0058">
      <w:pPr>
        <w:pStyle w:val="Caption"/>
        <w:widowControl w:val="0"/>
        <w:spacing w:before="120" w:after="120" w:line="480" w:lineRule="auto"/>
        <w:rPr>
          <w:rFonts w:ascii="Avenir Book" w:eastAsia="Droid Sans Fallback" w:hAnsi="Avenir Book"/>
          <w:i w:val="0"/>
          <w:iCs w:val="0"/>
          <w:color w:val="000000" w:themeColor="text1"/>
          <w:lang w:eastAsia="zh-CN" w:bidi="hi-IN"/>
        </w:rPr>
      </w:pPr>
      <w:proofErr w:type="gramStart"/>
      <w:r w:rsidRPr="0095368B">
        <w:rPr>
          <w:rFonts w:ascii="Avenir Book" w:eastAsia="Droid Sans Fallback" w:hAnsi="Avenir Book"/>
          <w:b/>
          <w:i w:val="0"/>
          <w:iCs w:val="0"/>
          <w:color w:val="000000" w:themeColor="text1"/>
          <w:lang w:eastAsia="zh-CN" w:bidi="hi-IN"/>
        </w:rPr>
        <w:lastRenderedPageBreak/>
        <w:t xml:space="preserve">Supplementary Table </w:t>
      </w:r>
      <w:r w:rsidR="00767A64">
        <w:rPr>
          <w:rFonts w:ascii="Avenir Book" w:eastAsia="Droid Sans Fallback" w:hAnsi="Avenir Book"/>
          <w:b/>
          <w:i w:val="0"/>
          <w:iCs w:val="0"/>
          <w:color w:val="000000" w:themeColor="text1"/>
          <w:lang w:eastAsia="zh-CN" w:bidi="hi-IN"/>
        </w:rPr>
        <w:t>3</w:t>
      </w:r>
      <w:r w:rsidRPr="00685622">
        <w:rPr>
          <w:rFonts w:ascii="Avenir Book" w:hAnsi="Avenir Book"/>
          <w:b/>
          <w:i w:val="0"/>
          <w:iCs w:val="0"/>
          <w:color w:val="000000" w:themeColor="text1"/>
        </w:rPr>
        <w:t>.</w:t>
      </w:r>
      <w:proofErr w:type="gramEnd"/>
      <w:r w:rsidRPr="0095368B">
        <w:rPr>
          <w:rFonts w:ascii="Avenir Book" w:eastAsia="Droid Sans Fallback" w:hAnsi="Avenir Book"/>
          <w:i w:val="0"/>
          <w:iCs w:val="0"/>
          <w:color w:val="000000" w:themeColor="text1"/>
          <w:lang w:eastAsia="zh-CN" w:bidi="hi-IN"/>
        </w:rPr>
        <w:t xml:space="preserve"> </w:t>
      </w:r>
      <w:r w:rsidRPr="00685622">
        <w:rPr>
          <w:rFonts w:ascii="Avenir Book" w:hAnsi="Avenir Book"/>
          <w:b/>
          <w:bCs/>
          <w:i w:val="0"/>
          <w:iCs w:val="0"/>
          <w:color w:val="000000" w:themeColor="text1"/>
        </w:rPr>
        <w:t>The mutation characteristics of three groups of samples defined by the proportion of genome affected by copy number alterations</w:t>
      </w:r>
      <w:r w:rsidRPr="00685622">
        <w:rPr>
          <w:rFonts w:ascii="Avenir Book" w:hAnsi="Avenir Book"/>
          <w:i w:val="0"/>
          <w:iCs w:val="0"/>
          <w:color w:val="000000" w:themeColor="text1"/>
        </w:rPr>
        <w:t>. Group 1: T</w:t>
      </w:r>
      <w:r w:rsidRPr="0095368B">
        <w:rPr>
          <w:rFonts w:ascii="Avenir Book" w:eastAsia="Droid Sans Fallback" w:hAnsi="Avenir Book"/>
          <w:i w:val="0"/>
          <w:iCs w:val="0"/>
          <w:color w:val="000000" w:themeColor="text1"/>
          <w:lang w:eastAsia="zh-CN" w:bidi="hi-IN"/>
        </w:rPr>
        <w:t>umour samples examined by Wedge et al.</w:t>
      </w:r>
      <w:r w:rsidRPr="0095368B">
        <w:rPr>
          <w:rFonts w:ascii="Avenir Book" w:eastAsia="Droid Sans Fallback" w:hAnsi="Avenir Book"/>
          <w:i w:val="0"/>
          <w:iCs w:val="0"/>
          <w:color w:val="000000" w:themeColor="text1"/>
          <w:vertAlign w:val="superscript"/>
          <w:lang w:eastAsia="zh-CN" w:bidi="hi-IN"/>
        </w:rPr>
        <w:t>30</w:t>
      </w:r>
      <w:r w:rsidRPr="0095368B">
        <w:rPr>
          <w:rFonts w:ascii="Avenir Book" w:eastAsia="Droid Sans Fallback" w:hAnsi="Avenir Book"/>
          <w:i w:val="0"/>
          <w:iCs w:val="0"/>
          <w:color w:val="000000" w:themeColor="text1"/>
          <w:lang w:eastAsia="zh-CN" w:bidi="hi-IN"/>
        </w:rPr>
        <w:t xml:space="preserve"> </w:t>
      </w:r>
      <w:r w:rsidRPr="00685622">
        <w:rPr>
          <w:rFonts w:ascii="Avenir Book" w:hAnsi="Avenir Book"/>
          <w:i w:val="0"/>
          <w:iCs w:val="0"/>
          <w:color w:val="000000" w:themeColor="text1"/>
        </w:rPr>
        <w:t xml:space="preserve">with less than 6% of the genome </w:t>
      </w:r>
      <w:r w:rsidRPr="0095368B">
        <w:rPr>
          <w:rFonts w:ascii="Avenir Book" w:eastAsia="Droid Sans Fallback" w:hAnsi="Avenir Book"/>
          <w:i w:val="0"/>
          <w:iCs w:val="0"/>
          <w:color w:val="000000" w:themeColor="text1"/>
          <w:lang w:eastAsia="zh-CN" w:bidi="hi-IN"/>
        </w:rPr>
        <w:t>affected by CNAs</w:t>
      </w:r>
      <w:r w:rsidRPr="00685622">
        <w:rPr>
          <w:rFonts w:ascii="Avenir Book" w:hAnsi="Avenir Book"/>
          <w:i w:val="0"/>
          <w:iCs w:val="0"/>
          <w:color w:val="000000" w:themeColor="text1"/>
        </w:rPr>
        <w:t>;</w:t>
      </w:r>
      <w:r w:rsidRPr="0095368B">
        <w:rPr>
          <w:rFonts w:ascii="Avenir Book" w:eastAsia="Droid Sans Fallback" w:hAnsi="Avenir Book"/>
          <w:i w:val="0"/>
          <w:iCs w:val="0"/>
          <w:color w:val="000000" w:themeColor="text1"/>
          <w:lang w:eastAsia="zh-CN" w:bidi="hi-IN"/>
        </w:rPr>
        <w:t xml:space="preserve"> </w:t>
      </w:r>
      <w:r w:rsidRPr="00685622">
        <w:rPr>
          <w:rFonts w:ascii="Avenir Book" w:hAnsi="Avenir Book"/>
          <w:i w:val="0"/>
          <w:iCs w:val="0"/>
          <w:color w:val="000000" w:themeColor="text1"/>
        </w:rPr>
        <w:t>Group 2: T</w:t>
      </w:r>
      <w:r w:rsidRPr="0095368B">
        <w:rPr>
          <w:rFonts w:ascii="Avenir Book" w:eastAsia="Droid Sans Fallback" w:hAnsi="Avenir Book"/>
          <w:i w:val="0"/>
          <w:iCs w:val="0"/>
          <w:color w:val="000000" w:themeColor="text1"/>
          <w:lang w:eastAsia="zh-CN" w:bidi="hi-IN"/>
        </w:rPr>
        <w:t>umour samples examined by Wedge et al.</w:t>
      </w:r>
      <w:r w:rsidRPr="0095368B">
        <w:rPr>
          <w:rFonts w:ascii="Avenir Book" w:eastAsia="Droid Sans Fallback" w:hAnsi="Avenir Book"/>
          <w:i w:val="0"/>
          <w:iCs w:val="0"/>
          <w:color w:val="000000" w:themeColor="text1"/>
          <w:vertAlign w:val="superscript"/>
          <w:lang w:eastAsia="zh-CN" w:bidi="hi-IN"/>
        </w:rPr>
        <w:t>30</w:t>
      </w:r>
      <w:r w:rsidRPr="0095368B">
        <w:rPr>
          <w:rFonts w:ascii="Avenir Book" w:eastAsia="Droid Sans Fallback" w:hAnsi="Avenir Book"/>
          <w:i w:val="0"/>
          <w:iCs w:val="0"/>
          <w:color w:val="000000" w:themeColor="text1"/>
          <w:lang w:eastAsia="zh-CN" w:bidi="hi-IN"/>
        </w:rPr>
        <w:t xml:space="preserve"> </w:t>
      </w:r>
      <w:r w:rsidRPr="00685622">
        <w:rPr>
          <w:rFonts w:ascii="Avenir Book" w:hAnsi="Avenir Book"/>
          <w:i w:val="0"/>
          <w:iCs w:val="0"/>
          <w:color w:val="000000" w:themeColor="text1"/>
        </w:rPr>
        <w:t xml:space="preserve">with more than 6% of the genome </w:t>
      </w:r>
      <w:r w:rsidRPr="0095368B">
        <w:rPr>
          <w:rFonts w:ascii="Avenir Book" w:eastAsia="Droid Sans Fallback" w:hAnsi="Avenir Book"/>
          <w:i w:val="0"/>
          <w:iCs w:val="0"/>
          <w:color w:val="000000" w:themeColor="text1"/>
          <w:lang w:eastAsia="zh-CN" w:bidi="hi-IN"/>
        </w:rPr>
        <w:t>affected by CNAs</w:t>
      </w:r>
      <w:r w:rsidRPr="00685622">
        <w:rPr>
          <w:rFonts w:ascii="Avenir Book" w:hAnsi="Avenir Book"/>
          <w:i w:val="0"/>
          <w:iCs w:val="0"/>
          <w:color w:val="000000" w:themeColor="text1"/>
        </w:rPr>
        <w:t>;</w:t>
      </w:r>
      <w:r w:rsidRPr="0095368B">
        <w:rPr>
          <w:rFonts w:ascii="Avenir Book" w:eastAsia="Droid Sans Fallback" w:hAnsi="Avenir Book"/>
          <w:i w:val="0"/>
          <w:iCs w:val="0"/>
          <w:color w:val="000000" w:themeColor="text1"/>
          <w:lang w:eastAsia="zh-CN" w:bidi="hi-IN"/>
        </w:rPr>
        <w:t xml:space="preserve"> </w:t>
      </w:r>
      <w:r w:rsidRPr="00685622">
        <w:rPr>
          <w:rFonts w:ascii="Avenir Book" w:hAnsi="Avenir Book"/>
          <w:i w:val="0"/>
          <w:iCs w:val="0"/>
          <w:color w:val="000000" w:themeColor="text1"/>
        </w:rPr>
        <w:t xml:space="preserve">and Group 3: normal samples examined in our study where no CNAs were detected. </w:t>
      </w:r>
      <w:r w:rsidRPr="0095368B">
        <w:rPr>
          <w:rFonts w:ascii="Avenir Book" w:eastAsia="Droid Sans Fallback" w:hAnsi="Avenir Book"/>
          <w:i w:val="0"/>
          <w:iCs w:val="0"/>
          <w:color w:val="000000" w:themeColor="text1"/>
          <w:lang w:eastAsia="zh-CN" w:bidi="hi-IN"/>
        </w:rPr>
        <w:t xml:space="preserve">The </w:t>
      </w:r>
      <w:r w:rsidRPr="00685622">
        <w:rPr>
          <w:rFonts w:ascii="Avenir Book" w:hAnsi="Avenir Book"/>
          <w:i w:val="0"/>
          <w:iCs w:val="0"/>
          <w:color w:val="000000" w:themeColor="text1"/>
        </w:rPr>
        <w:t>median</w:t>
      </w:r>
      <w:r w:rsidRPr="0095368B">
        <w:rPr>
          <w:rFonts w:ascii="Avenir Book" w:eastAsia="Droid Sans Fallback" w:hAnsi="Avenir Book"/>
          <w:i w:val="0"/>
          <w:iCs w:val="0"/>
          <w:color w:val="000000" w:themeColor="text1"/>
          <w:lang w:eastAsia="zh-CN" w:bidi="hi-IN"/>
        </w:rPr>
        <w:t xml:space="preserve"> number of SNVs and indels </w:t>
      </w:r>
      <w:r w:rsidRPr="00685622">
        <w:rPr>
          <w:rFonts w:ascii="Avenir Book" w:hAnsi="Avenir Book"/>
          <w:i w:val="0"/>
          <w:iCs w:val="0"/>
          <w:color w:val="000000" w:themeColor="text1"/>
        </w:rPr>
        <w:t>are</w:t>
      </w:r>
      <w:r w:rsidRPr="0095368B">
        <w:rPr>
          <w:rFonts w:ascii="Avenir Book" w:eastAsia="Droid Sans Fallback" w:hAnsi="Avenir Book"/>
          <w:i w:val="0"/>
          <w:iCs w:val="0"/>
          <w:color w:val="000000" w:themeColor="text1"/>
          <w:lang w:eastAsia="zh-CN" w:bidi="hi-IN"/>
        </w:rPr>
        <w:t xml:space="preserve"> shown for each group.</w:t>
      </w:r>
      <w:bookmarkEnd w:id="0"/>
      <w:bookmarkEnd w:id="1"/>
      <w:bookmarkEnd w:id="2"/>
      <w:bookmarkEnd w:id="3"/>
      <w:bookmarkEnd w:id="4"/>
      <w:bookmarkEnd w:id="5"/>
      <w:bookmarkEnd w:id="6"/>
      <w:bookmarkEnd w:id="7"/>
      <w:bookmarkEnd w:id="8"/>
    </w:p>
    <w:tbl>
      <w:tblPr>
        <w:tblStyle w:val="GridTableLight"/>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7"/>
        <w:gridCol w:w="1276"/>
        <w:gridCol w:w="992"/>
        <w:gridCol w:w="915"/>
        <w:gridCol w:w="3300"/>
      </w:tblGrid>
      <w:tr w:rsidR="00E9A6A9" w:rsidRPr="00A0324D" w14:paraId="001E0F3A" w14:textId="77777777" w:rsidTr="00106E0C">
        <w:trPr>
          <w:trHeight w:val="420"/>
        </w:trPr>
        <w:tc>
          <w:tcPr>
            <w:tcW w:w="2967" w:type="dxa"/>
            <w:tcBorders>
              <w:top w:val="single" w:sz="4" w:space="0" w:color="auto"/>
              <w:bottom w:val="single" w:sz="4" w:space="0" w:color="auto"/>
            </w:tcBorders>
          </w:tcPr>
          <w:p w14:paraId="42986424" w14:textId="1AE9015A" w:rsidR="00E9A6A9" w:rsidRPr="00A0324D" w:rsidRDefault="00E9A6A9" w:rsidP="00EF0058">
            <w:pPr>
              <w:widowControl w:val="0"/>
              <w:rPr>
                <w:rFonts w:ascii="Avenir Book" w:hAnsi="Avenir Book"/>
                <w:sz w:val="18"/>
                <w:szCs w:val="18"/>
              </w:rPr>
            </w:pPr>
            <w:r w:rsidRPr="00A0324D">
              <w:rPr>
                <w:rFonts w:ascii="Avenir Book" w:eastAsia="Times New Roman" w:hAnsi="Avenir Book" w:cs="Times New Roman"/>
                <w:b/>
                <w:bCs/>
                <w:color w:val="000000" w:themeColor="text1"/>
                <w:sz w:val="18"/>
                <w:szCs w:val="18"/>
              </w:rPr>
              <w:t>% of genome affected by CNAs</w:t>
            </w:r>
          </w:p>
        </w:tc>
        <w:tc>
          <w:tcPr>
            <w:tcW w:w="1276" w:type="dxa"/>
            <w:tcBorders>
              <w:top w:val="single" w:sz="4" w:space="0" w:color="auto"/>
              <w:bottom w:val="single" w:sz="4" w:space="0" w:color="auto"/>
            </w:tcBorders>
          </w:tcPr>
          <w:p w14:paraId="353261D5" w14:textId="527D772B"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b/>
                <w:bCs/>
                <w:color w:val="000000" w:themeColor="text1"/>
                <w:sz w:val="18"/>
                <w:szCs w:val="18"/>
              </w:rPr>
              <w:t>N</w:t>
            </w:r>
            <w:r w:rsidR="213728AD" w:rsidRPr="00A0324D">
              <w:rPr>
                <w:rFonts w:ascii="Avenir Book" w:eastAsia="Times New Roman" w:hAnsi="Avenir Book" w:cs="Times New Roman"/>
                <w:b/>
                <w:bCs/>
                <w:color w:val="000000" w:themeColor="text1"/>
                <w:sz w:val="18"/>
                <w:szCs w:val="18"/>
                <w:vertAlign w:val="superscript"/>
              </w:rPr>
              <w:t>0</w:t>
            </w:r>
            <w:r w:rsidRPr="00A0324D">
              <w:rPr>
                <w:rFonts w:ascii="Avenir Book" w:eastAsia="Times New Roman" w:hAnsi="Avenir Book" w:cs="Times New Roman"/>
                <w:b/>
                <w:bCs/>
                <w:color w:val="000000" w:themeColor="text1"/>
                <w:sz w:val="18"/>
                <w:szCs w:val="18"/>
              </w:rPr>
              <w:t xml:space="preserve"> samples</w:t>
            </w:r>
          </w:p>
        </w:tc>
        <w:tc>
          <w:tcPr>
            <w:tcW w:w="992" w:type="dxa"/>
            <w:tcBorders>
              <w:top w:val="single" w:sz="4" w:space="0" w:color="auto"/>
              <w:bottom w:val="single" w:sz="4" w:space="0" w:color="auto"/>
            </w:tcBorders>
          </w:tcPr>
          <w:p w14:paraId="44980791" w14:textId="5B97252F"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b/>
                <w:bCs/>
                <w:color w:val="000000" w:themeColor="text1"/>
                <w:sz w:val="18"/>
                <w:szCs w:val="18"/>
              </w:rPr>
              <w:t>Median SNVs</w:t>
            </w:r>
          </w:p>
        </w:tc>
        <w:tc>
          <w:tcPr>
            <w:tcW w:w="915" w:type="dxa"/>
            <w:tcBorders>
              <w:top w:val="single" w:sz="4" w:space="0" w:color="auto"/>
              <w:bottom w:val="single" w:sz="4" w:space="0" w:color="auto"/>
            </w:tcBorders>
          </w:tcPr>
          <w:p w14:paraId="1823C13C" w14:textId="4A0E60B4"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b/>
                <w:bCs/>
                <w:color w:val="000000" w:themeColor="text1"/>
                <w:sz w:val="18"/>
                <w:szCs w:val="18"/>
              </w:rPr>
              <w:t>Median indels</w:t>
            </w:r>
          </w:p>
        </w:tc>
        <w:tc>
          <w:tcPr>
            <w:tcW w:w="3300" w:type="dxa"/>
            <w:tcBorders>
              <w:top w:val="single" w:sz="4" w:space="0" w:color="auto"/>
              <w:bottom w:val="single" w:sz="4" w:space="0" w:color="auto"/>
            </w:tcBorders>
          </w:tcPr>
          <w:p w14:paraId="25205D18" w14:textId="3EA79DBE" w:rsidR="00E9A6A9" w:rsidRPr="00A0324D" w:rsidRDefault="00E9A6A9" w:rsidP="00EF0058">
            <w:pPr>
              <w:widowControl w:val="0"/>
              <w:rPr>
                <w:rFonts w:ascii="Avenir Book" w:hAnsi="Avenir Book"/>
                <w:sz w:val="18"/>
                <w:szCs w:val="18"/>
              </w:rPr>
            </w:pPr>
            <w:r w:rsidRPr="00A0324D">
              <w:rPr>
                <w:rFonts w:ascii="Avenir Book" w:eastAsia="Times New Roman" w:hAnsi="Avenir Book" w:cs="Times New Roman"/>
                <w:b/>
                <w:bCs/>
                <w:color w:val="000000" w:themeColor="text1"/>
                <w:sz w:val="18"/>
                <w:szCs w:val="18"/>
              </w:rPr>
              <w:t>Samples</w:t>
            </w:r>
          </w:p>
        </w:tc>
      </w:tr>
      <w:tr w:rsidR="00E9A6A9" w:rsidRPr="00A0324D" w14:paraId="2EF48317" w14:textId="77777777" w:rsidTr="00106E0C">
        <w:trPr>
          <w:trHeight w:val="432"/>
        </w:trPr>
        <w:tc>
          <w:tcPr>
            <w:tcW w:w="2967" w:type="dxa"/>
            <w:tcBorders>
              <w:top w:val="single" w:sz="4" w:space="0" w:color="auto"/>
            </w:tcBorders>
          </w:tcPr>
          <w:p w14:paraId="6760964B" w14:textId="734014F2" w:rsidR="00E9A6A9" w:rsidRPr="00A0324D" w:rsidRDefault="00B65F64" w:rsidP="00EF0058">
            <w:pPr>
              <w:widowControl w:val="0"/>
              <w:jc w:val="right"/>
              <w:rPr>
                <w:rFonts w:ascii="Avenir Book" w:hAnsi="Avenir Book"/>
                <w:sz w:val="18"/>
                <w:szCs w:val="18"/>
              </w:rPr>
            </w:pPr>
            <w:r w:rsidRPr="00A0324D">
              <w:rPr>
                <w:rFonts w:ascii="Avenir Book" w:eastAsia="Times New Roman" w:hAnsi="Avenir Book" w:cs="Times New Roman"/>
                <w:color w:val="000000" w:themeColor="text1"/>
                <w:sz w:val="18"/>
                <w:szCs w:val="18"/>
              </w:rPr>
              <w:t>&gt;</w:t>
            </w:r>
            <w:r w:rsidR="00E9A6A9" w:rsidRPr="00A0324D">
              <w:rPr>
                <w:rFonts w:ascii="Avenir Book" w:eastAsia="Times New Roman" w:hAnsi="Avenir Book" w:cs="Times New Roman"/>
                <w:color w:val="000000" w:themeColor="text1"/>
                <w:sz w:val="18"/>
                <w:szCs w:val="18"/>
              </w:rPr>
              <w:t xml:space="preserve"> 6</w:t>
            </w:r>
          </w:p>
        </w:tc>
        <w:tc>
          <w:tcPr>
            <w:tcW w:w="1276" w:type="dxa"/>
            <w:tcBorders>
              <w:top w:val="single" w:sz="4" w:space="0" w:color="auto"/>
            </w:tcBorders>
          </w:tcPr>
          <w:p w14:paraId="3679A779" w14:textId="3003F9FB"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67</w:t>
            </w:r>
          </w:p>
        </w:tc>
        <w:tc>
          <w:tcPr>
            <w:tcW w:w="992" w:type="dxa"/>
            <w:tcBorders>
              <w:top w:val="single" w:sz="4" w:space="0" w:color="auto"/>
            </w:tcBorders>
          </w:tcPr>
          <w:p w14:paraId="7E221EC3" w14:textId="24B3850C"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2796</w:t>
            </w:r>
          </w:p>
        </w:tc>
        <w:tc>
          <w:tcPr>
            <w:tcW w:w="915" w:type="dxa"/>
            <w:tcBorders>
              <w:top w:val="single" w:sz="4" w:space="0" w:color="auto"/>
            </w:tcBorders>
          </w:tcPr>
          <w:p w14:paraId="0DC995DD" w14:textId="0950AF07"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2576</w:t>
            </w:r>
          </w:p>
        </w:tc>
        <w:tc>
          <w:tcPr>
            <w:tcW w:w="3300" w:type="dxa"/>
            <w:tcBorders>
              <w:top w:val="single" w:sz="4" w:space="0" w:color="auto"/>
            </w:tcBorders>
          </w:tcPr>
          <w:p w14:paraId="183ED904" w14:textId="360068C1" w:rsidR="00E9A6A9" w:rsidRPr="00A0324D" w:rsidRDefault="00E9A6A9" w:rsidP="00EF0058">
            <w:pPr>
              <w:widowControl w:val="0"/>
              <w:rPr>
                <w:rFonts w:ascii="Avenir Book" w:hAnsi="Avenir Book"/>
                <w:sz w:val="18"/>
                <w:szCs w:val="18"/>
              </w:rPr>
            </w:pPr>
            <w:r w:rsidRPr="00A0324D">
              <w:rPr>
                <w:rFonts w:ascii="Avenir Book" w:eastAsia="Times New Roman" w:hAnsi="Avenir Book" w:cs="Times New Roman"/>
                <w:color w:val="000000" w:themeColor="text1"/>
                <w:sz w:val="18"/>
                <w:szCs w:val="18"/>
              </w:rPr>
              <w:t xml:space="preserve">Tumour samples from Wedge </w:t>
            </w:r>
            <w:r w:rsidRPr="00A0324D">
              <w:rPr>
                <w:rFonts w:ascii="Avenir Book" w:eastAsia="Times New Roman" w:hAnsi="Avenir Book" w:cs="Times New Roman"/>
                <w:i/>
                <w:iCs/>
                <w:color w:val="000000" w:themeColor="text1"/>
                <w:sz w:val="18"/>
                <w:szCs w:val="18"/>
              </w:rPr>
              <w:t>et al</w:t>
            </w:r>
            <w:r w:rsidRPr="00A0324D">
              <w:rPr>
                <w:rFonts w:ascii="Avenir Book" w:eastAsia="Times New Roman" w:hAnsi="Avenir Book" w:cs="Times New Roman"/>
                <w:color w:val="000000" w:themeColor="text1"/>
                <w:sz w:val="18"/>
                <w:szCs w:val="18"/>
              </w:rPr>
              <w:t>.</w:t>
            </w:r>
            <w:r w:rsidRPr="00A0324D">
              <w:rPr>
                <w:rFonts w:ascii="Avenir Book" w:eastAsia="Times New Roman" w:hAnsi="Avenir Book" w:cs="Times New Roman"/>
                <w:color w:val="000000" w:themeColor="text1"/>
                <w:sz w:val="18"/>
                <w:szCs w:val="18"/>
                <w:vertAlign w:val="superscript"/>
              </w:rPr>
              <w:t>29</w:t>
            </w:r>
          </w:p>
        </w:tc>
      </w:tr>
      <w:tr w:rsidR="00E9A6A9" w:rsidRPr="00A0324D" w14:paraId="2A4E62D5" w14:textId="77777777" w:rsidTr="00106E0C">
        <w:trPr>
          <w:trHeight w:val="570"/>
        </w:trPr>
        <w:tc>
          <w:tcPr>
            <w:tcW w:w="2967" w:type="dxa"/>
          </w:tcPr>
          <w:p w14:paraId="7E253098" w14:textId="017C572C" w:rsidR="00E9A6A9" w:rsidRPr="00A0324D" w:rsidRDefault="00B65F64" w:rsidP="00EF0058">
            <w:pPr>
              <w:widowControl w:val="0"/>
              <w:jc w:val="right"/>
              <w:rPr>
                <w:rFonts w:ascii="Avenir Book" w:hAnsi="Avenir Book"/>
                <w:sz w:val="18"/>
                <w:szCs w:val="18"/>
              </w:rPr>
            </w:pPr>
            <w:r w:rsidRPr="00A0324D">
              <w:rPr>
                <w:rFonts w:ascii="Avenir Book" w:eastAsia="Times New Roman" w:hAnsi="Avenir Book" w:cs="Times New Roman"/>
                <w:color w:val="000000" w:themeColor="text1"/>
                <w:sz w:val="18"/>
                <w:szCs w:val="18"/>
              </w:rPr>
              <w:t>&lt;</w:t>
            </w:r>
            <w:r w:rsidR="00E9A6A9" w:rsidRPr="00A0324D">
              <w:rPr>
                <w:rFonts w:ascii="Avenir Book" w:eastAsia="Times New Roman" w:hAnsi="Avenir Book" w:cs="Times New Roman"/>
                <w:color w:val="000000" w:themeColor="text1"/>
                <w:sz w:val="18"/>
                <w:szCs w:val="18"/>
              </w:rPr>
              <w:t xml:space="preserve"> 6</w:t>
            </w:r>
          </w:p>
        </w:tc>
        <w:tc>
          <w:tcPr>
            <w:tcW w:w="1276" w:type="dxa"/>
          </w:tcPr>
          <w:p w14:paraId="24B60811" w14:textId="225C6665"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23</w:t>
            </w:r>
          </w:p>
        </w:tc>
        <w:tc>
          <w:tcPr>
            <w:tcW w:w="992" w:type="dxa"/>
          </w:tcPr>
          <w:p w14:paraId="4FC2AC39" w14:textId="3CD199A0"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2250</w:t>
            </w:r>
          </w:p>
        </w:tc>
        <w:tc>
          <w:tcPr>
            <w:tcW w:w="915" w:type="dxa"/>
          </w:tcPr>
          <w:p w14:paraId="75702D35" w14:textId="011EBEA2"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2125</w:t>
            </w:r>
          </w:p>
        </w:tc>
        <w:tc>
          <w:tcPr>
            <w:tcW w:w="3300" w:type="dxa"/>
          </w:tcPr>
          <w:p w14:paraId="7626DA1F" w14:textId="650CCCF9" w:rsidR="00E9A6A9" w:rsidRPr="00A0324D" w:rsidRDefault="00E9A6A9" w:rsidP="00EF0058">
            <w:pPr>
              <w:widowControl w:val="0"/>
              <w:rPr>
                <w:rFonts w:ascii="Avenir Book" w:hAnsi="Avenir Book"/>
                <w:sz w:val="18"/>
                <w:szCs w:val="18"/>
              </w:rPr>
            </w:pPr>
            <w:r w:rsidRPr="00A0324D">
              <w:rPr>
                <w:rFonts w:ascii="Avenir Book" w:eastAsia="Times New Roman" w:hAnsi="Avenir Book" w:cs="Times New Roman"/>
                <w:color w:val="000000" w:themeColor="text1"/>
                <w:sz w:val="18"/>
                <w:szCs w:val="18"/>
              </w:rPr>
              <w:t xml:space="preserve">Tumour samples from Wedge </w:t>
            </w:r>
            <w:r w:rsidRPr="00A0324D">
              <w:rPr>
                <w:rFonts w:ascii="Avenir Book" w:eastAsia="Times New Roman" w:hAnsi="Avenir Book" w:cs="Times New Roman"/>
                <w:i/>
                <w:iCs/>
                <w:color w:val="000000" w:themeColor="text1"/>
                <w:sz w:val="18"/>
                <w:szCs w:val="18"/>
              </w:rPr>
              <w:t>et al</w:t>
            </w:r>
            <w:r w:rsidRPr="00A0324D">
              <w:rPr>
                <w:rFonts w:ascii="Avenir Book" w:eastAsia="Times New Roman" w:hAnsi="Avenir Book" w:cs="Times New Roman"/>
                <w:color w:val="000000" w:themeColor="text1"/>
                <w:sz w:val="18"/>
                <w:szCs w:val="18"/>
              </w:rPr>
              <w:t>.</w:t>
            </w:r>
            <w:r w:rsidRPr="00A0324D">
              <w:rPr>
                <w:rFonts w:ascii="Avenir Book" w:eastAsia="Times New Roman" w:hAnsi="Avenir Book" w:cs="Times New Roman"/>
                <w:color w:val="000000" w:themeColor="text1"/>
                <w:sz w:val="18"/>
                <w:szCs w:val="18"/>
                <w:vertAlign w:val="superscript"/>
              </w:rPr>
              <w:t>29</w:t>
            </w:r>
          </w:p>
        </w:tc>
      </w:tr>
      <w:tr w:rsidR="00E9A6A9" w:rsidRPr="00A0324D" w14:paraId="6B777848" w14:textId="77777777" w:rsidTr="00106E0C">
        <w:trPr>
          <w:trHeight w:val="540"/>
        </w:trPr>
        <w:tc>
          <w:tcPr>
            <w:tcW w:w="2967" w:type="dxa"/>
            <w:tcBorders>
              <w:bottom w:val="single" w:sz="4" w:space="0" w:color="auto"/>
            </w:tcBorders>
          </w:tcPr>
          <w:p w14:paraId="1CB45246" w14:textId="03238D4A" w:rsidR="00E9A6A9" w:rsidRPr="00A0324D" w:rsidRDefault="00E9A6A9" w:rsidP="00EF0058">
            <w:pPr>
              <w:widowControl w:val="0"/>
              <w:jc w:val="right"/>
              <w:rPr>
                <w:rFonts w:ascii="Avenir Book" w:hAnsi="Avenir Book"/>
                <w:sz w:val="18"/>
                <w:szCs w:val="18"/>
              </w:rPr>
            </w:pPr>
            <w:r w:rsidRPr="00A0324D">
              <w:rPr>
                <w:rFonts w:ascii="Avenir Book" w:eastAsia="Times New Roman" w:hAnsi="Avenir Book" w:cs="Times New Roman"/>
                <w:color w:val="000000" w:themeColor="text1"/>
                <w:sz w:val="18"/>
                <w:szCs w:val="18"/>
              </w:rPr>
              <w:t>0</w:t>
            </w:r>
          </w:p>
        </w:tc>
        <w:tc>
          <w:tcPr>
            <w:tcW w:w="1276" w:type="dxa"/>
            <w:tcBorders>
              <w:bottom w:val="single" w:sz="4" w:space="0" w:color="auto"/>
            </w:tcBorders>
          </w:tcPr>
          <w:p w14:paraId="502B1589" w14:textId="5D22EC17" w:rsidR="00E9A6A9" w:rsidRPr="00A0324D" w:rsidRDefault="00E9A6A9"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44</w:t>
            </w:r>
          </w:p>
        </w:tc>
        <w:tc>
          <w:tcPr>
            <w:tcW w:w="992" w:type="dxa"/>
            <w:tcBorders>
              <w:bottom w:val="single" w:sz="4" w:space="0" w:color="auto"/>
            </w:tcBorders>
          </w:tcPr>
          <w:p w14:paraId="284387D2" w14:textId="011AA2C9" w:rsidR="00E9A6A9" w:rsidRPr="00A0324D" w:rsidRDefault="00C719A7"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421</w:t>
            </w:r>
          </w:p>
        </w:tc>
        <w:tc>
          <w:tcPr>
            <w:tcW w:w="915" w:type="dxa"/>
            <w:tcBorders>
              <w:bottom w:val="single" w:sz="4" w:space="0" w:color="auto"/>
            </w:tcBorders>
          </w:tcPr>
          <w:p w14:paraId="067B8432" w14:textId="75E3B5B5" w:rsidR="00E9A6A9" w:rsidRPr="00A0324D" w:rsidRDefault="00C719A7" w:rsidP="00EF0058">
            <w:pPr>
              <w:widowControl w:val="0"/>
              <w:jc w:val="center"/>
              <w:rPr>
                <w:rFonts w:ascii="Avenir Book" w:hAnsi="Avenir Book"/>
                <w:sz w:val="18"/>
                <w:szCs w:val="18"/>
              </w:rPr>
            </w:pPr>
            <w:r w:rsidRPr="00A0324D">
              <w:rPr>
                <w:rFonts w:ascii="Avenir Book" w:eastAsia="Times New Roman" w:hAnsi="Avenir Book" w:cs="Times New Roman"/>
                <w:color w:val="000000" w:themeColor="text1"/>
                <w:sz w:val="18"/>
                <w:szCs w:val="18"/>
              </w:rPr>
              <w:t>445</w:t>
            </w:r>
          </w:p>
        </w:tc>
        <w:tc>
          <w:tcPr>
            <w:tcW w:w="3300" w:type="dxa"/>
            <w:tcBorders>
              <w:bottom w:val="single" w:sz="4" w:space="0" w:color="auto"/>
            </w:tcBorders>
          </w:tcPr>
          <w:p w14:paraId="45391C94" w14:textId="1E281532" w:rsidR="00E9A6A9" w:rsidRPr="00A0324D" w:rsidRDefault="00E9A6A9" w:rsidP="00EF0058">
            <w:pPr>
              <w:widowControl w:val="0"/>
              <w:rPr>
                <w:rFonts w:ascii="Avenir Book" w:hAnsi="Avenir Book"/>
                <w:sz w:val="18"/>
                <w:szCs w:val="18"/>
              </w:rPr>
            </w:pPr>
            <w:r w:rsidRPr="00A0324D">
              <w:rPr>
                <w:rFonts w:ascii="Avenir Book" w:eastAsia="Times New Roman" w:hAnsi="Avenir Book" w:cs="Times New Roman"/>
                <w:color w:val="000000" w:themeColor="text1"/>
                <w:sz w:val="18"/>
                <w:szCs w:val="18"/>
              </w:rPr>
              <w:t>Normal samples from WGS</w:t>
            </w:r>
          </w:p>
        </w:tc>
      </w:tr>
    </w:tbl>
    <w:p w14:paraId="3417C2AA" w14:textId="0C0B02CE" w:rsidR="005E35F3" w:rsidRPr="00685622" w:rsidRDefault="005E35F3" w:rsidP="00EF0058">
      <w:pPr>
        <w:widowControl w:val="0"/>
      </w:pPr>
    </w:p>
    <w:p w14:paraId="72F07DFA" w14:textId="16E83CCA" w:rsidR="00206B5F" w:rsidRDefault="00206B5F" w:rsidP="00EF0058">
      <w:pPr>
        <w:widowControl w:val="0"/>
      </w:pPr>
      <w:r>
        <w:br w:type="page"/>
      </w:r>
    </w:p>
    <w:p w14:paraId="16E818C5" w14:textId="4C0EA932" w:rsidR="00F93895" w:rsidRDefault="00D065CB" w:rsidP="00EF0058">
      <w:pPr>
        <w:pStyle w:val="Caption"/>
        <w:widowControl w:val="0"/>
        <w:rPr>
          <w:rFonts w:ascii="Avenir Book" w:hAnsi="Avenir Book"/>
          <w:i w:val="0"/>
          <w:iCs w:val="0"/>
          <w:color w:val="000000" w:themeColor="text1"/>
          <w:sz w:val="21"/>
          <w:szCs w:val="21"/>
        </w:rPr>
      </w:pPr>
      <w:r>
        <w:rPr>
          <w:b/>
          <w:i w:val="0"/>
          <w:iCs w:val="0"/>
          <w:noProof/>
          <w:color w:val="auto"/>
          <w:sz w:val="24"/>
          <w:szCs w:val="24"/>
          <w:lang w:val="en-US"/>
        </w:rPr>
        <w:lastRenderedPageBreak/>
        <w:drawing>
          <wp:inline distT="0" distB="0" distL="0" distR="0" wp14:anchorId="697DADF1" wp14:editId="5E32BBDD">
            <wp:extent cx="5943600" cy="4196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943600" cy="4196080"/>
                    </a:xfrm>
                    <a:prstGeom prst="rect">
                      <a:avLst/>
                    </a:prstGeom>
                  </pic:spPr>
                </pic:pic>
              </a:graphicData>
            </a:graphic>
          </wp:inline>
        </w:drawing>
      </w:r>
      <w:r w:rsidR="00F93895" w:rsidRPr="00F93895">
        <w:rPr>
          <w:b/>
          <w:i w:val="0"/>
          <w:iCs w:val="0"/>
          <w:color w:val="auto"/>
          <w:sz w:val="24"/>
          <w:szCs w:val="24"/>
        </w:rPr>
        <w:t xml:space="preserve">Supplementary Figure </w:t>
      </w:r>
      <w:r w:rsidR="00F93895">
        <w:rPr>
          <w:b/>
          <w:i w:val="0"/>
          <w:iCs w:val="0"/>
          <w:color w:val="auto"/>
          <w:sz w:val="24"/>
          <w:szCs w:val="24"/>
        </w:rPr>
        <w:t>1</w:t>
      </w:r>
      <w:r w:rsidR="00F93895" w:rsidRPr="00F93895">
        <w:rPr>
          <w:b/>
          <w:i w:val="0"/>
          <w:iCs w:val="0"/>
          <w:color w:val="auto"/>
          <w:sz w:val="24"/>
          <w:szCs w:val="24"/>
        </w:rPr>
        <w:t>:</w:t>
      </w:r>
      <w:r w:rsidR="00F93895" w:rsidRPr="00F93895">
        <w:rPr>
          <w:i w:val="0"/>
          <w:iCs w:val="0"/>
          <w:color w:val="auto"/>
          <w:sz w:val="24"/>
          <w:szCs w:val="24"/>
        </w:rPr>
        <w:t xml:space="preserve"> </w:t>
      </w:r>
      <w:r w:rsidR="00F93895" w:rsidRPr="00D14750">
        <w:rPr>
          <w:rFonts w:ascii="Avenir Book" w:hAnsi="Avenir Book"/>
          <w:i w:val="0"/>
          <w:iCs w:val="0"/>
          <w:color w:val="000000" w:themeColor="text1"/>
          <w:sz w:val="21"/>
          <w:szCs w:val="21"/>
        </w:rPr>
        <w:t>Age vs number of SNVs detected</w:t>
      </w:r>
      <w:r w:rsidR="00F93895">
        <w:rPr>
          <w:rFonts w:ascii="Avenir Book" w:hAnsi="Avenir Book"/>
          <w:i w:val="0"/>
          <w:iCs w:val="0"/>
          <w:color w:val="000000" w:themeColor="text1"/>
          <w:sz w:val="21"/>
          <w:szCs w:val="21"/>
        </w:rPr>
        <w:t xml:space="preserve"> for normal tissue from Prostate cancer patients and non-prostate cancer donors. F</w:t>
      </w:r>
      <w:r w:rsidR="00F93895" w:rsidRPr="00F93895">
        <w:rPr>
          <w:rFonts w:ascii="Avenir Book" w:hAnsi="Avenir Book"/>
          <w:i w:val="0"/>
          <w:iCs w:val="0"/>
          <w:color w:val="000000" w:themeColor="text1"/>
          <w:sz w:val="21"/>
          <w:szCs w:val="21"/>
        </w:rPr>
        <w:t>or the non-cancer donors, the number of SNVs detected is remarkably consistent (range: 104 to 159)</w:t>
      </w:r>
      <w:r w:rsidR="00F93895">
        <w:rPr>
          <w:rFonts w:ascii="Avenir Book" w:hAnsi="Avenir Book"/>
          <w:i w:val="0"/>
          <w:iCs w:val="0"/>
          <w:color w:val="000000" w:themeColor="text1"/>
          <w:sz w:val="21"/>
          <w:szCs w:val="21"/>
        </w:rPr>
        <w:t xml:space="preserve">, apart from </w:t>
      </w:r>
      <w:r w:rsidR="00F93895" w:rsidRPr="00F93895">
        <w:rPr>
          <w:rFonts w:ascii="Avenir Book" w:hAnsi="Avenir Book"/>
          <w:i w:val="0"/>
          <w:iCs w:val="0"/>
          <w:color w:val="000000" w:themeColor="text1"/>
          <w:sz w:val="21"/>
          <w:szCs w:val="21"/>
        </w:rPr>
        <w:t xml:space="preserve">one outlier from a </w:t>
      </w:r>
      <w:proofErr w:type="spellStart"/>
      <w:r w:rsidR="00F93895" w:rsidRPr="00F93895">
        <w:rPr>
          <w:rFonts w:ascii="Avenir Book" w:hAnsi="Avenir Book"/>
          <w:i w:val="0"/>
          <w:iCs w:val="0"/>
          <w:color w:val="000000" w:themeColor="text1"/>
          <w:sz w:val="21"/>
          <w:szCs w:val="21"/>
        </w:rPr>
        <w:t>cystoprostatectomy</w:t>
      </w:r>
      <w:proofErr w:type="spellEnd"/>
      <w:r w:rsidR="00F93895" w:rsidRPr="00F93895">
        <w:rPr>
          <w:rFonts w:ascii="Avenir Book" w:hAnsi="Avenir Book"/>
          <w:i w:val="0"/>
          <w:iCs w:val="0"/>
          <w:color w:val="000000" w:themeColor="text1"/>
          <w:sz w:val="21"/>
          <w:szCs w:val="21"/>
        </w:rPr>
        <w:t xml:space="preserve"> with an exceptionally high number of mutations (1202) </w:t>
      </w:r>
      <w:r w:rsidR="00F93895">
        <w:rPr>
          <w:rFonts w:ascii="Avenir Book" w:hAnsi="Avenir Book"/>
          <w:i w:val="0"/>
          <w:iCs w:val="0"/>
          <w:color w:val="000000" w:themeColor="text1"/>
          <w:sz w:val="21"/>
          <w:szCs w:val="21"/>
        </w:rPr>
        <w:t>that</w:t>
      </w:r>
      <w:r w:rsidR="00F93895" w:rsidRPr="00F93895">
        <w:rPr>
          <w:rFonts w:ascii="Avenir Book" w:hAnsi="Avenir Book"/>
          <w:i w:val="0"/>
          <w:iCs w:val="0"/>
          <w:color w:val="000000" w:themeColor="text1"/>
          <w:sz w:val="21"/>
          <w:szCs w:val="21"/>
        </w:rPr>
        <w:t xml:space="preserve"> is uniquely classified as BPH. There is no significant correlation in the non-cancer donors between age and SNVs (</w:t>
      </w:r>
      <w:r w:rsidR="00F93895" w:rsidRPr="00F93895">
        <w:rPr>
          <w:rFonts w:ascii="Avenir Book" w:hAnsi="Avenir Book"/>
          <w:color w:val="000000" w:themeColor="text1"/>
          <w:sz w:val="21"/>
          <w:szCs w:val="21"/>
        </w:rPr>
        <w:sym w:font="Symbol" w:char="F072"/>
      </w:r>
      <w:r w:rsidR="00F93895" w:rsidRPr="00F93895">
        <w:rPr>
          <w:rFonts w:ascii="Avenir Book" w:hAnsi="Avenir Book"/>
          <w:i w:val="0"/>
          <w:iCs w:val="0"/>
          <w:color w:val="000000" w:themeColor="text1"/>
          <w:sz w:val="21"/>
          <w:szCs w:val="21"/>
        </w:rPr>
        <w:t xml:space="preserve"> = -0.015, </w:t>
      </w:r>
      <w:r w:rsidR="00F93895" w:rsidRPr="00F93895">
        <w:rPr>
          <w:rFonts w:ascii="Avenir Book" w:hAnsi="Avenir Book"/>
          <w:color w:val="000000" w:themeColor="text1"/>
          <w:sz w:val="21"/>
          <w:szCs w:val="21"/>
        </w:rPr>
        <w:t>P</w:t>
      </w:r>
      <w:r w:rsidR="00F93895" w:rsidRPr="00F93895">
        <w:rPr>
          <w:rFonts w:ascii="Avenir Book" w:hAnsi="Avenir Book"/>
          <w:i w:val="0"/>
          <w:iCs w:val="0"/>
          <w:color w:val="000000" w:themeColor="text1"/>
          <w:sz w:val="21"/>
          <w:szCs w:val="21"/>
        </w:rPr>
        <w:t xml:space="preserve"> = 0.98, Spearman’s correlation; this is retained even when the outlier is included: </w:t>
      </w:r>
      <w:r w:rsidR="00F93895" w:rsidRPr="00F93895">
        <w:rPr>
          <w:rFonts w:ascii="Avenir Book" w:hAnsi="Avenir Book"/>
          <w:color w:val="000000" w:themeColor="text1"/>
          <w:sz w:val="21"/>
          <w:szCs w:val="21"/>
        </w:rPr>
        <w:sym w:font="Symbol" w:char="F072"/>
      </w:r>
      <w:r w:rsidR="00F93895">
        <w:rPr>
          <w:rFonts w:ascii="Avenir Book" w:hAnsi="Avenir Book"/>
          <w:color w:val="000000" w:themeColor="text1"/>
          <w:sz w:val="21"/>
          <w:szCs w:val="21"/>
        </w:rPr>
        <w:t xml:space="preserve"> </w:t>
      </w:r>
      <w:r w:rsidR="00F93895" w:rsidRPr="00F93895">
        <w:rPr>
          <w:rFonts w:ascii="Avenir Book" w:hAnsi="Avenir Book"/>
          <w:i w:val="0"/>
          <w:iCs w:val="0"/>
          <w:color w:val="000000" w:themeColor="text1"/>
          <w:sz w:val="21"/>
          <w:szCs w:val="21"/>
        </w:rPr>
        <w:t xml:space="preserve">= 0.49, </w:t>
      </w:r>
      <w:r w:rsidR="00F93895" w:rsidRPr="00F93895">
        <w:rPr>
          <w:rFonts w:ascii="Avenir Book" w:hAnsi="Avenir Book"/>
          <w:color w:val="000000" w:themeColor="text1"/>
          <w:sz w:val="21"/>
          <w:szCs w:val="21"/>
        </w:rPr>
        <w:t>P</w:t>
      </w:r>
      <w:r w:rsidR="00F93895" w:rsidRPr="00F93895">
        <w:rPr>
          <w:rFonts w:ascii="Avenir Book" w:hAnsi="Avenir Book"/>
          <w:i w:val="0"/>
          <w:iCs w:val="0"/>
          <w:color w:val="000000" w:themeColor="text1"/>
          <w:sz w:val="21"/>
          <w:szCs w:val="21"/>
        </w:rPr>
        <w:t xml:space="preserve"> = 0.27). The number of SNVs detected for non-cancer patients is over 100 SNVs lower than all prostate cancer patients except for one prostate cancer outlier, even in the three samples which are of similar age to the prostate cancer cohort. Looking at only samples in the range 50-73 there is a statistically significant difference in the number of SNVs in prostate cancer vs non-prostate cancer donors (</w:t>
      </w:r>
      <w:r w:rsidR="00F93895" w:rsidRPr="00F93895">
        <w:rPr>
          <w:rFonts w:ascii="Avenir Book" w:hAnsi="Avenir Book"/>
          <w:color w:val="000000" w:themeColor="text1"/>
          <w:sz w:val="21"/>
          <w:szCs w:val="21"/>
        </w:rPr>
        <w:t>P</w:t>
      </w:r>
      <w:r w:rsidR="00F93895" w:rsidRPr="00F93895">
        <w:rPr>
          <w:rFonts w:ascii="Avenir Book" w:hAnsi="Avenir Book"/>
          <w:i w:val="0"/>
          <w:iCs w:val="0"/>
          <w:color w:val="000000" w:themeColor="text1"/>
          <w:sz w:val="21"/>
          <w:szCs w:val="21"/>
        </w:rPr>
        <w:t xml:space="preserve"> = 0.0093; Wilcoxon rank sum test; </w:t>
      </w:r>
      <w:r w:rsidR="00F93895">
        <w:rPr>
          <w:rFonts w:ascii="Avenir Book" w:hAnsi="Avenir Book"/>
          <w:i w:val="0"/>
          <w:iCs w:val="0"/>
          <w:color w:val="000000" w:themeColor="text1"/>
          <w:sz w:val="21"/>
          <w:szCs w:val="21"/>
        </w:rPr>
        <w:t>excluding the normal outlier</w:t>
      </w:r>
      <w:r w:rsidR="00F93895" w:rsidRPr="00F93895">
        <w:rPr>
          <w:rFonts w:ascii="Avenir Book" w:hAnsi="Avenir Book"/>
          <w:i w:val="0"/>
          <w:iCs w:val="0"/>
          <w:color w:val="000000" w:themeColor="text1"/>
          <w:sz w:val="21"/>
          <w:szCs w:val="21"/>
        </w:rPr>
        <w:t>).</w:t>
      </w:r>
    </w:p>
    <w:p w14:paraId="092873A4" w14:textId="77777777" w:rsidR="00F93895" w:rsidRPr="00F93895" w:rsidRDefault="00F93895" w:rsidP="00EF0058">
      <w:pPr>
        <w:widowControl w:val="0"/>
      </w:pPr>
    </w:p>
    <w:p w14:paraId="51B3F265" w14:textId="78C77533" w:rsidR="005E35F3" w:rsidRDefault="00EA694A" w:rsidP="00EF0058">
      <w:pPr>
        <w:pStyle w:val="Caption"/>
        <w:widowControl w:val="0"/>
      </w:pPr>
      <w:r>
        <w:rPr>
          <w:rFonts w:ascii="Times New Roman" w:hAnsi="Times New Roman" w:cs="Times New Roman"/>
          <w:noProof/>
          <w:color w:val="000000" w:themeColor="text1"/>
          <w:lang w:val="en-US"/>
        </w:rPr>
        <w:lastRenderedPageBreak/>
        <w:drawing>
          <wp:inline distT="0" distB="0" distL="0" distR="0" wp14:anchorId="2A000D81" wp14:editId="41BB9004">
            <wp:extent cx="5943600" cy="33591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1.pdf"/>
                    <pic:cNvPicPr/>
                  </pic:nvPicPr>
                  <pic:blipFill>
                    <a:blip r:embed="rId9">
                      <a:extLst>
                        <a:ext uri="{28A0092B-C50C-407E-A947-70E740481C1C}">
                          <a14:useLocalDpi xmlns:a14="http://schemas.microsoft.com/office/drawing/2010/main" val="0"/>
                        </a:ext>
                      </a:extLst>
                    </a:blip>
                    <a:stretch>
                      <a:fillRect/>
                    </a:stretch>
                  </pic:blipFill>
                  <pic:spPr>
                    <a:xfrm>
                      <a:off x="0" y="0"/>
                      <a:ext cx="5943600" cy="3359150"/>
                    </a:xfrm>
                    <a:prstGeom prst="rect">
                      <a:avLst/>
                    </a:prstGeom>
                  </pic:spPr>
                </pic:pic>
              </a:graphicData>
            </a:graphic>
          </wp:inline>
        </w:drawing>
      </w:r>
    </w:p>
    <w:p w14:paraId="076E8E84" w14:textId="5B8D5F70" w:rsidR="002F7182" w:rsidRPr="00685622" w:rsidRDefault="00745BFF" w:rsidP="00EF0058">
      <w:pPr>
        <w:widowControl w:val="0"/>
        <w:autoSpaceDE w:val="0"/>
        <w:autoSpaceDN w:val="0"/>
        <w:adjustRightInd w:val="0"/>
        <w:spacing w:after="240" w:line="480" w:lineRule="auto"/>
        <w:jc w:val="both"/>
        <w:rPr>
          <w:rFonts w:ascii="Avenir Book" w:hAnsi="Avenir Book"/>
          <w:color w:val="000000"/>
          <w:sz w:val="18"/>
          <w:szCs w:val="18"/>
        </w:rPr>
      </w:pPr>
      <w:r w:rsidRPr="00685622">
        <w:rPr>
          <w:rFonts w:ascii="Avenir Book" w:hAnsi="Avenir Book" w:cs="Times New Roman"/>
          <w:b/>
          <w:color w:val="000000" w:themeColor="text1"/>
          <w:sz w:val="18"/>
          <w:szCs w:val="18"/>
        </w:rPr>
        <w:t xml:space="preserve">Supplementary </w:t>
      </w:r>
      <w:r w:rsidR="003D303E" w:rsidRPr="00685622">
        <w:rPr>
          <w:rFonts w:ascii="Avenir Book" w:hAnsi="Avenir Book" w:cs="Times New Roman"/>
          <w:b/>
          <w:color w:val="000000" w:themeColor="text1"/>
          <w:sz w:val="18"/>
          <w:szCs w:val="18"/>
        </w:rPr>
        <w:t>Fig</w:t>
      </w:r>
      <w:r w:rsidR="0046736D" w:rsidRPr="00685622">
        <w:rPr>
          <w:rFonts w:ascii="Avenir Book" w:hAnsi="Avenir Book" w:cs="Times New Roman"/>
          <w:b/>
          <w:color w:val="000000" w:themeColor="text1"/>
          <w:sz w:val="18"/>
          <w:szCs w:val="18"/>
        </w:rPr>
        <w:t xml:space="preserve">ure </w:t>
      </w:r>
      <w:r w:rsidR="00F93895">
        <w:rPr>
          <w:rFonts w:ascii="Avenir Book" w:hAnsi="Avenir Book" w:cs="Times New Roman"/>
          <w:b/>
          <w:color w:val="000000" w:themeColor="text1"/>
          <w:sz w:val="18"/>
          <w:szCs w:val="18"/>
        </w:rPr>
        <w:t>2</w:t>
      </w:r>
      <w:r w:rsidR="003D303E" w:rsidRPr="00685622">
        <w:rPr>
          <w:rFonts w:ascii="Avenir Book" w:hAnsi="Avenir Book" w:cs="Times New Roman"/>
          <w:b/>
          <w:i/>
          <w:color w:val="000000" w:themeColor="text1"/>
          <w:sz w:val="18"/>
          <w:szCs w:val="18"/>
        </w:rPr>
        <w:t>:</w:t>
      </w:r>
      <w:r w:rsidR="003D303E" w:rsidRPr="00685622">
        <w:rPr>
          <w:rFonts w:ascii="Avenir Book" w:hAnsi="Avenir Book" w:cs="Times New Roman"/>
          <w:i/>
          <w:color w:val="000000" w:themeColor="text1"/>
          <w:sz w:val="18"/>
          <w:szCs w:val="18"/>
        </w:rPr>
        <w:t xml:space="preserve"> </w:t>
      </w:r>
      <w:r w:rsidRPr="00685622">
        <w:rPr>
          <w:rFonts w:ascii="Avenir Book" w:hAnsi="Avenir Book" w:cs="Times New Roman"/>
          <w:color w:val="000000" w:themeColor="text1"/>
          <w:sz w:val="18"/>
          <w:szCs w:val="18"/>
        </w:rPr>
        <w:t xml:space="preserve">Example </w:t>
      </w:r>
      <w:r w:rsidRPr="00685622">
        <w:rPr>
          <w:rFonts w:ascii="Avenir Book" w:hAnsi="Avenir Book" w:cs="Times New Roman"/>
          <w:color w:val="000000"/>
          <w:sz w:val="18"/>
          <w:szCs w:val="18"/>
        </w:rPr>
        <w:t>density plots of cell cultured fibroblasts and morphologically normal samples from patients where phylogenies could not be reconstructed.  They show the posterior distribution of the fraction of cells bearing a mutation, modelled by a one-dimensional Bayesian Dirichlet process</w:t>
      </w:r>
      <w:r w:rsidRPr="00685622">
        <w:rPr>
          <w:rFonts w:ascii="Avenir Book" w:hAnsi="Avenir Book" w:cs="Times New Roman"/>
          <w:color w:val="000000"/>
          <w:sz w:val="18"/>
          <w:szCs w:val="18"/>
        </w:rPr>
        <w:fldChar w:fldCharType="begin" w:fldLock="1"/>
      </w:r>
      <w:r w:rsidRPr="00685622">
        <w:rPr>
          <w:rFonts w:ascii="Avenir Book" w:hAnsi="Avenir Book" w:cs="Times New Roman"/>
          <w:color w:val="000000"/>
          <w:sz w:val="18"/>
          <w:szCs w:val="18"/>
        </w:rPr>
        <w:instrText>ADDIN CSL_CITATION {"citationItems":[{"id":"ITEM-1","itemData":{"author":[{"dropping-particle":"","family":"Bolli","given":"Niccolo","non-dropping-particle":"","parse-names":false,"suffix":""},{"dropping-particle":"","family":"Avet-Loiseau","given":"Hervé","non-dropping-particle":"","parse-names":false,"suffix":""},{"dropping-particle":"","family":"Wedge","given":"David C","non-dropping-particle":"","parse-names":false,"suffix":""},{"dropping-particle":"","family":"Loo","given":"Peter","non-dropping-particle":"Van","parse-names":false,"suffix":""},{"dropping-particle":"","family":"Alexandrov","given":"Ludmil B","non-dropping-particle":"","parse-names":false,"suffix":""},{"dropping-particle":"","family":"Martincorena","given":"Inigo","non-dropping-particle":"","parse-names":false,"suffix":""},{"dropping-particle":"","family":"Dawson","given":"Kevin J","non-dropping-particle":"","parse-names":false,"suffix":""},{"dropping-particle":"","family":"Iorio","given":"Francesco","non-dropping-particle":"","parse-names":false,"suffix":""},{"dropping-particle":"","family":"Nik-Zainal","given":"Serena","non-dropping-particle":"","parse-names":false,"suffix":""},{"dropping-particle":"","family":"Bignell","given":"Graham R","non-dropping-particle":"","parse-names":false,"suffix":""},{"dropping-particle":"","family":"Hinton","given":"Jonathan W","non-dropping-particle":"","parse-names":false,"suffix":""},{"dropping-particle":"","family":"Li","given":"Yilong","non-dropping-particle":"","parse-names":false,"suffix":""},{"dropping-particle":"","family":"Tubio","given":"Jose M C","non-dropping-particle":"","parse-names":false,"suffix":""},{"dropping-particle":"","family":"McLaren","given":"Stuart","non-dropping-particle":"","parse-names":false,"suffix":""},{"dropping-particle":"","family":"O' Meara","given":"Sarah","non-dropping-particle":"","parse-names":false,"suffix":""},{"dropping-particle":"","family":"Butler","given":"Adam P","non-dropping-particle":"","parse-names":false,"suffix":""},{"dropping-particle":"","family":"Teague","given":"Jon W","non-dropping-particle":"","parse-names":false,"suffix":""},{"dropping-particle":"","family":"Mudie","given":"Laura","non-dropping-particle":"","parse-names":false,"suffix":""},{"dropping-particle":"","family":"Anderson","given":"Elizabeth","non-dropping-particle":"","parse-names":false,"suffix":""},{"dropping-particle":"","family":"Rashid","given":"Naim","non-dropping-particle":"","parse-names":false,"suffix":""},{"dropping-particle":"","family":"Tai","given":"Yu-Tzu","non-dropping-particle":"","parse-names":false,"suffix":""},{"dropping-particle":"","family":"Shammas","given":"Masood A","non-dropping-particle":"","parse-names":false,"suffix":""},{"dropping-particle":"","family":"Sperling","given":"Adam S","non-dropping-particle":"","parse-names":false,"suffix":""},{"dropping-particle":"","family":"Fulciniti","given":"Mariateresa","non-dropping-particle":"","parse-names":false,"suffix":""},{"dropping-particle":"","family":"Richardson","given":"Paul G","non-dropping-particle":"","parse-names":false,"suffix":""},{"dropping-particle":"","family":"Parmigiani","given":"Giovanni","non-dropping-particle":"","parse-names":false,"suffix":""},{"dropping-particle":"","family":"Magrangeas","given":"Florence","non-dropping-particle":"","parse-names":false,"suffix":""},{"dropping-particle":"","family":"Minvielle","given":"Stephane","non-dropping-particle":"","parse-names":false,"suffix":""},{"dropping-particle":"","family":"Moreau","given":"Philippe","non-dropping-particle":"","parse-names":false,"suffix":""},{"dropping-particle":"","family":"Attal","given":"Michel","non-dropping-particle":"","parse-names":false,"suffix":""},{"dropping-particle":"","family":"Facon","given":"Thierry","non-dropping-particle":"","parse-names":false,"suffix":""},{"dropping-particle":"","family":"Futreal","given":"P Andrew","non-dropping-particle":"","parse-names":false,"suffix":""},{"dropping-particle":"","family":"Anderson","given":"Kenneth C","non-dropping-particle":"","parse-names":false,"suffix":""},{"dropping-particle":"","family":"Campbell","given":"Peter J","non-dropping-particle":"","parse-names":false,"suffix":""},{"dropping-particle":"","family":"Munshi","given":"Nikhil C","non-dropping-particle":"","parse-names":false,"suffix":""}],"container-title":"Nature Communications","id":"ITEM-1","issued":{"date-parts":[["2014","1","16"]]},"page":"2997","publisher":"The Author(s)","title":"Heterogeneity of genomic evolution and mutational profiles in multiple myeloma","type":"article-journal","volume":"5"},"uris":["http://www.mendeley.com/documents/?uuid=17f657e9-dbf2-4d4f-8577-c795c9219ee4"]}],"mendeley":{"formattedCitation":"&lt;sup&gt;21&lt;/sup&gt;","plainTextFormattedCitation":"21","previouslyFormattedCitation":"&lt;sup&gt;21&lt;/sup&gt;"},"properties":{"noteIndex":0},"schema":"https://github.com/citation-style-language/schema/raw/master/csl-citation.json"}</w:instrText>
      </w:r>
      <w:r w:rsidRPr="00685622">
        <w:rPr>
          <w:rFonts w:ascii="Avenir Book" w:hAnsi="Avenir Book" w:cs="Times New Roman"/>
          <w:color w:val="000000"/>
          <w:sz w:val="18"/>
          <w:szCs w:val="18"/>
        </w:rPr>
        <w:fldChar w:fldCharType="separate"/>
      </w:r>
      <w:r w:rsidRPr="00685622">
        <w:rPr>
          <w:rFonts w:ascii="Avenir Book" w:hAnsi="Avenir Book" w:cs="Times New Roman"/>
          <w:noProof/>
          <w:color w:val="000000"/>
          <w:sz w:val="18"/>
          <w:szCs w:val="18"/>
          <w:vertAlign w:val="superscript"/>
        </w:rPr>
        <w:t>21</w:t>
      </w:r>
      <w:r w:rsidRPr="00685622">
        <w:rPr>
          <w:rFonts w:ascii="Avenir Book" w:hAnsi="Avenir Book" w:cs="Times New Roman"/>
          <w:color w:val="000000"/>
          <w:sz w:val="18"/>
          <w:szCs w:val="18"/>
        </w:rPr>
        <w:fldChar w:fldCharType="end"/>
      </w:r>
      <w:r w:rsidRPr="00685622">
        <w:rPr>
          <w:rFonts w:ascii="Avenir Book" w:hAnsi="Avenir Book" w:cs="Times New Roman"/>
          <w:color w:val="000000"/>
          <w:sz w:val="18"/>
          <w:szCs w:val="18"/>
        </w:rPr>
        <w:t>. The median density is indicated by the purple line and 95% confidence intervals by the blue region. The grey histogram shows the observed frequency density of mutations as a function of the fraction of cells bearing the mutation.</w:t>
      </w:r>
    </w:p>
    <w:p w14:paraId="2EC9BAE5" w14:textId="5433EFF5" w:rsidR="002F7182" w:rsidRDefault="002F7182" w:rsidP="00EF0058">
      <w:pPr>
        <w:pStyle w:val="BodyText"/>
        <w:widowControl w:val="0"/>
      </w:pPr>
    </w:p>
    <w:p w14:paraId="67B2E257" w14:textId="1671564A" w:rsidR="002F7182" w:rsidRDefault="00685622" w:rsidP="00EF0058">
      <w:pPr>
        <w:pStyle w:val="BodyText"/>
        <w:widowControl w:val="0"/>
      </w:pPr>
      <w:r>
        <w:rPr>
          <w:noProof/>
        </w:rPr>
        <w:lastRenderedPageBreak/>
        <w:drawing>
          <wp:inline distT="0" distB="0" distL="0" distR="0" wp14:anchorId="15081B05" wp14:editId="5337606D">
            <wp:extent cx="5943600" cy="5848985"/>
            <wp:effectExtent l="0" t="0" r="0" b="5715"/>
            <wp:docPr id="5" name="Picture 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rada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5848985"/>
                    </a:xfrm>
                    <a:prstGeom prst="rect">
                      <a:avLst/>
                    </a:prstGeom>
                  </pic:spPr>
                </pic:pic>
              </a:graphicData>
            </a:graphic>
          </wp:inline>
        </w:drawing>
      </w:r>
    </w:p>
    <w:p w14:paraId="60624ABA" w14:textId="01212F08" w:rsidR="002F7182" w:rsidRPr="00685622" w:rsidRDefault="00685622" w:rsidP="00EF0058">
      <w:pPr>
        <w:widowControl w:val="0"/>
        <w:spacing w:line="480" w:lineRule="auto"/>
        <w:jc w:val="both"/>
        <w:rPr>
          <w:rFonts w:ascii="Avenir Book" w:hAnsi="Avenir Book"/>
          <w:color w:val="000000" w:themeColor="text1"/>
          <w:sz w:val="18"/>
          <w:szCs w:val="18"/>
          <w:shd w:val="clear" w:color="auto" w:fill="FFFFFF"/>
        </w:rPr>
      </w:pPr>
      <w:r w:rsidRPr="00685622">
        <w:rPr>
          <w:rFonts w:ascii="Avenir Book" w:hAnsi="Avenir Book"/>
          <w:b/>
          <w:color w:val="000000" w:themeColor="text1"/>
          <w:sz w:val="18"/>
          <w:szCs w:val="18"/>
        </w:rPr>
        <w:t xml:space="preserve">Supplementary Figure </w:t>
      </w:r>
      <w:r w:rsidR="00F93895">
        <w:rPr>
          <w:rFonts w:ascii="Avenir Book" w:hAnsi="Avenir Book"/>
          <w:b/>
          <w:color w:val="000000" w:themeColor="text1"/>
          <w:sz w:val="18"/>
          <w:szCs w:val="18"/>
        </w:rPr>
        <w:t>3</w:t>
      </w:r>
      <w:r w:rsidRPr="00685622">
        <w:rPr>
          <w:rFonts w:ascii="Avenir Book" w:hAnsi="Avenir Book"/>
          <w:b/>
          <w:color w:val="000000" w:themeColor="text1"/>
          <w:sz w:val="18"/>
          <w:szCs w:val="18"/>
        </w:rPr>
        <w:t xml:space="preserve">. </w:t>
      </w:r>
      <w:proofErr w:type="spellStart"/>
      <w:r w:rsidRPr="00685622">
        <w:rPr>
          <w:rFonts w:ascii="Avenir Book" w:hAnsi="Avenir Book"/>
          <w:b/>
          <w:color w:val="000000" w:themeColor="text1"/>
          <w:sz w:val="18"/>
          <w:szCs w:val="18"/>
        </w:rPr>
        <w:t>Subclonal</w:t>
      </w:r>
      <w:proofErr w:type="spellEnd"/>
      <w:r w:rsidRPr="00685622">
        <w:rPr>
          <w:rFonts w:ascii="Avenir Book" w:hAnsi="Avenir Book"/>
          <w:b/>
          <w:color w:val="000000" w:themeColor="text1"/>
          <w:sz w:val="18"/>
          <w:szCs w:val="18"/>
        </w:rPr>
        <w:t xml:space="preserve"> architecture of patients with morphologically normal and matched tumour (N-T). </w:t>
      </w:r>
      <w:r w:rsidRPr="00685622">
        <w:rPr>
          <w:rFonts w:ascii="Avenir Book" w:hAnsi="Avenir Book"/>
          <w:color w:val="000000" w:themeColor="text1"/>
          <w:sz w:val="18"/>
          <w:szCs w:val="18"/>
        </w:rPr>
        <w:t xml:space="preserve">Phylogenies revealing the relationships between clones for each case. Each coloured line represents a clone/subclone detected in a particular sample. When two or more coloured lines are together, they represent a clone that is found in all the samples represented. The length of the line is proportional to the weighted number of substitutions present in each clone; the thickness represents the cell fraction associated with that clone (more detail in Supplementary Table 3). Dotted lines are associated with samples that have no evidence of a unique sample specific clone. </w:t>
      </w:r>
    </w:p>
    <w:p w14:paraId="305E48CA" w14:textId="0B9AF0BC" w:rsidR="00A0403E" w:rsidRDefault="003848DB" w:rsidP="00EF0058">
      <w:pPr>
        <w:pStyle w:val="Title"/>
        <w:keepNext w:val="0"/>
        <w:keepLines w:val="0"/>
        <w:widowControl w:val="0"/>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521202A9" wp14:editId="13E166FC">
            <wp:extent cx="5943600" cy="4643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43600" cy="4643755"/>
                    </a:xfrm>
                    <a:prstGeom prst="rect">
                      <a:avLst/>
                    </a:prstGeom>
                  </pic:spPr>
                </pic:pic>
              </a:graphicData>
            </a:graphic>
          </wp:inline>
        </w:drawing>
      </w:r>
    </w:p>
    <w:p w14:paraId="1710EBD6" w14:textId="7440886F" w:rsidR="00685622" w:rsidRPr="00685622" w:rsidRDefault="00685622" w:rsidP="00EF0058">
      <w:pPr>
        <w:pStyle w:val="Caption"/>
        <w:widowControl w:val="0"/>
        <w:spacing w:line="480" w:lineRule="auto"/>
        <w:rPr>
          <w:rFonts w:ascii="Avenir Book" w:hAnsi="Avenir Book" w:cs="Times New Roman"/>
          <w:i w:val="0"/>
          <w:color w:val="000000" w:themeColor="text1"/>
        </w:rPr>
      </w:pPr>
      <w:r w:rsidRPr="00685622">
        <w:rPr>
          <w:rFonts w:ascii="Avenir Book" w:hAnsi="Avenir Book" w:cs="Times New Roman"/>
          <w:b/>
          <w:i w:val="0"/>
          <w:color w:val="000000" w:themeColor="text1"/>
        </w:rPr>
        <w:t xml:space="preserve">Supplementary Figure </w:t>
      </w:r>
      <w:r w:rsidR="00F93895">
        <w:rPr>
          <w:rFonts w:ascii="Avenir Book" w:hAnsi="Avenir Book" w:cs="Times New Roman"/>
          <w:b/>
          <w:i w:val="0"/>
          <w:color w:val="000000" w:themeColor="text1"/>
        </w:rPr>
        <w:t>4</w:t>
      </w:r>
      <w:r w:rsidRPr="00685622">
        <w:rPr>
          <w:rFonts w:ascii="Avenir Book" w:hAnsi="Avenir Book" w:cs="Times New Roman"/>
          <w:b/>
          <w:i w:val="0"/>
          <w:color w:val="000000" w:themeColor="text1"/>
        </w:rPr>
        <w:t>.</w:t>
      </w:r>
      <w:r w:rsidRPr="00685622">
        <w:rPr>
          <w:rFonts w:ascii="Avenir Book" w:hAnsi="Avenir Book" w:cs="Times New Roman"/>
          <w:i w:val="0"/>
          <w:color w:val="000000" w:themeColor="text1"/>
        </w:rPr>
        <w:t xml:space="preserve"> </w:t>
      </w:r>
      <w:r w:rsidRPr="00685622">
        <w:rPr>
          <w:rFonts w:ascii="Avenir Book" w:hAnsi="Avenir Book" w:cs="Times New Roman"/>
          <w:b/>
          <w:bCs/>
          <w:i w:val="0"/>
          <w:color w:val="000000" w:themeColor="text1"/>
        </w:rPr>
        <w:t>The relationship between the cellular cell fraction (CCF) and the type of normal samples.</w:t>
      </w:r>
      <w:r w:rsidRPr="00685622">
        <w:rPr>
          <w:rFonts w:ascii="Avenir Book" w:hAnsi="Avenir Book" w:cs="Times New Roman"/>
          <w:i w:val="0"/>
          <w:color w:val="000000" w:themeColor="text1"/>
        </w:rPr>
        <w:t xml:space="preserve"> Boxplots showing the distribution of estimated CCF for each clone detected and the type of normal sample (non-BPH normal tissue, normal tissue with BPH and BPH fibroblasts).</w:t>
      </w:r>
    </w:p>
    <w:p w14:paraId="29D27943" w14:textId="61AAAC25" w:rsidR="00EF0058" w:rsidRPr="00767A64" w:rsidRDefault="00EF0058" w:rsidP="00767A64">
      <w:pPr>
        <w:widowControl w:val="0"/>
        <w:rPr>
          <w:rFonts w:ascii="Times New Roman" w:eastAsiaTheme="majorEastAsia" w:hAnsi="Times New Roman" w:cs="Times New Roman"/>
          <w:b/>
          <w:bCs/>
          <w:color w:val="000000" w:themeColor="text1"/>
          <w:sz w:val="36"/>
          <w:szCs w:val="36"/>
          <w:lang w:val="en-US"/>
        </w:rPr>
      </w:pPr>
      <w:bookmarkStart w:id="9" w:name="_GoBack"/>
      <w:bookmarkEnd w:id="9"/>
    </w:p>
    <w:sectPr w:rsidR="00EF0058" w:rsidRPr="00767A6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AE4CB" w14:textId="77777777" w:rsidR="00816743" w:rsidRDefault="00816743" w:rsidP="002F7182">
      <w:r>
        <w:separator/>
      </w:r>
    </w:p>
  </w:endnote>
  <w:endnote w:type="continuationSeparator" w:id="0">
    <w:p w14:paraId="4C06A7BE" w14:textId="77777777" w:rsidR="00816743" w:rsidRDefault="00816743" w:rsidP="002F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venir Book">
    <w:altName w:val="Corbel"/>
    <w:charset w:val="00"/>
    <w:family w:val="auto"/>
    <w:pitch w:val="variable"/>
    <w:sig w:usb0="00000001" w:usb1="5000204A" w:usb2="00000000" w:usb3="00000000" w:csb0="0000009B" w:csb1="00000000"/>
  </w:font>
  <w:font w:name="Droid Sans Fallback">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6E5D6" w14:textId="77777777" w:rsidR="00816743" w:rsidRDefault="00816743" w:rsidP="002F7182">
      <w:r>
        <w:separator/>
      </w:r>
    </w:p>
  </w:footnote>
  <w:footnote w:type="continuationSeparator" w:id="0">
    <w:p w14:paraId="5D9A31BA" w14:textId="77777777" w:rsidR="00816743" w:rsidRDefault="00816743" w:rsidP="002F7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82"/>
    <w:rsid w:val="00036AC0"/>
    <w:rsid w:val="0009774B"/>
    <w:rsid w:val="00106E0C"/>
    <w:rsid w:val="00135341"/>
    <w:rsid w:val="001447EC"/>
    <w:rsid w:val="001E11C8"/>
    <w:rsid w:val="001E5704"/>
    <w:rsid w:val="00206B5F"/>
    <w:rsid w:val="002420AC"/>
    <w:rsid w:val="002719E4"/>
    <w:rsid w:val="002734C0"/>
    <w:rsid w:val="00291F5B"/>
    <w:rsid w:val="002D3375"/>
    <w:rsid w:val="002F7182"/>
    <w:rsid w:val="0036760D"/>
    <w:rsid w:val="003848DB"/>
    <w:rsid w:val="003D303E"/>
    <w:rsid w:val="0046736D"/>
    <w:rsid w:val="004C4D68"/>
    <w:rsid w:val="005535FE"/>
    <w:rsid w:val="005806DA"/>
    <w:rsid w:val="005A4126"/>
    <w:rsid w:val="005E1258"/>
    <w:rsid w:val="005E35F3"/>
    <w:rsid w:val="005F4EF9"/>
    <w:rsid w:val="006049E3"/>
    <w:rsid w:val="00685622"/>
    <w:rsid w:val="00694042"/>
    <w:rsid w:val="006C6D11"/>
    <w:rsid w:val="00745BFF"/>
    <w:rsid w:val="00764687"/>
    <w:rsid w:val="00767A64"/>
    <w:rsid w:val="0077238B"/>
    <w:rsid w:val="00816743"/>
    <w:rsid w:val="008702DC"/>
    <w:rsid w:val="00890EA7"/>
    <w:rsid w:val="00903B5A"/>
    <w:rsid w:val="00980431"/>
    <w:rsid w:val="00A01259"/>
    <w:rsid w:val="00A0324D"/>
    <w:rsid w:val="00A0403E"/>
    <w:rsid w:val="00AC30E1"/>
    <w:rsid w:val="00B65F64"/>
    <w:rsid w:val="00BA02C3"/>
    <w:rsid w:val="00C008A9"/>
    <w:rsid w:val="00C22D66"/>
    <w:rsid w:val="00C259CB"/>
    <w:rsid w:val="00C719A7"/>
    <w:rsid w:val="00C97956"/>
    <w:rsid w:val="00D065CB"/>
    <w:rsid w:val="00D732CC"/>
    <w:rsid w:val="00D92998"/>
    <w:rsid w:val="00DF2BC7"/>
    <w:rsid w:val="00E9A6A9"/>
    <w:rsid w:val="00EA694A"/>
    <w:rsid w:val="00EC0422"/>
    <w:rsid w:val="00EF0058"/>
    <w:rsid w:val="00F0188B"/>
    <w:rsid w:val="00F41811"/>
    <w:rsid w:val="00F52A63"/>
    <w:rsid w:val="00F5575A"/>
    <w:rsid w:val="00F93895"/>
    <w:rsid w:val="213728AD"/>
    <w:rsid w:val="3B26D3C6"/>
    <w:rsid w:val="46AD4E6C"/>
    <w:rsid w:val="5867301D"/>
    <w:rsid w:val="76367185"/>
    <w:rsid w:val="7A1E0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F7182"/>
    <w:pPr>
      <w:spacing w:before="180" w:after="180"/>
    </w:pPr>
    <w:rPr>
      <w:lang w:val="en-US"/>
    </w:rPr>
  </w:style>
  <w:style w:type="character" w:customStyle="1" w:styleId="BodyTextChar">
    <w:name w:val="Body Text Char"/>
    <w:basedOn w:val="DefaultParagraphFont"/>
    <w:link w:val="BodyText"/>
    <w:rsid w:val="002F7182"/>
    <w:rPr>
      <w:lang w:val="en-US"/>
    </w:rPr>
  </w:style>
  <w:style w:type="paragraph" w:customStyle="1" w:styleId="FirstParagraph">
    <w:name w:val="First Paragraph"/>
    <w:basedOn w:val="BodyText"/>
    <w:next w:val="BodyText"/>
    <w:qFormat/>
    <w:rsid w:val="002F7182"/>
  </w:style>
  <w:style w:type="paragraph" w:styleId="Title">
    <w:name w:val="Title"/>
    <w:basedOn w:val="Normal"/>
    <w:next w:val="BodyText"/>
    <w:link w:val="TitleChar"/>
    <w:qFormat/>
    <w:rsid w:val="002F7182"/>
    <w:pPr>
      <w:keepNext/>
      <w:keepLines/>
      <w:spacing w:before="480" w:after="240"/>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2F7182"/>
    <w:rPr>
      <w:rFonts w:asciiTheme="majorHAnsi" w:eastAsiaTheme="majorEastAsia" w:hAnsiTheme="majorHAnsi" w:cstheme="majorBidi"/>
      <w:b/>
      <w:bCs/>
      <w:color w:val="2D4F8E" w:themeColor="accent1" w:themeShade="B5"/>
      <w:sz w:val="36"/>
      <w:szCs w:val="36"/>
      <w:lang w:val="en-US"/>
    </w:rPr>
  </w:style>
  <w:style w:type="paragraph" w:customStyle="1" w:styleId="Author">
    <w:name w:val="Author"/>
    <w:next w:val="BodyText"/>
    <w:qFormat/>
    <w:rsid w:val="002F7182"/>
    <w:pPr>
      <w:keepNext/>
      <w:keepLines/>
      <w:spacing w:after="200"/>
      <w:jc w:val="center"/>
    </w:pPr>
    <w:rPr>
      <w:lang w:val="en-US"/>
    </w:rPr>
  </w:style>
  <w:style w:type="paragraph" w:styleId="Date">
    <w:name w:val="Date"/>
    <w:next w:val="BodyText"/>
    <w:link w:val="DateChar"/>
    <w:qFormat/>
    <w:rsid w:val="002F7182"/>
    <w:pPr>
      <w:keepNext/>
      <w:keepLines/>
      <w:spacing w:after="200"/>
      <w:jc w:val="center"/>
    </w:pPr>
    <w:rPr>
      <w:lang w:val="en-US"/>
    </w:rPr>
  </w:style>
  <w:style w:type="character" w:customStyle="1" w:styleId="DateChar">
    <w:name w:val="Date Char"/>
    <w:basedOn w:val="DefaultParagraphFont"/>
    <w:link w:val="Date"/>
    <w:rsid w:val="002F7182"/>
    <w:rPr>
      <w:lang w:val="en-US"/>
    </w:rPr>
  </w:style>
  <w:style w:type="paragraph" w:styleId="Header">
    <w:name w:val="header"/>
    <w:basedOn w:val="Normal"/>
    <w:link w:val="HeaderChar"/>
    <w:uiPriority w:val="99"/>
    <w:unhideWhenUsed/>
    <w:rsid w:val="002F7182"/>
    <w:pPr>
      <w:tabs>
        <w:tab w:val="center" w:pos="4680"/>
        <w:tab w:val="right" w:pos="9360"/>
      </w:tabs>
    </w:pPr>
  </w:style>
  <w:style w:type="character" w:customStyle="1" w:styleId="HeaderChar">
    <w:name w:val="Header Char"/>
    <w:basedOn w:val="DefaultParagraphFont"/>
    <w:link w:val="Header"/>
    <w:uiPriority w:val="99"/>
    <w:rsid w:val="002F7182"/>
  </w:style>
  <w:style w:type="paragraph" w:styleId="Footer">
    <w:name w:val="footer"/>
    <w:basedOn w:val="Normal"/>
    <w:link w:val="FooterChar"/>
    <w:uiPriority w:val="99"/>
    <w:unhideWhenUsed/>
    <w:rsid w:val="002F7182"/>
    <w:pPr>
      <w:tabs>
        <w:tab w:val="center" w:pos="4680"/>
        <w:tab w:val="right" w:pos="9360"/>
      </w:tabs>
    </w:pPr>
  </w:style>
  <w:style w:type="character" w:customStyle="1" w:styleId="FooterChar">
    <w:name w:val="Footer Char"/>
    <w:basedOn w:val="DefaultParagraphFont"/>
    <w:link w:val="Footer"/>
    <w:uiPriority w:val="99"/>
    <w:rsid w:val="002F7182"/>
  </w:style>
  <w:style w:type="paragraph" w:styleId="Caption">
    <w:name w:val="caption"/>
    <w:basedOn w:val="Normal"/>
    <w:next w:val="Normal"/>
    <w:uiPriority w:val="35"/>
    <w:unhideWhenUsed/>
    <w:qFormat/>
    <w:rsid w:val="002F718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BA02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02C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5622"/>
    <w:rPr>
      <w:sz w:val="16"/>
      <w:szCs w:val="16"/>
    </w:rPr>
  </w:style>
  <w:style w:type="paragraph" w:styleId="CommentText">
    <w:name w:val="annotation text"/>
    <w:basedOn w:val="Normal"/>
    <w:link w:val="CommentTextChar"/>
    <w:uiPriority w:val="99"/>
    <w:unhideWhenUsed/>
    <w:rsid w:val="00685622"/>
    <w:pPr>
      <w:spacing w:after="200"/>
    </w:pPr>
    <w:rPr>
      <w:sz w:val="20"/>
      <w:szCs w:val="20"/>
    </w:rPr>
  </w:style>
  <w:style w:type="character" w:customStyle="1" w:styleId="CommentTextChar">
    <w:name w:val="Comment Text Char"/>
    <w:basedOn w:val="DefaultParagraphFont"/>
    <w:link w:val="CommentText"/>
    <w:uiPriority w:val="99"/>
    <w:rsid w:val="00685622"/>
    <w:rPr>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Light">
    <w:name w:val="Grid Table Light"/>
    <w:basedOn w:val="TableNormal"/>
    <w:uiPriority w:val="40"/>
    <w:rsid w:val="00106E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F7182"/>
    <w:pPr>
      <w:spacing w:before="180" w:after="180"/>
    </w:pPr>
    <w:rPr>
      <w:lang w:val="en-US"/>
    </w:rPr>
  </w:style>
  <w:style w:type="character" w:customStyle="1" w:styleId="BodyTextChar">
    <w:name w:val="Body Text Char"/>
    <w:basedOn w:val="DefaultParagraphFont"/>
    <w:link w:val="BodyText"/>
    <w:rsid w:val="002F7182"/>
    <w:rPr>
      <w:lang w:val="en-US"/>
    </w:rPr>
  </w:style>
  <w:style w:type="paragraph" w:customStyle="1" w:styleId="FirstParagraph">
    <w:name w:val="First Paragraph"/>
    <w:basedOn w:val="BodyText"/>
    <w:next w:val="BodyText"/>
    <w:qFormat/>
    <w:rsid w:val="002F7182"/>
  </w:style>
  <w:style w:type="paragraph" w:styleId="Title">
    <w:name w:val="Title"/>
    <w:basedOn w:val="Normal"/>
    <w:next w:val="BodyText"/>
    <w:link w:val="TitleChar"/>
    <w:qFormat/>
    <w:rsid w:val="002F7182"/>
    <w:pPr>
      <w:keepNext/>
      <w:keepLines/>
      <w:spacing w:before="480" w:after="240"/>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2F7182"/>
    <w:rPr>
      <w:rFonts w:asciiTheme="majorHAnsi" w:eastAsiaTheme="majorEastAsia" w:hAnsiTheme="majorHAnsi" w:cstheme="majorBidi"/>
      <w:b/>
      <w:bCs/>
      <w:color w:val="2D4F8E" w:themeColor="accent1" w:themeShade="B5"/>
      <w:sz w:val="36"/>
      <w:szCs w:val="36"/>
      <w:lang w:val="en-US"/>
    </w:rPr>
  </w:style>
  <w:style w:type="paragraph" w:customStyle="1" w:styleId="Author">
    <w:name w:val="Author"/>
    <w:next w:val="BodyText"/>
    <w:qFormat/>
    <w:rsid w:val="002F7182"/>
    <w:pPr>
      <w:keepNext/>
      <w:keepLines/>
      <w:spacing w:after="200"/>
      <w:jc w:val="center"/>
    </w:pPr>
    <w:rPr>
      <w:lang w:val="en-US"/>
    </w:rPr>
  </w:style>
  <w:style w:type="paragraph" w:styleId="Date">
    <w:name w:val="Date"/>
    <w:next w:val="BodyText"/>
    <w:link w:val="DateChar"/>
    <w:qFormat/>
    <w:rsid w:val="002F7182"/>
    <w:pPr>
      <w:keepNext/>
      <w:keepLines/>
      <w:spacing w:after="200"/>
      <w:jc w:val="center"/>
    </w:pPr>
    <w:rPr>
      <w:lang w:val="en-US"/>
    </w:rPr>
  </w:style>
  <w:style w:type="character" w:customStyle="1" w:styleId="DateChar">
    <w:name w:val="Date Char"/>
    <w:basedOn w:val="DefaultParagraphFont"/>
    <w:link w:val="Date"/>
    <w:rsid w:val="002F7182"/>
    <w:rPr>
      <w:lang w:val="en-US"/>
    </w:rPr>
  </w:style>
  <w:style w:type="paragraph" w:styleId="Header">
    <w:name w:val="header"/>
    <w:basedOn w:val="Normal"/>
    <w:link w:val="HeaderChar"/>
    <w:uiPriority w:val="99"/>
    <w:unhideWhenUsed/>
    <w:rsid w:val="002F7182"/>
    <w:pPr>
      <w:tabs>
        <w:tab w:val="center" w:pos="4680"/>
        <w:tab w:val="right" w:pos="9360"/>
      </w:tabs>
    </w:pPr>
  </w:style>
  <w:style w:type="character" w:customStyle="1" w:styleId="HeaderChar">
    <w:name w:val="Header Char"/>
    <w:basedOn w:val="DefaultParagraphFont"/>
    <w:link w:val="Header"/>
    <w:uiPriority w:val="99"/>
    <w:rsid w:val="002F7182"/>
  </w:style>
  <w:style w:type="paragraph" w:styleId="Footer">
    <w:name w:val="footer"/>
    <w:basedOn w:val="Normal"/>
    <w:link w:val="FooterChar"/>
    <w:uiPriority w:val="99"/>
    <w:unhideWhenUsed/>
    <w:rsid w:val="002F7182"/>
    <w:pPr>
      <w:tabs>
        <w:tab w:val="center" w:pos="4680"/>
        <w:tab w:val="right" w:pos="9360"/>
      </w:tabs>
    </w:pPr>
  </w:style>
  <w:style w:type="character" w:customStyle="1" w:styleId="FooterChar">
    <w:name w:val="Footer Char"/>
    <w:basedOn w:val="DefaultParagraphFont"/>
    <w:link w:val="Footer"/>
    <w:uiPriority w:val="99"/>
    <w:rsid w:val="002F7182"/>
  </w:style>
  <w:style w:type="paragraph" w:styleId="Caption">
    <w:name w:val="caption"/>
    <w:basedOn w:val="Normal"/>
    <w:next w:val="Normal"/>
    <w:uiPriority w:val="35"/>
    <w:unhideWhenUsed/>
    <w:qFormat/>
    <w:rsid w:val="002F718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BA02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02C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5622"/>
    <w:rPr>
      <w:sz w:val="16"/>
      <w:szCs w:val="16"/>
    </w:rPr>
  </w:style>
  <w:style w:type="paragraph" w:styleId="CommentText">
    <w:name w:val="annotation text"/>
    <w:basedOn w:val="Normal"/>
    <w:link w:val="CommentTextChar"/>
    <w:uiPriority w:val="99"/>
    <w:unhideWhenUsed/>
    <w:rsid w:val="00685622"/>
    <w:pPr>
      <w:spacing w:after="200"/>
    </w:pPr>
    <w:rPr>
      <w:sz w:val="20"/>
      <w:szCs w:val="20"/>
    </w:rPr>
  </w:style>
  <w:style w:type="character" w:customStyle="1" w:styleId="CommentTextChar">
    <w:name w:val="Comment Text Char"/>
    <w:basedOn w:val="DefaultParagraphFont"/>
    <w:link w:val="CommentText"/>
    <w:uiPriority w:val="99"/>
    <w:rsid w:val="00685622"/>
    <w:rPr>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Light">
    <w:name w:val="Grid Table Light"/>
    <w:basedOn w:val="TableNormal"/>
    <w:uiPriority w:val="40"/>
    <w:rsid w:val="00106E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65053">
      <w:bodyDiv w:val="1"/>
      <w:marLeft w:val="0"/>
      <w:marRight w:val="0"/>
      <w:marTop w:val="0"/>
      <w:marBottom w:val="0"/>
      <w:divBdr>
        <w:top w:val="none" w:sz="0" w:space="0" w:color="auto"/>
        <w:left w:val="none" w:sz="0" w:space="0" w:color="auto"/>
        <w:bottom w:val="none" w:sz="0" w:space="0" w:color="auto"/>
        <w:right w:val="none" w:sz="0" w:space="0" w:color="auto"/>
      </w:divBdr>
    </w:div>
    <w:div w:id="610287116">
      <w:bodyDiv w:val="1"/>
      <w:marLeft w:val="0"/>
      <w:marRight w:val="0"/>
      <w:marTop w:val="0"/>
      <w:marBottom w:val="0"/>
      <w:divBdr>
        <w:top w:val="none" w:sz="0" w:space="0" w:color="auto"/>
        <w:left w:val="none" w:sz="0" w:space="0" w:color="auto"/>
        <w:bottom w:val="none" w:sz="0" w:space="0" w:color="auto"/>
        <w:right w:val="none" w:sz="0" w:space="0" w:color="auto"/>
      </w:divBdr>
    </w:div>
    <w:div w:id="138721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d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8447E-A7F0-44A0-9C93-CC9B5524B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Marven Dalisay</cp:lastModifiedBy>
  <cp:revision>2</cp:revision>
  <cp:lastPrinted>2020-10-10T20:18:00Z</cp:lastPrinted>
  <dcterms:created xsi:type="dcterms:W3CDTF">2022-09-02T09:00:00Z</dcterms:created>
  <dcterms:modified xsi:type="dcterms:W3CDTF">2022-09-02T09:00:00Z</dcterms:modified>
</cp:coreProperties>
</file>