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0D" w:rsidRDefault="004E1F12">
      <w:pPr>
        <w:widowControl/>
        <w:jc w:val="left"/>
      </w:pPr>
      <w:r>
        <w:rPr>
          <w:rFonts w:ascii="Arial" w:hAnsi="Arial" w:cs="Arial" w:hint="eastAsia"/>
        </w:rPr>
        <w:t>Table2. Ongoing and completed clinical trials about combination therapies</w:t>
      </w:r>
    </w:p>
    <w:tbl>
      <w:tblPr>
        <w:tblStyle w:val="TableGrid"/>
        <w:tblW w:w="6695" w:type="pct"/>
        <w:tblInd w:w="-1092" w:type="dxa"/>
        <w:tblLayout w:type="fixed"/>
        <w:tblLook w:val="04A0" w:firstRow="1" w:lastRow="0" w:firstColumn="1" w:lastColumn="0" w:noHBand="0" w:noVBand="1"/>
      </w:tblPr>
      <w:tblGrid>
        <w:gridCol w:w="2325"/>
        <w:gridCol w:w="1340"/>
        <w:gridCol w:w="2356"/>
        <w:gridCol w:w="1334"/>
        <w:gridCol w:w="5164"/>
        <w:gridCol w:w="6865"/>
        <w:gridCol w:w="4656"/>
        <w:gridCol w:w="6553"/>
      </w:tblGrid>
      <w:tr w:rsidR="00F8720D">
        <w:trPr>
          <w:trHeight w:val="326"/>
        </w:trPr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Trial number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Disease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Target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Product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Intervention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Response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ind w:firstLineChars="100" w:firstLine="21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Reference</w:t>
            </w:r>
          </w:p>
        </w:tc>
      </w:tr>
      <w:tr w:rsidR="00F8720D">
        <w:trPr>
          <w:trHeight w:val="308"/>
        </w:trPr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ICI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20D" w:rsidRDefault="00F8720D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8720D">
        <w:trPr>
          <w:trHeight w:val="259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NCT03310619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1/2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NHL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JCAR017 (4-1BB)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JCAR017 is combined with </w:t>
            </w:r>
            <w:proofErr w:type="spellStart"/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urvalumab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ongoing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</w:tr>
      <w:tr w:rsidR="00F8720D">
        <w:trPr>
          <w:trHeight w:val="1126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NCT02926833</w:t>
            </w:r>
          </w:p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(ZUMA-6)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1/2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DLBCL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Axi-cel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Axi-cel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is combined with </w:t>
            </w:r>
            <w:proofErr w:type="spellStart"/>
            <w:r>
              <w:rPr>
                <w:rFonts w:ascii="Calibri" w:hAnsi="Calibri" w:cs="Calibri" w:hint="eastAsia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tezolizumab</w:t>
            </w:r>
            <w:proofErr w:type="spellEnd"/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 1: ORR=90%; CR=60%</w:t>
            </w:r>
          </w:p>
          <w:p w:rsidR="00F8720D" w:rsidRDefault="004E1F12">
            <w:pPr>
              <w:ind w:firstLineChars="400" w:firstLine="84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(12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CRS Grade 3/4=3 patients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ICANS </w:t>
            </w:r>
            <w:proofErr w:type="spellStart"/>
            <w:r>
              <w:rPr>
                <w:rFonts w:ascii="Calibri" w:hAnsi="Calibri" w:cs="Calibri"/>
                <w:szCs w:val="21"/>
              </w:rPr>
              <w:t>Graed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3/4=6 patients</w:t>
            </w:r>
          </w:p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 1 Cohort 3+Phase 2: ORR=75%; CR=46%</w:t>
            </w:r>
          </w:p>
          <w:p w:rsidR="00F8720D" w:rsidRDefault="004E1F12">
            <w:pPr>
              <w:ind w:firstLineChars="1000" w:firstLine="210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CRS Grade 3/4=4%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                ICANS Graed3/4=29%</w:t>
            </w:r>
          </w:p>
          <w:p w:rsidR="00F8720D" w:rsidRDefault="004E1F12">
            <w:pPr>
              <w:widowControl/>
              <w:ind w:firstLineChars="1000" w:firstLine="210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(28 patients were infused)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NE.Ref.{0BBFE6E0-FE13-4FE9-B11E-16EDE2E678DD}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317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NCT02706405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DLBCL, HGBCL, PMBCL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JCAR014 (4-1BB-CD3ζ-</w:t>
            </w:r>
            <w:r>
              <w:rPr>
                <w:rFonts w:ascii="Calibri" w:hAnsi="Calibri" w:cs="Calibri" w:hint="eastAsia"/>
                <w:szCs w:val="21"/>
              </w:rPr>
              <w:t>t</w:t>
            </w:r>
            <w:r>
              <w:rPr>
                <w:rFonts w:ascii="Calibri" w:hAnsi="Calibri" w:cs="Calibri"/>
                <w:szCs w:val="21"/>
              </w:rPr>
              <w:t>EGFR)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JCAR014 is combined with </w:t>
            </w:r>
            <w:proofErr w:type="spellStart"/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urvalumab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ORR=50%; CR=42%</w:t>
            </w:r>
          </w:p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(12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CRS (Grade 4)=38% (1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ICANS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(</w:t>
            </w:r>
            <w:proofErr w:type="spellStart"/>
            <w:r>
              <w:rPr>
                <w:rFonts w:ascii="Calibri" w:hAnsi="Calibri" w:cs="Calibri"/>
                <w:szCs w:val="21"/>
              </w:rPr>
              <w:t>Graed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3/4)=8% (0)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(13 evaluable patients)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NE.Ref.{0294B9E6-1EFE-403A-BAC0-7FF55FA99EC0}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[2]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362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NCT02650999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1/2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DLBCL,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MCL,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FL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Tisa-</w:t>
            </w:r>
            <w:proofErr w:type="spellStart"/>
            <w:r>
              <w:rPr>
                <w:rFonts w:ascii="Calibri" w:hAnsi="Calibri" w:cs="Calibri"/>
                <w:szCs w:val="21"/>
              </w:rPr>
              <w:t>cel</w:t>
            </w:r>
            <w:proofErr w:type="spellEnd"/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 w:hint="eastAsia"/>
                <w:szCs w:val="21"/>
              </w:rPr>
              <w:t>p</w:t>
            </w:r>
            <w:r>
              <w:rPr>
                <w:rFonts w:ascii="Calibri" w:hAnsi="Calibri" w:cs="Calibri"/>
                <w:szCs w:val="21"/>
              </w:rPr>
              <w:t>embrolizumab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Cs w:val="21"/>
              </w:rPr>
              <w:t xml:space="preserve">are employed </w:t>
            </w:r>
            <w:r>
              <w:rPr>
                <w:rFonts w:ascii="Calibri" w:hAnsi="Calibri" w:cs="Calibri"/>
                <w:szCs w:val="21"/>
              </w:rPr>
              <w:t>in patients fail</w:t>
            </w:r>
            <w:r>
              <w:rPr>
                <w:rFonts w:ascii="Calibri" w:hAnsi="Calibri" w:cs="Calibri" w:hint="eastAsia"/>
                <w:szCs w:val="21"/>
              </w:rPr>
              <w:t>ing</w:t>
            </w:r>
            <w:r>
              <w:rPr>
                <w:rFonts w:ascii="Calibri" w:hAnsi="Calibri" w:cs="Calibri"/>
                <w:szCs w:val="21"/>
              </w:rPr>
              <w:t xml:space="preserve"> to respond or relapsing after Tisa-</w:t>
            </w:r>
            <w:proofErr w:type="spellStart"/>
            <w:r>
              <w:rPr>
                <w:rFonts w:ascii="Calibri" w:hAnsi="Calibri" w:cs="Calibri"/>
                <w:szCs w:val="21"/>
              </w:rPr>
              <w:t>cel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infusion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ORR=25% (3 of 12 patients; 1 CR; 2 PR)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NE.Ref.{F3375E5C-08F9-4AEF-A38C-0368EBFF945E}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[3]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304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NCT03630159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DLBCL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Tisa-</w:t>
            </w:r>
            <w:proofErr w:type="spellStart"/>
            <w:r>
              <w:rPr>
                <w:rFonts w:ascii="Calibri" w:hAnsi="Calibri" w:cs="Calibri"/>
                <w:szCs w:val="21"/>
              </w:rPr>
              <w:t>cel</w:t>
            </w:r>
            <w:proofErr w:type="spellEnd"/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Tisa-</w:t>
            </w:r>
            <w:proofErr w:type="spellStart"/>
            <w:r>
              <w:rPr>
                <w:rFonts w:ascii="Calibri" w:hAnsi="Calibri" w:cs="Calibri"/>
                <w:szCs w:val="21"/>
              </w:rPr>
              <w:t>cel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is combined with </w:t>
            </w:r>
            <w:proofErr w:type="spellStart"/>
            <w:r>
              <w:rPr>
                <w:rFonts w:ascii="Calibri" w:hAnsi="Calibri" w:cs="Calibri" w:hint="eastAsia"/>
                <w:szCs w:val="21"/>
              </w:rPr>
              <w:t>p</w:t>
            </w:r>
            <w:r>
              <w:rPr>
                <w:rFonts w:ascii="Calibri" w:hAnsi="Calibri" w:cs="Calibri"/>
                <w:szCs w:val="21"/>
              </w:rPr>
              <w:t>embrolizumab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 PR; 2 PD (8 evaluable patients)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NE.Ref.{432DE0A6-61C5-474F-A7EA-7D3DF14C5D52}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[4]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491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NCT04003649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GBM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IL13 Rα2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IL13Rα2 CAR-T(4-1BB)</w:t>
            </w:r>
          </w:p>
          <w:p w:rsidR="00F8720D" w:rsidRDefault="00F8720D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Arm 1: IL13Rα2+lpilimumab and </w:t>
            </w:r>
            <w:proofErr w:type="spellStart"/>
            <w:r>
              <w:rPr>
                <w:rFonts w:ascii="Calibri" w:hAnsi="Calibri" w:cs="Calibri"/>
                <w:szCs w:val="21"/>
              </w:rPr>
              <w:t>nivolumab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:rsidR="00F8720D" w:rsidRDefault="004E1F12">
            <w:pPr>
              <w:ind w:firstLineChars="200" w:firstLine="42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2: IL13Rα2+nivolumab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ongoing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ind w:firstLineChars="300" w:firstLine="630"/>
              <w:rPr>
                <w:rFonts w:ascii="Calibri" w:hAnsi="Calibri" w:cs="Calibri"/>
                <w:szCs w:val="21"/>
              </w:rPr>
            </w:pPr>
          </w:p>
        </w:tc>
      </w:tr>
      <w:tr w:rsidR="00F8720D">
        <w:trPr>
          <w:trHeight w:val="394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NCT01822652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NB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GD2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iC9-GD2 T cells (CD28-OX40 with inducible caspase9)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2 doses of </w:t>
            </w:r>
            <w:proofErr w:type="spellStart"/>
            <w:r>
              <w:rPr>
                <w:rFonts w:ascii="Calibri" w:hAnsi="Calibri" w:cs="Calibri"/>
                <w:szCs w:val="21"/>
              </w:rPr>
              <w:t>pembrolizumab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on days-1 and +21 of CAR-T cell infusion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Best response was SD in 2 patients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NE.Ref.{96BBA67C-FFF0-4620-8CF8-C2F1AAE4BD5C}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[5]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284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Ibrutinib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ind w:firstLineChars="300" w:firstLine="630"/>
              <w:rPr>
                <w:rFonts w:ascii="Calibri" w:hAnsi="Calibri" w:cs="Calibri"/>
                <w:szCs w:val="21"/>
              </w:rPr>
            </w:pPr>
          </w:p>
        </w:tc>
      </w:tr>
      <w:tr w:rsidR="00F8720D">
        <w:trPr>
          <w:trHeight w:val="358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NCT03331198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(TRANSCEND-CLL-004)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1/2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CLL/SLL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JCAR017 (</w:t>
            </w:r>
            <w:proofErr w:type="spellStart"/>
            <w:r>
              <w:rPr>
                <w:rFonts w:ascii="Calibri" w:hAnsi="Calibri" w:cs="Calibri"/>
                <w:szCs w:val="21"/>
              </w:rPr>
              <w:t>Liso-cel</w:t>
            </w:r>
            <w:proofErr w:type="spellEnd"/>
            <w:r>
              <w:rPr>
                <w:rFonts w:ascii="Calibri" w:hAnsi="Calibri" w:cs="Calibri"/>
                <w:szCs w:val="21"/>
              </w:rPr>
              <w:t>/4-1BB)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 1 Arm 1: JCAR017 monotherapy</w:t>
            </w:r>
          </w:p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2: JCAR017+</w:t>
            </w:r>
            <w:r>
              <w:rPr>
                <w:rFonts w:ascii="Calibri" w:hAnsi="Calibri" w:cs="Calibri" w:hint="eastAsia"/>
                <w:szCs w:val="21"/>
              </w:rPr>
              <w:t>i</w:t>
            </w:r>
            <w:r>
              <w:rPr>
                <w:rFonts w:ascii="Calibri" w:hAnsi="Calibri" w:cs="Calibri"/>
                <w:szCs w:val="21"/>
              </w:rPr>
              <w:t xml:space="preserve">brutinib </w:t>
            </w:r>
          </w:p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 2 Arm 1: JCAR017 (dose</w:t>
            </w:r>
            <w:r>
              <w:rPr>
                <w:rFonts w:ascii="Calibri" w:eastAsia="Helvetica" w:hAnsi="Calibri" w:cs="Calibri"/>
                <w:color w:val="000000"/>
                <w:szCs w:val="21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szCs w:val="21"/>
              </w:rPr>
              <w:t>from the Phase 1 monotherapy arm)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 1: ORR=82%; CR=45%</w:t>
            </w:r>
          </w:p>
          <w:p w:rsidR="00F8720D" w:rsidRDefault="004E1F12">
            <w:pPr>
              <w:ind w:firstLineChars="400" w:firstLine="84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(22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CRS (Grade 3</w:t>
            </w:r>
            <w:proofErr w:type="gramStart"/>
            <w:r>
              <w:rPr>
                <w:rFonts w:ascii="Calibri" w:hAnsi="Calibri" w:cs="Calibri"/>
                <w:szCs w:val="21"/>
              </w:rPr>
              <w:t>)=</w:t>
            </w:r>
            <w:proofErr w:type="gramEnd"/>
            <w:r>
              <w:rPr>
                <w:rFonts w:ascii="Calibri" w:hAnsi="Calibri" w:cs="Calibri"/>
                <w:szCs w:val="21"/>
              </w:rPr>
              <w:t>74% (9%)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ICANS (</w:t>
            </w:r>
            <w:proofErr w:type="spellStart"/>
            <w:r>
              <w:rPr>
                <w:rFonts w:ascii="Calibri" w:hAnsi="Calibri" w:cs="Calibri"/>
                <w:szCs w:val="21"/>
              </w:rPr>
              <w:t>Graed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3/4</w:t>
            </w:r>
            <w:proofErr w:type="gramStart"/>
            <w:r>
              <w:rPr>
                <w:rFonts w:ascii="Calibri" w:hAnsi="Calibri" w:cs="Calibri"/>
                <w:szCs w:val="21"/>
              </w:rPr>
              <w:t>)=</w:t>
            </w:r>
            <w:proofErr w:type="gramEnd"/>
            <w:r>
              <w:rPr>
                <w:rFonts w:ascii="Calibri" w:hAnsi="Calibri" w:cs="Calibri"/>
                <w:szCs w:val="21"/>
              </w:rPr>
              <w:t>39% (22%)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 (23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 2: ongoing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/>
                <w:szCs w:val="21"/>
              </w:rPr>
              <w:instrText>NE.Cms_Insert</w:instrText>
            </w:r>
            <w:r>
              <w:rPr>
                <w:rFonts w:ascii="Calibri" w:hAnsi="Calibri" w:cs="Calibri"/>
                <w:szCs w:val="21"/>
              </w:rPr>
              <w:fldChar w:fldCharType="end"/>
            </w: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NE.Ref.{0A1324B6-1E0D-464E-8CBA-83D0D9467382}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[6]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808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NCT02640209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Pilot Trial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CLL/SLL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CTL119 (humanized anti-CD19 scFv-4-1BB)</w:t>
            </w:r>
          </w:p>
          <w:p w:rsidR="00F8720D" w:rsidRDefault="00F8720D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CTL119 are employed in CLL/SLL patients with SD or PR on </w:t>
            </w:r>
            <w:proofErr w:type="spellStart"/>
            <w:r>
              <w:rPr>
                <w:rFonts w:ascii="Calibri" w:hAnsi="Calibri" w:cs="Calibri" w:hint="eastAsia"/>
                <w:szCs w:val="21"/>
              </w:rPr>
              <w:t>i</w:t>
            </w:r>
            <w:r>
              <w:rPr>
                <w:rFonts w:ascii="Calibri" w:hAnsi="Calibri" w:cs="Calibri"/>
                <w:szCs w:val="21"/>
              </w:rPr>
              <w:t>brutinib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ORR=93%; CR=43%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CRS (Grade 3</w:t>
            </w:r>
            <w:proofErr w:type="gramStart"/>
            <w:r>
              <w:rPr>
                <w:rFonts w:ascii="Calibri" w:hAnsi="Calibri" w:cs="Calibri"/>
                <w:szCs w:val="21"/>
              </w:rPr>
              <w:t>)=</w:t>
            </w:r>
            <w:proofErr w:type="gramEnd"/>
            <w:r>
              <w:rPr>
                <w:rFonts w:ascii="Calibri" w:hAnsi="Calibri" w:cs="Calibri"/>
                <w:szCs w:val="21"/>
              </w:rPr>
              <w:t>95% (16%)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(19 patients were infused)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NE.Ref.{605B1B4A-EC5D-4521-B592-2B0FB6D063AC}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[7]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808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NCT03960840</w:t>
            </w:r>
          </w:p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CLL/SLL, DLBCL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YTB323 (4-1BB)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Arm 1: Dose escalation and expansion YTB323 is combined with </w:t>
            </w:r>
            <w:proofErr w:type="spellStart"/>
            <w:r>
              <w:rPr>
                <w:rFonts w:ascii="Calibri" w:hAnsi="Calibri" w:cs="Calibri"/>
                <w:szCs w:val="21"/>
              </w:rPr>
              <w:t>ibrutinib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in CLL/SLL patients </w:t>
            </w:r>
          </w:p>
          <w:p w:rsidR="00F8720D" w:rsidRDefault="004E1F12">
            <w:pPr>
              <w:widowControl/>
              <w:ind w:firstLineChars="200" w:firstLine="42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2: Dose escalation and expansion of YTB323 monotherapy treat DLBCL</w:t>
            </w:r>
          </w:p>
          <w:p w:rsidR="00F8720D" w:rsidRDefault="004E1F12">
            <w:pPr>
              <w:widowControl/>
              <w:ind w:firstLineChars="200" w:firstLine="42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3: Dose escalation and expansion of YTB323 monotherapy treat adult ALL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CRS (Grade 4</w:t>
            </w:r>
            <w:proofErr w:type="gramStart"/>
            <w:r>
              <w:rPr>
                <w:rFonts w:ascii="Calibri" w:hAnsi="Calibri" w:cs="Calibri"/>
                <w:szCs w:val="21"/>
              </w:rPr>
              <w:t>)=</w:t>
            </w:r>
            <w:proofErr w:type="gramEnd"/>
            <w:r>
              <w:rPr>
                <w:rFonts w:ascii="Calibri" w:hAnsi="Calibri" w:cs="Calibri"/>
                <w:szCs w:val="21"/>
              </w:rPr>
              <w:t>27% (7%)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ICANS (</w:t>
            </w:r>
            <w:proofErr w:type="spellStart"/>
            <w:r>
              <w:rPr>
                <w:rFonts w:ascii="Calibri" w:hAnsi="Calibri" w:cs="Calibri"/>
                <w:szCs w:val="21"/>
              </w:rPr>
              <w:t>Graed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3</w:t>
            </w:r>
            <w:proofErr w:type="gramStart"/>
            <w:r>
              <w:rPr>
                <w:rFonts w:ascii="Calibri" w:hAnsi="Calibri" w:cs="Calibri"/>
                <w:szCs w:val="21"/>
              </w:rPr>
              <w:t>)=</w:t>
            </w:r>
            <w:proofErr w:type="gramEnd"/>
            <w:r>
              <w:rPr>
                <w:rFonts w:ascii="Calibri" w:hAnsi="Calibri" w:cs="Calibri"/>
                <w:szCs w:val="21"/>
              </w:rPr>
              <w:t>47% (13%)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(15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DL1: ORR and CR=25% (4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DL2: ORR and CR=75% (8 evaluable patients)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DL3: ongoing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NE.Ref.{519BE427-F6CF-495B-897C-CD3BE2BD3E5D}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[8]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338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NCT01865617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1/2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ALL,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CLL, NHL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JCAR014 (4-1BB-CD3ζ-</w:t>
            </w:r>
            <w:r>
              <w:rPr>
                <w:rFonts w:ascii="Calibri" w:hAnsi="Calibri" w:cs="Calibri" w:hint="eastAsia"/>
                <w:szCs w:val="21"/>
              </w:rPr>
              <w:t>t</w:t>
            </w:r>
            <w:r>
              <w:rPr>
                <w:rFonts w:ascii="Calibri" w:hAnsi="Calibri" w:cs="Calibri"/>
                <w:szCs w:val="21"/>
              </w:rPr>
              <w:t>EGFR)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From at least 2 weeks previous to </w:t>
            </w:r>
            <w:proofErr w:type="spellStart"/>
            <w:r>
              <w:rPr>
                <w:rFonts w:ascii="Calibri" w:hAnsi="Calibri" w:cs="Calibri"/>
                <w:szCs w:val="21"/>
              </w:rPr>
              <w:t>leukapheresis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until 3 months post-JCAR014 infusion, JCAR014 with concurrent </w:t>
            </w:r>
            <w:proofErr w:type="spellStart"/>
            <w:r>
              <w:rPr>
                <w:rFonts w:ascii="Calibri" w:hAnsi="Calibri" w:cs="Calibri"/>
                <w:szCs w:val="21"/>
              </w:rPr>
              <w:t>ibrutinib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is to be administered 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ORR=88%; CR=56%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proofErr w:type="gramStart"/>
            <w:r>
              <w:rPr>
                <w:rFonts w:ascii="Calibri" w:hAnsi="Calibri" w:cs="Calibri"/>
                <w:szCs w:val="21"/>
              </w:rPr>
              <w:t>CRS(</w:t>
            </w:r>
            <w:proofErr w:type="gramEnd"/>
            <w:r>
              <w:rPr>
                <w:rFonts w:ascii="Calibri" w:hAnsi="Calibri" w:cs="Calibri"/>
                <w:szCs w:val="21"/>
              </w:rPr>
              <w:t>Grade 3/4)=76% (0%)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NE.Ref.{79ADCA28-2567-46F6-A113-6228236C4469}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[9]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  <w:tr w:rsidR="00F8720D">
        <w:trPr>
          <w:trHeight w:val="338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PI3K inhibitors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F8720D" w:rsidRDefault="00F8720D">
            <w:pPr>
              <w:ind w:firstLineChars="300" w:firstLine="630"/>
              <w:rPr>
                <w:rFonts w:ascii="Calibri" w:hAnsi="Calibri" w:cs="Calibri"/>
                <w:szCs w:val="21"/>
              </w:rPr>
            </w:pPr>
          </w:p>
        </w:tc>
      </w:tr>
      <w:tr w:rsidR="00F8720D">
        <w:trPr>
          <w:trHeight w:val="338"/>
        </w:trPr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NCT03274219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BCMA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bb21217 (the same CAR molecule as bb2121)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bb21217 (add the PI3K inhibitor bb007 during ex vivo culture)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CRS (Grade 3/5)=67% (1 G3, 2 G5)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ICANS (</w:t>
            </w:r>
            <w:proofErr w:type="spellStart"/>
            <w:r>
              <w:rPr>
                <w:rFonts w:ascii="Calibri" w:hAnsi="Calibri" w:cs="Calibri"/>
                <w:szCs w:val="21"/>
              </w:rPr>
              <w:t>Graed</w:t>
            </w:r>
            <w:proofErr w:type="spellEnd"/>
            <w:r>
              <w:rPr>
                <w:rFonts w:ascii="Calibri" w:hAnsi="Calibri" w:cs="Calibri"/>
                <w:szCs w:val="21"/>
              </w:rPr>
              <w:t xml:space="preserve"> 3/4)=22% (2 G3, 1 G4)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18% ≥CR and 30% with VGPR</w:t>
            </w:r>
          </w:p>
          <w:p w:rsidR="00F8720D" w:rsidRDefault="004E1F12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(46 evaluable patients)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0D" w:rsidRDefault="004E1F12">
            <w:pPr>
              <w:ind w:firstLineChars="300" w:firstLine="63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NE.Ref.{BE0C13C3-02F4-4779-A9D4-4702E135D63D}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[10]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</w:tbl>
    <w:p w:rsidR="00F8720D" w:rsidRDefault="004E1F12">
      <w:pPr>
        <w:widowControl/>
      </w:pPr>
      <w:r>
        <w:rPr>
          <w:rFonts w:hint="eastAsia"/>
        </w:rPr>
        <w:t xml:space="preserve">Abbreviations: </w:t>
      </w:r>
      <w:r>
        <w:t>NHL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n</w:t>
      </w:r>
      <w:r>
        <w:t xml:space="preserve">on-Hodgkin’s lymphoma; </w:t>
      </w:r>
      <w:r>
        <w:rPr>
          <w:rFonts w:hint="eastAsia"/>
        </w:rPr>
        <w:t xml:space="preserve">DLBCL, diffuse large B cell lymphoma; </w:t>
      </w:r>
      <w:r>
        <w:t>ORR</w:t>
      </w:r>
      <w:r>
        <w:rPr>
          <w:rFonts w:hint="eastAsia"/>
        </w:rPr>
        <w:t>, o</w:t>
      </w:r>
      <w:r>
        <w:t>verall response rate; CR</w:t>
      </w:r>
      <w:r>
        <w:rPr>
          <w:rFonts w:hint="eastAsia"/>
        </w:rPr>
        <w:t>, c</w:t>
      </w:r>
      <w:r>
        <w:t>omplete response;</w:t>
      </w:r>
      <w:r>
        <w:rPr>
          <w:rFonts w:hint="eastAsia"/>
        </w:rPr>
        <w:t xml:space="preserve"> 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CRS, cytokine release syndrome; ICANS, immune effector cell-associated neurotoxicity syndrome</w:t>
      </w:r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 xml:space="preserve">; </w:t>
      </w:r>
      <w:proofErr w:type="spellStart"/>
      <w:r>
        <w:t>Axi-cel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a</w:t>
      </w:r>
      <w:r>
        <w:t>xicabtagene</w:t>
      </w:r>
      <w:proofErr w:type="spellEnd"/>
      <w:r>
        <w:t xml:space="preserve"> </w:t>
      </w:r>
      <w:proofErr w:type="spellStart"/>
      <w:r>
        <w:t>ciloleucel</w:t>
      </w:r>
      <w:proofErr w:type="spellEnd"/>
      <w:r>
        <w:t>;</w:t>
      </w:r>
      <w:r>
        <w:rPr>
          <w:rFonts w:hint="eastAsia"/>
        </w:rPr>
        <w:t xml:space="preserve"> HGBCL, high grade B cell lymphoma;</w:t>
      </w:r>
      <w:r>
        <w:t xml:space="preserve"> PMBCL</w:t>
      </w:r>
      <w:r>
        <w:rPr>
          <w:rFonts w:hint="eastAsia"/>
        </w:rPr>
        <w:t>, p</w:t>
      </w:r>
      <w:r>
        <w:t>rimary mediastinal B cell lymphoma;</w:t>
      </w:r>
      <w:r>
        <w:rPr>
          <w:rFonts w:hint="eastAsia"/>
        </w:rPr>
        <w:t xml:space="preserve"> </w:t>
      </w:r>
      <w:r>
        <w:t>MCL</w:t>
      </w:r>
      <w:r>
        <w:rPr>
          <w:rFonts w:hint="eastAsia"/>
        </w:rPr>
        <w:t>, m</w:t>
      </w:r>
      <w:r>
        <w:t>antle cell lymphoma; FL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f</w:t>
      </w:r>
      <w:r>
        <w:t xml:space="preserve">ollicular lymphoma; </w:t>
      </w:r>
      <w:r>
        <w:rPr>
          <w:rFonts w:hint="eastAsia"/>
        </w:rPr>
        <w:t>T</w:t>
      </w:r>
      <w:r>
        <w:t>isa-</w:t>
      </w:r>
      <w:proofErr w:type="spellStart"/>
      <w:r>
        <w:t>cel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t</w:t>
      </w:r>
      <w:r>
        <w:t>isagenlecleucel</w:t>
      </w:r>
      <w:proofErr w:type="spellEnd"/>
      <w:r>
        <w:t>;</w:t>
      </w:r>
      <w:r>
        <w:rPr>
          <w:rFonts w:hint="eastAsia"/>
        </w:rPr>
        <w:t xml:space="preserve"> </w:t>
      </w:r>
      <w:r>
        <w:t>PR</w:t>
      </w:r>
      <w:r>
        <w:rPr>
          <w:rFonts w:hint="eastAsia"/>
        </w:rPr>
        <w:t>, p</w:t>
      </w:r>
      <w:r>
        <w:t>artial response;</w:t>
      </w:r>
      <w:r>
        <w:rPr>
          <w:rFonts w:hint="eastAsia"/>
        </w:rPr>
        <w:t xml:space="preserve"> </w:t>
      </w:r>
      <w:r>
        <w:t>PD</w:t>
      </w:r>
      <w:r>
        <w:rPr>
          <w:rFonts w:hint="eastAsia"/>
        </w:rPr>
        <w:t xml:space="preserve">, </w:t>
      </w:r>
      <w:r>
        <w:t>progressive disease</w:t>
      </w:r>
      <w:r>
        <w:rPr>
          <w:rFonts w:hint="eastAsia"/>
        </w:rPr>
        <w:t xml:space="preserve">; </w:t>
      </w:r>
      <w:r>
        <w:t>GBM</w:t>
      </w:r>
      <w:r>
        <w:rPr>
          <w:rFonts w:hint="eastAsia"/>
        </w:rPr>
        <w:t>, g</w:t>
      </w:r>
      <w:r>
        <w:t>lioblastoma; NB</w:t>
      </w:r>
      <w:r>
        <w:rPr>
          <w:rFonts w:hint="eastAsia"/>
        </w:rPr>
        <w:t>, n</w:t>
      </w:r>
      <w:r>
        <w:t>euroblastoma;</w:t>
      </w:r>
      <w:r>
        <w:rPr>
          <w:rFonts w:hint="eastAsia"/>
        </w:rPr>
        <w:t xml:space="preserve"> </w:t>
      </w:r>
      <w:r>
        <w:t>SD</w:t>
      </w:r>
      <w:r>
        <w:rPr>
          <w:rFonts w:hint="eastAsia"/>
        </w:rPr>
        <w:t>, s</w:t>
      </w:r>
      <w:r>
        <w:t xml:space="preserve">table disease; </w:t>
      </w:r>
      <w:r>
        <w:rPr>
          <w:rFonts w:hint="eastAsia"/>
        </w:rPr>
        <w:t xml:space="preserve">ALL, acute lymphocytic </w:t>
      </w:r>
      <w:r>
        <w:t>lymphoma;</w:t>
      </w:r>
      <w:r>
        <w:rPr>
          <w:rFonts w:hint="eastAsia"/>
        </w:rPr>
        <w:t xml:space="preserve"> CLL, chronic lymphocytic lymphoma;</w:t>
      </w:r>
      <w:r>
        <w:t xml:space="preserve"> </w:t>
      </w:r>
      <w:proofErr w:type="spellStart"/>
      <w:r>
        <w:t>Liso-cel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</w:t>
      </w:r>
      <w:r>
        <w:t>isocabtagene</w:t>
      </w:r>
      <w:proofErr w:type="spellEnd"/>
      <w:r>
        <w:t xml:space="preserve"> </w:t>
      </w:r>
      <w:proofErr w:type="spellStart"/>
      <w:r>
        <w:t>maraleucel</w:t>
      </w:r>
      <w:proofErr w:type="spellEnd"/>
      <w:r>
        <w:t>;</w:t>
      </w:r>
      <w:r>
        <w:rPr>
          <w:rFonts w:hint="eastAsia"/>
        </w:rPr>
        <w:t xml:space="preserve"> SLL, small lymphocytic lymphoma; LBCL, large B cell lymphoma; MM, multiple myeloma; </w:t>
      </w:r>
      <w:r>
        <w:t>BCMA</w:t>
      </w:r>
      <w:r>
        <w:rPr>
          <w:rFonts w:hint="eastAsia"/>
        </w:rPr>
        <w:t xml:space="preserve">, </w:t>
      </w:r>
      <w:r>
        <w:t>B cell maturation agent; VGPR</w:t>
      </w:r>
      <w:r>
        <w:rPr>
          <w:rFonts w:hint="eastAsia"/>
        </w:rPr>
        <w:t>, very good partial response</w:t>
      </w:r>
      <w:r>
        <w:t>.</w:t>
      </w:r>
    </w:p>
    <w:p w:rsidR="00F8720D" w:rsidRDefault="00F8720D">
      <w:pPr>
        <w:widowControl/>
        <w:jc w:val="left"/>
        <w:sectPr w:rsidR="00F8720D">
          <w:pgSz w:w="25512" w:h="20409" w:orient="landscape"/>
          <w:pgMar w:top="1803" w:right="1440" w:bottom="1803" w:left="1440" w:header="851" w:footer="992" w:gutter="0"/>
          <w:cols w:space="0"/>
          <w:docGrid w:type="lines" w:linePitch="312"/>
        </w:sectPr>
      </w:pPr>
    </w:p>
    <w:p w:rsidR="00F8720D" w:rsidRDefault="004E1F12">
      <w:pPr>
        <w:jc w:val="left"/>
        <w:rPr>
          <w:sz w:val="24"/>
        </w:rPr>
      </w:pPr>
      <w:r>
        <w:lastRenderedPageBreak/>
        <w:fldChar w:fldCharType="begin"/>
      </w:r>
      <w:r>
        <w:rPr>
          <w:rFonts w:hint="eastAsia"/>
        </w:rPr>
        <w:instrText xml:space="preserve"> ADDIN NE.Bib</w:instrText>
      </w:r>
      <w:r>
        <w:fldChar w:fldCharType="separate"/>
      </w:r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b/>
          <w:color w:val="000000"/>
          <w:sz w:val="20"/>
        </w:rPr>
        <w:t>References:</w:t>
      </w:r>
    </w:p>
    <w:p w:rsidR="00F8720D" w:rsidRPr="0013233C" w:rsidRDefault="004E1F12">
      <w:pPr>
        <w:jc w:val="left"/>
        <w:rPr>
          <w:rFonts w:ascii="Arial" w:hAnsi="Arial" w:cs="Arial"/>
          <w:sz w:val="24"/>
        </w:rPr>
      </w:pPr>
      <w:r w:rsidRPr="0013233C">
        <w:rPr>
          <w:rFonts w:ascii="Arial" w:eastAsia="Times New Roman" w:hAnsi="Arial" w:cs="Arial"/>
          <w:color w:val="000000"/>
          <w:sz w:val="20"/>
        </w:rPr>
        <w:t xml:space="preserve">1. </w:t>
      </w:r>
      <w:bookmarkStart w:id="0" w:name="_neb4A0454C4_4F60_4388_9625_D18A8F0C0AB4"/>
      <w:r w:rsidRPr="0013233C">
        <w:rPr>
          <w:rFonts w:ascii="Arial" w:hAnsi="Arial" w:cs="Arial"/>
          <w:color w:val="23282C"/>
          <w:kern w:val="0"/>
          <w:sz w:val="19"/>
          <w:szCs w:val="19"/>
          <w:lang w:eastAsia="en-US"/>
        </w:rPr>
        <w:t xml:space="preserve">Jacobson CA, Westin JR, Miklos DB, Herrera AF, Lee J, Seng J, et al. Abstract CT055: Phase 1/2 primary analysis of ZUMA-6: Axicabtagene ciloleucel (Axi-Cel) in combination With </w:t>
      </w:r>
      <w:bookmarkStart w:id="1" w:name="_GoBack"/>
      <w:bookmarkEnd w:id="1"/>
      <w:r w:rsidRPr="0013233C">
        <w:rPr>
          <w:rFonts w:ascii="Arial" w:hAnsi="Arial" w:cs="Arial"/>
          <w:color w:val="23282C"/>
          <w:kern w:val="0"/>
          <w:sz w:val="19"/>
          <w:szCs w:val="19"/>
          <w:lang w:eastAsia="en-US"/>
        </w:rPr>
        <w:t>atezolizumab (Atezo) for the treatment of patients (Pts) with refractory diffuse large B cell lymphoma (</w:t>
      </w:r>
      <w:r w:rsidR="00B8244B" w:rsidRPr="0013233C">
        <w:rPr>
          <w:rFonts w:ascii="Arial" w:hAnsi="Arial" w:cs="Arial"/>
          <w:color w:val="23282C"/>
          <w:kern w:val="0"/>
          <w:sz w:val="19"/>
          <w:szCs w:val="19"/>
          <w:lang w:eastAsia="en-US"/>
        </w:rPr>
        <w:t>DLBCL). CANCER RES. 2020</w:t>
      </w:r>
      <w:proofErr w:type="gramStart"/>
      <w:r w:rsidR="00B8244B" w:rsidRPr="0013233C">
        <w:rPr>
          <w:rFonts w:ascii="Arial" w:hAnsi="Arial" w:cs="Arial"/>
          <w:color w:val="23282C"/>
          <w:kern w:val="0"/>
          <w:sz w:val="19"/>
          <w:szCs w:val="19"/>
          <w:lang w:eastAsia="en-US"/>
        </w:rPr>
        <w:t>;80:T55</w:t>
      </w:r>
      <w:proofErr w:type="gramEnd"/>
      <w:r w:rsidRPr="0013233C">
        <w:rPr>
          <w:rFonts w:ascii="Arial" w:eastAsia="Times New Roman" w:hAnsi="Arial" w:cs="Arial"/>
          <w:color w:val="000000"/>
          <w:sz w:val="20"/>
        </w:rPr>
        <w:t>.</w:t>
      </w:r>
      <w:bookmarkEnd w:id="0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2. </w:t>
      </w:r>
      <w:bookmarkStart w:id="2" w:name="_neb4990685E_C1B6_45EB_B0D5_2D0223515A74"/>
      <w:r>
        <w:rPr>
          <w:rFonts w:ascii="Times New Roman" w:eastAsia="Times New Roman" w:hAnsi="Times New Roman"/>
          <w:color w:val="000000"/>
          <w:sz w:val="20"/>
        </w:rPr>
        <w:t>Hirayama AV, Gauthier J, Hay KA, Sheih A, Cherian S, Chen X, et al. Efficacy and toxicity of JCAR014 in combination with durvalumab for the treatment of patients with relapsed/refractory aggressive B-cell non-Hodgkin lymphoma. BLOOD. 2018;132(Supplement 1):1680.</w:t>
      </w:r>
      <w:bookmarkEnd w:id="2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3. </w:t>
      </w:r>
      <w:bookmarkStart w:id="3" w:name="_nebFB4E3D6D_D5F1_4AA0_93F3_7A69E57394D5"/>
      <w:r>
        <w:rPr>
          <w:rFonts w:ascii="Times New Roman" w:eastAsia="Times New Roman" w:hAnsi="Times New Roman"/>
          <w:color w:val="000000"/>
          <w:sz w:val="20"/>
        </w:rPr>
        <w:t>Chong EA, Melenhorst JJ, Svoboda J, Nasta SD, Landsburg DJ, Mato AR, et al. Phase I/II study of pembrolizumab for progressive diffuse large B cell lymphoma after anti-CD19 directed chimeric antigen receptor modified T cell therapy. BLOOD. 2017;130:4121.</w:t>
      </w:r>
      <w:bookmarkEnd w:id="3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4. </w:t>
      </w:r>
      <w:bookmarkStart w:id="4" w:name="_neb236C6489_E218_45D0_A4F4_601591A9C951"/>
      <w:r>
        <w:rPr>
          <w:rFonts w:ascii="Times New Roman" w:eastAsia="Times New Roman" w:hAnsi="Times New Roman"/>
          <w:color w:val="000000"/>
          <w:sz w:val="20"/>
        </w:rPr>
        <w:t>Jaeger U, Worel N, McGuirk JP, Riedell PA, Fleury I, Borchmann P, et al. Portia: a phase 1b study evaluating safety and efficacy of tisagenlecleucel and pembrolizumab in patients with relapsed/refractory diffuse large B-cell lymphoma. BLOOD. 2019;134:5325.</w:t>
      </w:r>
      <w:bookmarkEnd w:id="4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5. </w:t>
      </w:r>
      <w:bookmarkStart w:id="5" w:name="_neb1CD330C0_54AA_4B6C_9119_CC91A3ACC06B"/>
      <w:r>
        <w:rPr>
          <w:rFonts w:ascii="Times New Roman" w:eastAsia="Times New Roman" w:hAnsi="Times New Roman"/>
          <w:color w:val="000000"/>
          <w:sz w:val="20"/>
        </w:rPr>
        <w:t>Heczey A, Louis CU. Advances in chimeric antigen receptor immunotherapy for neuroblastoma. DISCOV MED. 2013;16(90):287.</w:t>
      </w:r>
      <w:bookmarkEnd w:id="5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6. </w:t>
      </w:r>
      <w:bookmarkStart w:id="6" w:name="_neb65025C9D_BB9A_4481_A5E6_5005E40E0B1D"/>
      <w:r>
        <w:rPr>
          <w:rFonts w:ascii="Times New Roman" w:eastAsia="Times New Roman" w:hAnsi="Times New Roman"/>
          <w:color w:val="000000"/>
          <w:sz w:val="20"/>
        </w:rPr>
        <w:t>Siddiqi T, Soumerai JD, Dorritie KA, Stephens DM, Riedell PA, Arnason J, et al. Phase 1 TRANSCEND CLL 004 study of lisocabtagene maraleucel in patients with relapsed/refractory CLL or SLL. Blood, The Journal of the American Society of Hematology. 2022;139(12):1794-806.</w:t>
      </w:r>
      <w:bookmarkEnd w:id="6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7. </w:t>
      </w:r>
      <w:bookmarkStart w:id="7" w:name="_neb67EDA00F_0EAF_45BB_BACD_A2977C3341FB"/>
      <w:r>
        <w:rPr>
          <w:rFonts w:ascii="Times New Roman" w:eastAsia="Times New Roman" w:hAnsi="Times New Roman"/>
          <w:color w:val="000000"/>
          <w:sz w:val="20"/>
        </w:rPr>
        <w:t>Gill SI, Vides V, Frey NV, Metzger S, O'Brien M, Hexner E, et al. Prospective clinical trial of anti-CD19 CAR T cells in combination with ibrutinib for the treatment of chronic lymphocytic leukemia shows a high response rate. BLOOD. 2018;132:298.</w:t>
      </w:r>
      <w:bookmarkEnd w:id="7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8. </w:t>
      </w:r>
      <w:bookmarkStart w:id="8" w:name="_neb5BC1B8EB_B295_41A3_A5A7_B0E0876DBDC8"/>
      <w:r>
        <w:rPr>
          <w:rFonts w:ascii="Times New Roman" w:eastAsia="Times New Roman" w:hAnsi="Times New Roman"/>
          <w:color w:val="000000"/>
          <w:sz w:val="20"/>
        </w:rPr>
        <w:t>Flinn IW, Jaeger U, Shah NN, Blaise D, Briones J, Shune L, et al. A First-in-Human Study of YTB323, a Novel, Autologous CD19-Directed CAR-T Cell Therapy Manufactured Using the Novel T-Charge TM platform, for the Treatment of Patients (Pts) with Relapsed/Refractory (r/r) Diffuse Large B-Cell Lymphoma (DLBCL). BLOOD. 2021;138:740.</w:t>
      </w:r>
      <w:bookmarkEnd w:id="8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9. </w:t>
      </w:r>
      <w:bookmarkStart w:id="9" w:name="_neb22F4D43A_0BDC_4D2C_BBCC_E3D33CF6BF3A"/>
      <w:r>
        <w:rPr>
          <w:rFonts w:ascii="Times New Roman" w:eastAsia="Times New Roman" w:hAnsi="Times New Roman"/>
          <w:color w:val="000000"/>
          <w:sz w:val="20"/>
        </w:rPr>
        <w:t>Gauthier J, Hirayama AV, Hay KA, Li D, Lymp J, Sheih A, et al. Comparison of efficacy and toxicity of CD19-specific chimeric antigen receptor T-cells alone or in combination with ibrutinib for relapsed and/or refractory CLL. BLOOD. 2018;132(Supplement 1):299.</w:t>
      </w:r>
      <w:bookmarkEnd w:id="9"/>
    </w:p>
    <w:p w:rsidR="00F8720D" w:rsidRDefault="004E1F12">
      <w:pPr>
        <w:jc w:val="left"/>
        <w:rPr>
          <w:sz w:val="24"/>
        </w:rPr>
      </w:pPr>
      <w:r>
        <w:rPr>
          <w:rFonts w:ascii="Times New Roman" w:eastAsia="Times New Roman" w:hAnsi="Times New Roman"/>
          <w:color w:val="000000"/>
          <w:sz w:val="20"/>
        </w:rPr>
        <w:t xml:space="preserve">10. </w:t>
      </w:r>
      <w:bookmarkStart w:id="10" w:name="_neb099EF67F_0CBA_495D_AAFF_2743FDC3225A"/>
      <w:r>
        <w:rPr>
          <w:rFonts w:ascii="Times New Roman" w:eastAsia="Times New Roman" w:hAnsi="Times New Roman"/>
          <w:color w:val="000000"/>
          <w:sz w:val="20"/>
        </w:rPr>
        <w:t>Alsina M, Shah N, Raje NS, Jagannath S, Madduri D, Kaufman JL, et al. Updated results from the phase I CRB-402 study of anti-Bcma CAR-T cell therapy bb21217 in patients with relapsed and refractory multiple myeloma: correlation of expansion and duration of response with T cell phenotypes. BLOOD. 2020;136:25-6.</w:t>
      </w:r>
      <w:bookmarkEnd w:id="10"/>
    </w:p>
    <w:p w:rsidR="00F8720D" w:rsidRDefault="004E1F12">
      <w:pPr>
        <w:widowControl/>
        <w:spacing w:line="480" w:lineRule="auto"/>
        <w:jc w:val="left"/>
      </w:pPr>
      <w:r>
        <w:fldChar w:fldCharType="end"/>
      </w:r>
    </w:p>
    <w:sectPr w:rsidR="00F8720D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vPS3E86CB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  <w:docVar w:name="NE.Ref{0294B9E6-1EFE-403A-BAC0-7FF55FA99EC0}" w:val=" ADDIN NE.Ref.{0294B9E6-1EFE-403A-BAC0-7FF55FA99EC0}&lt;Citation&gt;&lt;Group&gt;&lt;References&gt;&lt;Item&gt;&lt;ID&gt;137&lt;/ID&gt;&lt;UID&gt;{4990685E-C1B6-45EB-B0D5-2D0223515A74}&lt;/UID&gt;&lt;Title&gt;Efficacy and toxicity of JCAR014 in combination with durvalumab for the treatment of patients with relapsed/refractory aggressive B-cell non-Hodgkin lymphoma&lt;/Title&gt;&lt;Template&gt;Journal Article&lt;/Template&gt;&lt;Star&gt;0&lt;/Star&gt;&lt;Tag&gt;0&lt;/Tag&gt;&lt;Author&gt;Hirayama, Alexandre V; Gauthier, Jordan; Hay, Kevin A; Sheih, Alyssa; Cherian, Sindhu; Chen, Xueyan; Pender, Barbara S; Hawkins, Reed M; Vakil, Aesha; Steinmetz, Rachel N&lt;/Author&gt;&lt;Year&gt;2018&lt;/Year&gt;&lt;Details&gt;&lt;_accessed&gt;64351911&lt;/_accessed&gt;&lt;_collection_scope&gt;SCI;SCIE&lt;/_collection_scope&gt;&lt;_created&gt;64336838&lt;/_created&gt;&lt;_impact_factor&gt;  23.629&lt;/_impact_factor&gt;&lt;_isbn&gt;0006-4971&lt;/_isbn&gt;&lt;_issue&gt;Supplement 1&lt;/_issue&gt;&lt;_journal&gt;Blood&lt;/_journal&gt;&lt;_modified&gt;64351911&lt;/_modified&gt;&lt;_pages&gt;1680-1680&lt;/_pages&gt;&lt;_volume&gt;132&lt;/_volume&gt;&lt;/Details&gt;&lt;Extra&gt;&lt;DBUID&gt;{3A9F5EF5-ADEA-41FF-AA38-0273059D0FED}&lt;/DBUID&gt;&lt;/Extra&gt;&lt;/Item&gt;&lt;/References&gt;&lt;/Group&gt;&lt;/Citation&gt;_x000a_"/>
    <w:docVar w:name="NE.Ref{0A1324B6-1E0D-464E-8CBA-83D0D9467382}" w:val=" ADDIN NE.Ref.{0A1324B6-1E0D-464E-8CBA-83D0D9467382}&lt;Citation&gt;&lt;Group&gt;&lt;References&gt;&lt;Item&gt;&lt;ID&gt;136&lt;/ID&gt;&lt;UID&gt;{65025C9D-BB9A-4481-A5E6-5005E40E0B1D}&lt;/UID&gt;&lt;Title&gt;Phase 1 TRANSCEND CLL 004 study of lisocabtagene maraleucel in patients with relapsed/refractory CLL or SLL&lt;/Title&gt;&lt;Template&gt;Journal Article&lt;/Template&gt;&lt;Star&gt;0&lt;/Star&gt;&lt;Tag&gt;0&lt;/Tag&gt;&lt;Author&gt;Siddiqi, Tanya; Soumerai, Jacob D; Dorritie, Kathleen A; Stephens, Deborah M; Riedell, Peter A; Arnason, Jon; Kipps, Thomas J; Gillenwater, Heidi H; Gong, Lucy; Yang, Lin&lt;/Author&gt;&lt;Year&gt;2022&lt;/Year&gt;&lt;Details&gt;&lt;_accessed&gt;64453544&lt;/_accessed&gt;&lt;_created&gt;64336826&lt;/_created&gt;&lt;_impact_factor&gt;  23.629&lt;/_impact_factor&gt;&lt;_isbn&gt;0006-4971&lt;/_isbn&gt;&lt;_issue&gt;12&lt;/_issue&gt;&lt;_journal&gt;Blood, The Journal of the American Society of Hematology&lt;/_journal&gt;&lt;_modified&gt;64453544&lt;/_modified&gt;&lt;_pages&gt;1794-1806&lt;/_pages&gt;&lt;_volume&gt;139&lt;/_volume&gt;&lt;/Details&gt;&lt;Extra&gt;&lt;DBUID&gt;{3A9F5EF5-ADEA-41FF-AA38-0273059D0FED}&lt;/DBUID&gt;&lt;/Extra&gt;&lt;/Item&gt;&lt;/References&gt;&lt;/Group&gt;&lt;/Citation&gt;_x000a_"/>
    <w:docVar w:name="NE.Ref{0BBFE6E0-FE13-4FE9-B11E-16EDE2E678DD}" w:val=" ADDIN NE.Ref.{0BBFE6E0-FE13-4FE9-B11E-16EDE2E678DD}&lt;Citation&gt;&lt;Group&gt;&lt;References&gt;&lt;Item&gt;&lt;ID&gt;139&lt;/ID&gt;&lt;UID&gt;{4A0454C4-4F60-4388-9625-D18A8F0C0AB4}&lt;/UID&gt;&lt;Title&gt;Abstract CT055: phase 1/2 primary analysis of ZUMA-6: axicabtagene ciloleucel (Axi-Cel) in combination With atezolizumab (Atezo) for the treatment of patients (Pts) with refractory diffuse large B cell lymphoma (DLBCL)&lt;/Title&gt;&lt;Template&gt;Generic&lt;/Template&gt;&lt;Star&gt;0&lt;/Star&gt;&lt;Tag&gt;0&lt;/Tag&gt;&lt;Author&gt;Jacobson, Caron A; Westin, Jason R; Miklos, David B; Herrera, Alex F; Lee, Jennifer; Seng, Judy; Rossi, John M; Sun, Jennifer; Dong, Jinghui; Roberts, Zachary J&lt;/Author&gt;&lt;Year&gt;2020&lt;/Year&gt;&lt;Details&gt;&lt;_accessed&gt;64435198&lt;/_accessed&gt;&lt;_created&gt;64336858&lt;/_created&gt;&lt;_isbn&gt;0008-5472&lt;/_isbn&gt;&lt;_modified&gt;64435199&lt;/_modified&gt;&lt;_publisher&gt;AACR&lt;/_publisher&gt;&lt;/Details&gt;&lt;Extra&gt;&lt;DBUID&gt;{3A9F5EF5-ADEA-41FF-AA38-0273059D0FED}&lt;/DBUID&gt;&lt;/Extra&gt;&lt;/Item&gt;&lt;/References&gt;&lt;/Group&gt;&lt;/Citation&gt;_x000a_"/>
    <w:docVar w:name="NE.Ref{432DE0A6-61C5-474F-A7EA-7D3DF14C5D52}" w:val=" ADDIN NE.Ref.{432DE0A6-61C5-474F-A7EA-7D3DF14C5D52}&lt;Citation&gt;&lt;Group&gt;&lt;References&gt;&lt;Item&gt;&lt;ID&gt;188&lt;/ID&gt;&lt;UID&gt;{236C6489-E218-45D0-A4F4-601591A9C951}&lt;/UID&gt;&lt;Title&gt;Portia: a phase 1b study evaluating safety and efficacy of tisagenlecleucel and pembrolizumab in patients with relapsed/refractory diffuse large B-cell lymphoma&lt;/Title&gt;&lt;Template&gt;Journal Article&lt;/Template&gt;&lt;Star&gt;0&lt;/Star&gt;&lt;Tag&gt;0&lt;/Tag&gt;&lt;Author&gt;Jaeger, Ulrich; Worel, Nina; McGuirk, Joseph P; Riedell, Peter A; Fleury, Isabelle; Borchmann, Peter; Chu, Jufen; Abdelhady, Ahmed M; Forcina, Alessandra; Pacaud, Lida Bubuteishvili&lt;/Author&gt;&lt;Year&gt;2019&lt;/Year&gt;&lt;Details&gt;&lt;_collection_scope&gt;SCI;SCIE&lt;/_collection_scope&gt;&lt;_created&gt;64435205&lt;/_created&gt;&lt;_impact_factor&gt;  23.629&lt;/_impact_factor&gt;&lt;_isbn&gt;0006-4971&lt;/_isbn&gt;&lt;_journal&gt;Blood&lt;/_journal&gt;&lt;_modified&gt;64435205&lt;/_modified&gt;&lt;_pages&gt;5325&lt;/_pages&gt;&lt;_volume&gt;134&lt;/_volume&gt;&lt;/Details&gt;&lt;Extra&gt;&lt;DBUID&gt;{3A9F5EF5-ADEA-41FF-AA38-0273059D0FED}&lt;/DBUID&gt;&lt;/Extra&gt;&lt;/Item&gt;&lt;/References&gt;&lt;/Group&gt;&lt;/Citation&gt;_x000a_"/>
    <w:docVar w:name="NE.Ref{519BE427-F6CF-495B-897C-CD3BE2BD3E5D}" w:val=" ADDIN NE.Ref.{519BE427-F6CF-495B-897C-CD3BE2BD3E5D}&lt;Citation&gt;&lt;Group&gt;&lt;References&gt;&lt;Item&gt;&lt;ID&gt;134&lt;/ID&gt;&lt;UID&gt;{5BC1B8EB-B295-41A3-A5A7-B0E0876DBDC8}&lt;/UID&gt;&lt;Title&gt;A First-in-Human Study of YTB323, a Novel, Autologous CD19-Directed CAR-T Cell Therapy Manufactured Using the Novel T-Charge TM platform, for the Treatment of Patients (Pts) with Relapsed/Refractory (r/r) Diffuse Large B-Cell Lymphoma (DLBCL)&lt;/Title&gt;&lt;Template&gt;Journal Article&lt;/Template&gt;&lt;Star&gt;0&lt;/Star&gt;&lt;Tag&gt;0&lt;/Tag&gt;&lt;Author&gt;Flinn, Ian W; Jaeger, Ulrich; Shah, Nirav N; Blaise, Didier; Briones, Javier; Shune, Leyla; Boissel, Nicolas; Bondanza, Attilio; Lu, Darlene; Zhu, Xu&lt;/Author&gt;&lt;Year&gt;2021&lt;/Year&gt;&lt;Details&gt;&lt;_accessed&gt;64458228&lt;/_accessed&gt;&lt;_collection_scope&gt;SCI;SCIE&lt;/_collection_scope&gt;&lt;_created&gt;64336804&lt;/_created&gt;&lt;_impact_factor&gt;  23.629&lt;/_impact_factor&gt;&lt;_isbn&gt;0006-4971&lt;/_isbn&gt;&lt;_journal&gt;Blood&lt;/_journal&gt;&lt;_modified&gt;64458228&lt;/_modified&gt;&lt;_pages&gt;740&lt;/_pages&gt;&lt;_volume&gt;138&lt;/_volume&gt;&lt;/Details&gt;&lt;Extra&gt;&lt;DBUID&gt;{3A9F5EF5-ADEA-41FF-AA38-0273059D0FED}&lt;/DBUID&gt;&lt;/Extra&gt;&lt;/Item&gt;&lt;/References&gt;&lt;/Group&gt;&lt;/Citation&gt;_x000a_"/>
    <w:docVar w:name="NE.Ref{605B1B4A-EC5D-4521-B592-2B0FB6D063AC}" w:val=" ADDIN NE.Ref.{605B1B4A-EC5D-4521-B592-2B0FB6D063AC}&lt;Citation&gt;&lt;Group&gt;&lt;References&gt;&lt;Item&gt;&lt;ID&gt;135&lt;/ID&gt;&lt;UID&gt;{67EDA00F-0EAF-45BB-BACD-A2977C3341FB}&lt;/UID&gt;&lt;Title&gt;Prospective clinical trial of anti-CD19 CAR T cells in combination with ibrutinib for the treatment of chronic lymphocytic leukemia shows a high response rate&lt;/Title&gt;&lt;Template&gt;Journal Article&lt;/Template&gt;&lt;Star&gt;0&lt;/Star&gt;&lt;Tag&gt;0&lt;/Tag&gt;&lt;Author&gt;Gill, Saar I; Vides, Vanessa; Frey, Noelle V; Metzger, Susan; O&amp;apos;Brien, Megan; Hexner, Elizabeth; Mato, Anthony R; Lacey, Simon F; Melenhorst, J Joseph; Pequignot, Edward&lt;/Author&gt;&lt;Year&gt;2018&lt;/Year&gt;&lt;Details&gt;&lt;_accessed&gt;64351911&lt;/_accessed&gt;&lt;_collection_scope&gt;SCI;SCIE&lt;/_collection_scope&gt;&lt;_created&gt;64336818&lt;/_created&gt;&lt;_impact_factor&gt;  23.629&lt;/_impact_factor&gt;&lt;_isbn&gt;0006-4971&lt;/_isbn&gt;&lt;_journal&gt;Blood&lt;/_journal&gt;&lt;_modified&gt;64351911&lt;/_modified&gt;&lt;_pages&gt;298&lt;/_pages&gt;&lt;_volume&gt;132&lt;/_volume&gt;&lt;/Details&gt;&lt;Extra&gt;&lt;DBUID&gt;{3A9F5EF5-ADEA-41FF-AA38-0273059D0FED}&lt;/DBUID&gt;&lt;/Extra&gt;&lt;/Item&gt;&lt;/References&gt;&lt;/Group&gt;&lt;/Citation&gt;_x000a_"/>
    <w:docVar w:name="NE.Ref{79ADCA28-2567-46F6-A113-6228236C4469}" w:val=" ADDIN NE.Ref.{79ADCA28-2567-46F6-A113-6228236C4469}&lt;Citation&gt;&lt;Group&gt;&lt;References&gt;&lt;Item&gt;&lt;ID&gt;150&lt;/ID&gt;&lt;UID&gt;{22F4D43A-0BDC-4D2C-BBCC-E3D33CF6BF3A}&lt;/UID&gt;&lt;Title&gt;Comparison of efficacy and toxicity of CD19-specific chimeric antigen receptor T-cells alone or in combination with ibrutinib for relapsed and/or refractory CLL&lt;/Title&gt;&lt;Template&gt;Journal Article&lt;/Template&gt;&lt;Star&gt;0&lt;/Star&gt;&lt;Tag&gt;0&lt;/Tag&gt;&lt;Author&gt;Gauthier, Jordan; Hirayama, Alexandre V; Hay, Kevin A; Li, Daniel; Lymp, James; Sheih, Alyssa; Purushe, Janaki; Pender, Barbara S; Hawkins, Reed M; Vakil, Aesha&lt;/Author&gt;&lt;Year&gt;2018&lt;/Year&gt;&lt;Details&gt;&lt;_accessed&gt;64351911&lt;/_accessed&gt;&lt;_collection_scope&gt;SCI;SCIE&lt;/_collection_scope&gt;&lt;_created&gt;64351906&lt;/_created&gt;&lt;_impact_factor&gt;  23.629&lt;/_impact_factor&gt;&lt;_isbn&gt;0006-4971&lt;/_isbn&gt;&lt;_issue&gt;Supplement 1&lt;/_issue&gt;&lt;_journal&gt;Blood&lt;/_journal&gt;&lt;_modified&gt;64351911&lt;/_modified&gt;&lt;_pages&gt;299-299&lt;/_pages&gt;&lt;_volume&gt;132&lt;/_volume&gt;&lt;/Details&gt;&lt;Extra&gt;&lt;DBUID&gt;{3A9F5EF5-ADEA-41FF-AA38-0273059D0FED}&lt;/DBUID&gt;&lt;/Extra&gt;&lt;/Item&gt;&lt;/References&gt;&lt;/Group&gt;&lt;/Citation&gt;_x000a_"/>
    <w:docVar w:name="NE.Ref{96BBA67C-FFF0-4620-8CF8-C2F1AAE4BD5C}" w:val=" ADDIN NE.Ref.{96BBA67C-FFF0-4620-8CF8-C2F1AAE4BD5C}&lt;Citation&gt;&lt;Group&gt;&lt;References&gt;&lt;Item&gt;&lt;ID&gt;190&lt;/ID&gt;&lt;UID&gt;{1CD330C0-54AA-4B6C-9119-CC91A3ACC06B}&lt;/UID&gt;&lt;Title&gt;Advances in chimeric antigen receptor immunotherapy for neuroblastoma&lt;/Title&gt;&lt;Template&gt;Journal Article&lt;/Template&gt;&lt;Star&gt;0&lt;/Star&gt;&lt;Tag&gt;0&lt;/Tag&gt;&lt;Author&gt;Heczey, Andras; Louis, Chrystal U&lt;/Author&gt;&lt;Year&gt;2013&lt;/Year&gt;&lt;Details&gt;&lt;_collection_scope&gt;SCIE&lt;/_collection_scope&gt;&lt;_created&gt;64435223&lt;/_created&gt;&lt;_impact_factor&gt;   2.970&lt;/_impact_factor&gt;&lt;_issue&gt;90&lt;/_issue&gt;&lt;_journal&gt;Discovery medicine&lt;/_journal&gt;&lt;_modified&gt;64435223&lt;/_modified&gt;&lt;_pages&gt;287&lt;/_pages&gt;&lt;_volume&gt;16&lt;/_volume&gt;&lt;/Details&gt;&lt;Extra&gt;&lt;DBUID&gt;{3A9F5EF5-ADEA-41FF-AA38-0273059D0FED}&lt;/DBUID&gt;&lt;/Extra&gt;&lt;/Item&gt;&lt;/References&gt;&lt;/Group&gt;&lt;/Citation&gt;_x000a_"/>
    <w:docVar w:name="NE.Ref{BE0C13C3-02F4-4779-A9D4-4702E135D63D}" w:val=" ADDIN NE.Ref.{BE0C13C3-02F4-4779-A9D4-4702E135D63D}&lt;Citation&gt;&lt;Group&gt;&lt;References&gt;&lt;Item&gt;&lt;ID&gt;156&lt;/ID&gt;&lt;UID&gt;{099EF67F-0CBA-495D-AAFF-2743FDC3225A}&lt;/UID&gt;&lt;Title&gt;Updated results from the phase I CRB-402 study of anti-Bcma CAR-T cell therapy bb21217 in patients with relapsed and refractory multiple myeloma: correlation of expansion and duration of response with T cell phenotypes&lt;/Title&gt;&lt;Template&gt;Journal Article&lt;/Template&gt;&lt;Star&gt;0&lt;/Star&gt;&lt;Tag&gt;0&lt;/Tag&gt;&lt;Author&gt;Alsina, Melissa; Shah, Nina; Raje, Noopur S; Jagannath, Sundar; Madduri, Deepu; Kaufman, Jonathan L; Siegel, David S; Munshi, Nikhil C; Rosenblatt, Jacalyn; Lin, Yi&lt;/Author&gt;&lt;Year&gt;2020&lt;/Year&gt;&lt;Details&gt;&lt;_accessed&gt;64453573&lt;/_accessed&gt;&lt;_collection_scope&gt;SCI;SCIE&lt;/_collection_scope&gt;&lt;_created&gt;64353390&lt;/_created&gt;&lt;_impact_factor&gt;  23.629&lt;/_impact_factor&gt;&lt;_isbn&gt;0006-4971&lt;/_isbn&gt;&lt;_journal&gt;Blood&lt;/_journal&gt;&lt;_modified&gt;64453573&lt;/_modified&gt;&lt;_pages&gt;25-26&lt;/_pages&gt;&lt;_volume&gt;136&lt;/_volume&gt;&lt;/Details&gt;&lt;Extra&gt;&lt;DBUID&gt;{3A9F5EF5-ADEA-41FF-AA38-0273059D0FED}&lt;/DBUID&gt;&lt;/Extra&gt;&lt;/Item&gt;&lt;/References&gt;&lt;/Group&gt;&lt;/Citation&gt;_x000a_"/>
    <w:docVar w:name="NE.Ref{F3375E5C-08F9-4AEF-A38C-0368EBFF945E}" w:val=" ADDIN NE.Ref.{F3375E5C-08F9-4AEF-A38C-0368EBFF945E}&lt;Citation&gt;&lt;Group&gt;&lt;References&gt;&lt;Item&gt;&lt;ID&gt;187&lt;/ID&gt;&lt;UID&gt;{FB4E3D6D-D5F1-4AA0-93F3-7A69E57394D5}&lt;/UID&gt;&lt;Title&gt;Phase I/II study of pembrolizumab for progressive diffuse large B cell lymphoma after anti-CD19 directed chimeric antigen receptor modified T cell therapy&lt;/Title&gt;&lt;Template&gt;Journal Article&lt;/Template&gt;&lt;Star&gt;0&lt;/Star&gt;&lt;Tag&gt;0&lt;/Tag&gt;&lt;Author&gt;Chong, Elise A; Melenhorst, J Joseph; Svoboda, Jakub; Nasta, Sunita Dwivedy; Landsburg, Daniel J; Mato, Anthony R; Tian, Lifeng; Parakandi, Harit; Lacey, Simon F; June, Carl H&lt;/Author&gt;&lt;Year&gt;2017&lt;/Year&gt;&lt;Details&gt;&lt;_collection_scope&gt;SCI;SCIE&lt;/_collection_scope&gt;&lt;_created&gt;64435204&lt;/_created&gt;&lt;_impact_factor&gt;  23.629&lt;/_impact_factor&gt;&lt;_isbn&gt;0006-4971&lt;/_isbn&gt;&lt;_journal&gt;Blood&lt;/_journal&gt;&lt;_modified&gt;64435204&lt;/_modified&gt;&lt;_pages&gt;4121&lt;/_pages&gt;&lt;_volume&gt;130&lt;/_volume&gt;&lt;/Details&gt;&lt;Extra&gt;&lt;DBUID&gt;{3A9F5EF5-ADEA-41FF-AA38-0273059D0FED}&lt;/DBUID&gt;&lt;/Extra&gt;&lt;/Item&gt;&lt;/References&gt;&lt;/Group&gt;&lt;/Citation&gt;_x000a_"/>
    <w:docVar w:name="ne_stylename" w:val="Vancouver New MC"/>
  </w:docVars>
  <w:rsids>
    <w:rsidRoot w:val="00172A27"/>
    <w:rsid w:val="0013233C"/>
    <w:rsid w:val="00172A27"/>
    <w:rsid w:val="004E1F12"/>
    <w:rsid w:val="00B8244B"/>
    <w:rsid w:val="00F8720D"/>
    <w:rsid w:val="04E17C0C"/>
    <w:rsid w:val="073027AD"/>
    <w:rsid w:val="0EBA40B6"/>
    <w:rsid w:val="14EB1BED"/>
    <w:rsid w:val="2AD01925"/>
    <w:rsid w:val="335851F9"/>
    <w:rsid w:val="49F96717"/>
    <w:rsid w:val="56675586"/>
    <w:rsid w:val="57F5131E"/>
    <w:rsid w:val="5DA57FEE"/>
    <w:rsid w:val="6AFF5B29"/>
    <w:rsid w:val="71C1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lujunru740206</dc:creator>
  <cp:lastModifiedBy>Oira, Cynthia</cp:lastModifiedBy>
  <cp:revision>4</cp:revision>
  <dcterms:created xsi:type="dcterms:W3CDTF">2022-07-07T06:31:00Z</dcterms:created>
  <dcterms:modified xsi:type="dcterms:W3CDTF">2022-10-07T13:14:00Z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2FDD56EF03CA4FD4B2374C9F9F1D30B8</vt:lpwstr>
  </property>
</Properties>
</file>