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3060" w:type="dxa"/>
        <w:tblCellMar>
          <w:left w:w="70" w:type="dxa"/>
          <w:right w:w="70" w:type="dxa"/>
        </w:tblCellMar>
        <w:tblLook w:val="04A0" w:firstRow="1" w:lastRow="0" w:firstColumn="1" w:lastColumn="0" w:noHBand="0" w:noVBand="1"/>
      </w:tblPr>
      <w:tblGrid>
        <w:gridCol w:w="584"/>
        <w:gridCol w:w="1420"/>
        <w:gridCol w:w="1480"/>
        <w:gridCol w:w="2800"/>
        <w:gridCol w:w="500"/>
        <w:gridCol w:w="608"/>
        <w:gridCol w:w="500"/>
        <w:gridCol w:w="500"/>
        <w:gridCol w:w="500"/>
        <w:gridCol w:w="1280"/>
        <w:gridCol w:w="1280"/>
        <w:gridCol w:w="1257"/>
        <w:gridCol w:w="480"/>
      </w:tblGrid>
      <w:tr w:rsidR="00A020ED" w:rsidRPr="00A020ED" w:rsidTr="00A020ED">
        <w:trPr>
          <w:trHeight w:val="300"/>
        </w:trPr>
        <w:tc>
          <w:tcPr>
            <w:tcW w:w="13060" w:type="dxa"/>
            <w:gridSpan w:val="13"/>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A020ED" w:rsidRPr="00A020ED" w:rsidRDefault="00A020ED" w:rsidP="00A020ED">
            <w:pPr>
              <w:suppressAutoHyphens w:val="0"/>
              <w:jc w:val="center"/>
              <w:rPr>
                <w:rFonts w:ascii="Calibri" w:hAnsi="Calibri" w:cs="Calibri"/>
                <w:b/>
                <w:bCs/>
                <w:color w:val="FFFFFF"/>
                <w:sz w:val="22"/>
                <w:szCs w:val="22"/>
                <w:lang w:val="it-IT" w:eastAsia="it-IT"/>
              </w:rPr>
            </w:pPr>
            <w:r w:rsidRPr="00A020ED">
              <w:rPr>
                <w:rFonts w:ascii="Calibri" w:hAnsi="Calibri" w:cs="Calibri"/>
                <w:b/>
                <w:bCs/>
                <w:color w:val="FFFFFF"/>
                <w:sz w:val="22"/>
                <w:szCs w:val="22"/>
                <w:lang w:val="it-IT" w:eastAsia="it-IT"/>
              </w:rPr>
              <w:t>PAN-PI3K INHIBITORS</w:t>
            </w:r>
          </w:p>
        </w:tc>
      </w:tr>
      <w:tr w:rsidR="00A020ED" w:rsidRPr="00A020ED" w:rsidTr="00A020ED">
        <w:trPr>
          <w:trHeight w:val="300"/>
        </w:trPr>
        <w:tc>
          <w:tcPr>
            <w:tcW w:w="13060" w:type="dxa"/>
            <w:gridSpan w:val="13"/>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020ED" w:rsidRPr="00A020ED" w:rsidRDefault="00A020ED" w:rsidP="00A020ED">
            <w:pPr>
              <w:suppressAutoHyphens w:val="0"/>
              <w:jc w:val="center"/>
              <w:rPr>
                <w:rFonts w:ascii="Calibri" w:hAnsi="Calibri" w:cs="Calibri"/>
                <w:b/>
                <w:bCs/>
                <w:sz w:val="20"/>
                <w:szCs w:val="20"/>
                <w:lang w:val="it-IT" w:eastAsia="it-IT"/>
              </w:rPr>
            </w:pPr>
            <w:r w:rsidRPr="00A020ED">
              <w:rPr>
                <w:rFonts w:ascii="Calibri" w:hAnsi="Calibri" w:cs="Calibri"/>
                <w:b/>
                <w:bCs/>
                <w:sz w:val="20"/>
                <w:szCs w:val="20"/>
                <w:lang w:val="it-IT" w:eastAsia="it-IT"/>
              </w:rPr>
              <w:t xml:space="preserve">Buparlisib </w:t>
            </w:r>
            <w:r w:rsidRPr="00A020ED">
              <w:rPr>
                <w:rFonts w:ascii="Calibri" w:hAnsi="Calibri" w:cs="Calibri"/>
                <w:sz w:val="20"/>
                <w:szCs w:val="20"/>
                <w:lang w:val="it-IT" w:eastAsia="it-IT"/>
              </w:rPr>
              <w:t>(BKM120, NVP-BKM120)</w:t>
            </w:r>
          </w:p>
        </w:tc>
      </w:tr>
      <w:tr w:rsidR="00A020ED" w:rsidRPr="00A020ED" w:rsidTr="00A020ED">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Phase</w:t>
            </w:r>
          </w:p>
        </w:tc>
        <w:tc>
          <w:tcPr>
            <w:tcW w:w="142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Treatment</w:t>
            </w:r>
          </w:p>
        </w:tc>
        <w:tc>
          <w:tcPr>
            <w:tcW w:w="148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Disease</w:t>
            </w:r>
          </w:p>
        </w:tc>
        <w:tc>
          <w:tcPr>
            <w:tcW w:w="28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Outcome</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ISP</w:t>
            </w:r>
          </w:p>
        </w:tc>
        <w:tc>
          <w:tcPr>
            <w:tcW w:w="56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Status</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FP</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RFP</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LUP</w:t>
            </w:r>
          </w:p>
        </w:tc>
        <w:tc>
          <w:tcPr>
            <w:tcW w:w="128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Sponsor</w:t>
            </w:r>
          </w:p>
        </w:tc>
        <w:tc>
          <w:tcPr>
            <w:tcW w:w="128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Collaborator</w:t>
            </w:r>
          </w:p>
        </w:tc>
        <w:tc>
          <w:tcPr>
            <w:tcW w:w="122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NCT Identifier</w:t>
            </w:r>
          </w:p>
        </w:tc>
        <w:tc>
          <w:tcPr>
            <w:tcW w:w="48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color w:val="000000"/>
                <w:sz w:val="18"/>
                <w:szCs w:val="18"/>
                <w:lang w:val="it-IT" w:eastAsia="it-IT"/>
              </w:rPr>
            </w:pPr>
            <w:r w:rsidRPr="00A020ED">
              <w:rPr>
                <w:rFonts w:ascii="Calibri" w:hAnsi="Calibri" w:cs="Calibri"/>
                <w:b/>
                <w:bCs/>
                <w:color w:val="000000"/>
                <w:sz w:val="18"/>
                <w:szCs w:val="18"/>
                <w:lang w:val="it-IT" w:eastAsia="it-IT"/>
              </w:rPr>
              <w:t>R</w:t>
            </w:r>
          </w:p>
        </w:tc>
      </w:tr>
      <w:tr w:rsidR="00A020ED" w:rsidRPr="00A020ED" w:rsidTr="008F57D5">
        <w:trPr>
          <w:trHeight w:val="67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w:t>
            </w:r>
          </w:p>
        </w:tc>
        <w:tc>
          <w:tcPr>
            <w:tcW w:w="1420" w:type="dxa"/>
            <w:tcBorders>
              <w:top w:val="nil"/>
              <w:left w:val="nil"/>
              <w:bottom w:val="single" w:sz="4" w:space="0" w:color="auto"/>
              <w:right w:val="single" w:sz="4" w:space="0" w:color="auto"/>
            </w:tcBorders>
            <w:shd w:val="clear" w:color="auto" w:fill="auto"/>
            <w:vAlign w:val="center"/>
            <w:hideMark/>
          </w:tcPr>
          <w:p w:rsidR="00A020ED" w:rsidRPr="00907FCD" w:rsidRDefault="00A020ED" w:rsidP="00A020ED">
            <w:pPr>
              <w:suppressAutoHyphens w:val="0"/>
              <w:jc w:val="center"/>
              <w:rPr>
                <w:rFonts w:ascii="Calibri" w:hAnsi="Calibri" w:cs="Calibri"/>
                <w:sz w:val="16"/>
                <w:szCs w:val="16"/>
                <w:lang w:val="it-IT" w:eastAsia="it-IT"/>
              </w:rPr>
            </w:pPr>
            <w:r w:rsidRPr="00907FCD">
              <w:rPr>
                <w:rFonts w:ascii="Calibri" w:hAnsi="Calibri" w:cs="Calibri"/>
                <w:sz w:val="16"/>
                <w:szCs w:val="16"/>
                <w:lang w:val="it-IT" w:eastAsia="it-IT"/>
              </w:rPr>
              <w:t>Buparlisib</w:t>
            </w:r>
          </w:p>
        </w:tc>
        <w:tc>
          <w:tcPr>
            <w:tcW w:w="1480" w:type="dxa"/>
            <w:tcBorders>
              <w:top w:val="nil"/>
              <w:left w:val="nil"/>
              <w:bottom w:val="single" w:sz="4" w:space="0" w:color="auto"/>
              <w:right w:val="single" w:sz="4" w:space="0" w:color="auto"/>
            </w:tcBorders>
            <w:shd w:val="clear" w:color="auto" w:fill="auto"/>
            <w:vAlign w:val="center"/>
            <w:hideMark/>
          </w:tcPr>
          <w:p w:rsidR="00A020ED" w:rsidRPr="00907FCD" w:rsidRDefault="00A020ED" w:rsidP="00A020ED">
            <w:pPr>
              <w:suppressAutoHyphens w:val="0"/>
              <w:jc w:val="center"/>
              <w:rPr>
                <w:rFonts w:ascii="Calibri" w:hAnsi="Calibri" w:cs="Calibri"/>
                <w:sz w:val="16"/>
                <w:szCs w:val="16"/>
                <w:lang w:val="it-IT" w:eastAsia="it-IT"/>
              </w:rPr>
            </w:pPr>
            <w:r w:rsidRPr="00907FCD">
              <w:rPr>
                <w:rFonts w:ascii="Calibri" w:hAnsi="Calibri" w:cs="Calibri"/>
                <w:sz w:val="16"/>
                <w:szCs w:val="16"/>
                <w:lang w:val="it-IT" w:eastAsia="it-IT"/>
              </w:rPr>
              <w:t xml:space="preserve">Advanced acute leukemia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OS: 75 days; reduction of p-S6K (65%); decrease of p-FOXO3 (93%). MTD: 80 mg/daily</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2011</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2016</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M.D. Anderson Cancer Center</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Novartis</w:t>
            </w:r>
          </w:p>
        </w:tc>
        <w:tc>
          <w:tcPr>
            <w:tcW w:w="12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NCT01396499</w:t>
            </w:r>
          </w:p>
        </w:tc>
        <w:tc>
          <w:tcPr>
            <w:tcW w:w="480" w:type="dxa"/>
            <w:tcBorders>
              <w:top w:val="nil"/>
              <w:left w:val="nil"/>
              <w:bottom w:val="single" w:sz="4" w:space="0" w:color="auto"/>
              <w:right w:val="single" w:sz="4" w:space="0" w:color="auto"/>
            </w:tcBorders>
            <w:shd w:val="clear" w:color="auto" w:fill="auto"/>
            <w:noWrap/>
            <w:vAlign w:val="center"/>
          </w:tcPr>
          <w:p w:rsidR="00A020ED" w:rsidRPr="00A020ED" w:rsidRDefault="006A12FB"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9</w:t>
            </w:r>
          </w:p>
        </w:tc>
      </w:tr>
      <w:tr w:rsidR="00A020ED" w:rsidRPr="00A020ED" w:rsidTr="008F57D5">
        <w:trPr>
          <w:trHeight w:val="9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w:t>
            </w:r>
          </w:p>
        </w:tc>
        <w:tc>
          <w:tcPr>
            <w:tcW w:w="1420" w:type="dxa"/>
            <w:tcBorders>
              <w:top w:val="nil"/>
              <w:left w:val="nil"/>
              <w:bottom w:val="single" w:sz="4" w:space="0" w:color="auto"/>
              <w:right w:val="single" w:sz="4" w:space="0" w:color="auto"/>
            </w:tcBorders>
            <w:shd w:val="clear" w:color="auto" w:fill="auto"/>
            <w:vAlign w:val="center"/>
            <w:hideMark/>
          </w:tcPr>
          <w:p w:rsidR="00A020ED" w:rsidRPr="00907FCD" w:rsidRDefault="00A020ED" w:rsidP="00A020ED">
            <w:pPr>
              <w:suppressAutoHyphens w:val="0"/>
              <w:jc w:val="center"/>
              <w:rPr>
                <w:rFonts w:ascii="Calibri" w:hAnsi="Calibri" w:cs="Calibri"/>
                <w:sz w:val="16"/>
                <w:szCs w:val="16"/>
                <w:lang w:val="it-IT" w:eastAsia="it-IT"/>
              </w:rPr>
            </w:pPr>
            <w:r w:rsidRPr="00907FCD">
              <w:rPr>
                <w:rFonts w:ascii="Calibri" w:hAnsi="Calibri" w:cs="Calibri"/>
                <w:sz w:val="16"/>
                <w:szCs w:val="16"/>
                <w:lang w:val="it-IT" w:eastAsia="it-IT"/>
              </w:rPr>
              <w:t>Buparlisib</w:t>
            </w:r>
          </w:p>
        </w:tc>
        <w:tc>
          <w:tcPr>
            <w:tcW w:w="1480" w:type="dxa"/>
            <w:tcBorders>
              <w:top w:val="nil"/>
              <w:left w:val="nil"/>
              <w:bottom w:val="single" w:sz="4" w:space="0" w:color="auto"/>
              <w:right w:val="single" w:sz="4" w:space="0" w:color="auto"/>
            </w:tcBorders>
            <w:shd w:val="clear" w:color="auto" w:fill="auto"/>
            <w:vAlign w:val="center"/>
            <w:hideMark/>
          </w:tcPr>
          <w:p w:rsidR="00A020ED" w:rsidRPr="00907FCD" w:rsidRDefault="00A020ED" w:rsidP="00A020ED">
            <w:pPr>
              <w:suppressAutoHyphens w:val="0"/>
              <w:jc w:val="center"/>
              <w:rPr>
                <w:rFonts w:ascii="Calibri" w:hAnsi="Calibri" w:cs="Calibri"/>
                <w:sz w:val="16"/>
                <w:szCs w:val="16"/>
                <w:lang w:val="it-IT" w:eastAsia="it-IT"/>
              </w:rPr>
            </w:pPr>
            <w:r w:rsidRPr="00907FCD">
              <w:rPr>
                <w:rFonts w:ascii="Calibri" w:hAnsi="Calibri" w:cs="Calibri"/>
                <w:sz w:val="16"/>
                <w:szCs w:val="16"/>
                <w:lang w:val="it-IT" w:eastAsia="it-IT"/>
              </w:rPr>
              <w:t xml:space="preserve">Advanced solid tumor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PR: 3.2% (triple-negative breast cancer with a KRAS mutation); SD: 52% for more than 6 weeks. MTD: 100 mg/daily</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2010</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2020</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Novartis</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NCT01068483</w:t>
            </w:r>
          </w:p>
        </w:tc>
        <w:tc>
          <w:tcPr>
            <w:tcW w:w="480" w:type="dxa"/>
            <w:tcBorders>
              <w:top w:val="nil"/>
              <w:left w:val="nil"/>
              <w:bottom w:val="single" w:sz="4" w:space="0" w:color="auto"/>
              <w:right w:val="single" w:sz="4" w:space="0" w:color="auto"/>
            </w:tcBorders>
            <w:shd w:val="clear" w:color="auto" w:fill="auto"/>
            <w:noWrap/>
            <w:vAlign w:val="center"/>
          </w:tcPr>
          <w:p w:rsidR="00A020ED" w:rsidRPr="00A020ED" w:rsidRDefault="006A12FB"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10</w:t>
            </w:r>
          </w:p>
        </w:tc>
      </w:tr>
      <w:tr w:rsidR="00A020ED" w:rsidRPr="00A020ED" w:rsidTr="008F57D5">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w:t>
            </w:r>
          </w:p>
        </w:tc>
        <w:tc>
          <w:tcPr>
            <w:tcW w:w="1420" w:type="dxa"/>
            <w:tcBorders>
              <w:top w:val="nil"/>
              <w:left w:val="nil"/>
              <w:bottom w:val="single" w:sz="4" w:space="0" w:color="auto"/>
              <w:right w:val="single" w:sz="4" w:space="0" w:color="auto"/>
            </w:tcBorders>
            <w:shd w:val="clear" w:color="auto" w:fill="auto"/>
            <w:vAlign w:val="center"/>
            <w:hideMark/>
          </w:tcPr>
          <w:p w:rsidR="00A020ED" w:rsidRPr="00907FCD" w:rsidRDefault="00A020ED" w:rsidP="00A020ED">
            <w:pPr>
              <w:suppressAutoHyphens w:val="0"/>
              <w:jc w:val="center"/>
              <w:rPr>
                <w:rFonts w:ascii="Calibri" w:hAnsi="Calibri" w:cs="Calibri"/>
                <w:sz w:val="16"/>
                <w:szCs w:val="16"/>
                <w:lang w:val="it-IT" w:eastAsia="it-IT"/>
              </w:rPr>
            </w:pPr>
            <w:r w:rsidRPr="00907FCD">
              <w:rPr>
                <w:rFonts w:ascii="Calibri" w:hAnsi="Calibri" w:cs="Calibri"/>
                <w:sz w:val="16"/>
                <w:szCs w:val="16"/>
                <w:lang w:val="it-IT" w:eastAsia="it-IT"/>
              </w:rPr>
              <w:t>Buparlisib</w:t>
            </w:r>
          </w:p>
        </w:tc>
        <w:tc>
          <w:tcPr>
            <w:tcW w:w="1480" w:type="dxa"/>
            <w:tcBorders>
              <w:top w:val="nil"/>
              <w:left w:val="nil"/>
              <w:bottom w:val="single" w:sz="4" w:space="0" w:color="auto"/>
              <w:right w:val="single" w:sz="4" w:space="0" w:color="auto"/>
            </w:tcBorders>
            <w:shd w:val="clear" w:color="auto" w:fill="auto"/>
            <w:vAlign w:val="center"/>
            <w:hideMark/>
          </w:tcPr>
          <w:p w:rsidR="00A020ED" w:rsidRPr="00907FCD" w:rsidRDefault="00A020ED" w:rsidP="00A020ED">
            <w:pPr>
              <w:suppressAutoHyphens w:val="0"/>
              <w:jc w:val="center"/>
              <w:rPr>
                <w:rFonts w:ascii="Calibri" w:hAnsi="Calibri" w:cs="Calibri"/>
                <w:sz w:val="16"/>
                <w:szCs w:val="16"/>
                <w:lang w:val="it-IT" w:eastAsia="it-IT"/>
              </w:rPr>
            </w:pPr>
            <w:r w:rsidRPr="00907FCD">
              <w:rPr>
                <w:rFonts w:ascii="Calibri" w:hAnsi="Calibri" w:cs="Calibri"/>
                <w:sz w:val="16"/>
                <w:szCs w:val="16"/>
                <w:lang w:val="it-IT" w:eastAsia="it-IT"/>
              </w:rPr>
              <w:t xml:space="preserve">Advanced solid tumor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SD: 40%; DCR: 40%; progressive disease: 46.7%. RP2D: 100 mg/day</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2011</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2020</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Novartis</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NCT01283503</w:t>
            </w:r>
          </w:p>
        </w:tc>
        <w:tc>
          <w:tcPr>
            <w:tcW w:w="480" w:type="dxa"/>
            <w:tcBorders>
              <w:top w:val="nil"/>
              <w:left w:val="nil"/>
              <w:bottom w:val="single" w:sz="4" w:space="0" w:color="auto"/>
              <w:right w:val="single" w:sz="4" w:space="0" w:color="auto"/>
            </w:tcBorders>
            <w:shd w:val="clear" w:color="auto" w:fill="auto"/>
            <w:noWrap/>
            <w:vAlign w:val="center"/>
          </w:tcPr>
          <w:p w:rsidR="00A020ED" w:rsidRPr="00A020ED" w:rsidRDefault="006A12FB"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11</w:t>
            </w:r>
          </w:p>
        </w:tc>
      </w:tr>
      <w:tr w:rsidR="00A020ED" w:rsidRPr="00A020ED" w:rsidTr="008F57D5">
        <w:trPr>
          <w:trHeight w:val="67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w:t>
            </w:r>
          </w:p>
        </w:tc>
        <w:tc>
          <w:tcPr>
            <w:tcW w:w="1420" w:type="dxa"/>
            <w:tcBorders>
              <w:top w:val="nil"/>
              <w:left w:val="nil"/>
              <w:bottom w:val="single" w:sz="4" w:space="0" w:color="auto"/>
              <w:right w:val="single" w:sz="4" w:space="0" w:color="auto"/>
            </w:tcBorders>
            <w:shd w:val="clear" w:color="auto" w:fill="auto"/>
            <w:vAlign w:val="center"/>
            <w:hideMark/>
          </w:tcPr>
          <w:p w:rsidR="00A020ED" w:rsidRPr="00907FCD" w:rsidRDefault="00A020ED" w:rsidP="00A020ED">
            <w:pPr>
              <w:suppressAutoHyphens w:val="0"/>
              <w:jc w:val="center"/>
              <w:rPr>
                <w:rFonts w:ascii="Calibri" w:hAnsi="Calibri" w:cs="Calibri"/>
                <w:sz w:val="16"/>
                <w:szCs w:val="16"/>
                <w:lang w:val="it-IT" w:eastAsia="it-IT"/>
              </w:rPr>
            </w:pPr>
            <w:r w:rsidRPr="00907FCD">
              <w:rPr>
                <w:rFonts w:ascii="Calibri" w:hAnsi="Calibri" w:cs="Calibri"/>
                <w:sz w:val="16"/>
                <w:szCs w:val="16"/>
                <w:lang w:val="it-IT" w:eastAsia="it-IT"/>
              </w:rPr>
              <w:t xml:space="preserve">Combination of buparlisib with bevacizumab </w:t>
            </w:r>
          </w:p>
        </w:tc>
        <w:tc>
          <w:tcPr>
            <w:tcW w:w="1480" w:type="dxa"/>
            <w:tcBorders>
              <w:top w:val="nil"/>
              <w:left w:val="nil"/>
              <w:bottom w:val="single" w:sz="4" w:space="0" w:color="auto"/>
              <w:right w:val="single" w:sz="4" w:space="0" w:color="auto"/>
            </w:tcBorders>
            <w:shd w:val="clear" w:color="auto" w:fill="auto"/>
            <w:vAlign w:val="center"/>
            <w:hideMark/>
          </w:tcPr>
          <w:p w:rsidR="00A020ED" w:rsidRPr="00907FCD" w:rsidRDefault="00A020ED" w:rsidP="00A020ED">
            <w:pPr>
              <w:suppressAutoHyphens w:val="0"/>
              <w:jc w:val="center"/>
              <w:rPr>
                <w:rFonts w:ascii="Calibri" w:hAnsi="Calibri" w:cs="Calibri"/>
                <w:sz w:val="16"/>
                <w:szCs w:val="16"/>
                <w:lang w:val="it-IT" w:eastAsia="it-IT"/>
              </w:rPr>
            </w:pPr>
            <w:r w:rsidRPr="00907FCD">
              <w:rPr>
                <w:rFonts w:ascii="Calibri" w:hAnsi="Calibri" w:cs="Calibri"/>
                <w:sz w:val="16"/>
                <w:szCs w:val="16"/>
                <w:lang w:val="it-IT" w:eastAsia="it-IT"/>
              </w:rPr>
              <w:t>Metastatic renal cell carcinoma</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PR: 13.3%, and SD: 50%, There was a significant maximal tumor shrinkage in 6.2% of patients. MTD: 80 mg/daily</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2011</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2016</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Dana-Farber Cancer Institute</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Beth Israel Deaconess Medical Center</w:t>
            </w:r>
          </w:p>
        </w:tc>
        <w:tc>
          <w:tcPr>
            <w:tcW w:w="12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NCT01283048</w:t>
            </w:r>
          </w:p>
        </w:tc>
        <w:tc>
          <w:tcPr>
            <w:tcW w:w="480" w:type="dxa"/>
            <w:tcBorders>
              <w:top w:val="nil"/>
              <w:left w:val="nil"/>
              <w:bottom w:val="single" w:sz="4" w:space="0" w:color="auto"/>
              <w:right w:val="single" w:sz="4" w:space="0" w:color="auto"/>
            </w:tcBorders>
            <w:shd w:val="clear" w:color="auto" w:fill="auto"/>
            <w:noWrap/>
            <w:vAlign w:val="center"/>
          </w:tcPr>
          <w:p w:rsidR="00A020ED" w:rsidRPr="00A020ED" w:rsidRDefault="006A12FB"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12</w:t>
            </w:r>
          </w:p>
        </w:tc>
      </w:tr>
      <w:tr w:rsidR="00A020ED" w:rsidRPr="00A020ED" w:rsidTr="008F57D5">
        <w:trPr>
          <w:trHeight w:val="67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Combination of buparlisib with capecitabine</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Metastatic breast cancer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PR: 23.5%; CR: 5.8%</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2011</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2020</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UNC Lineberger Comprehensive Cancer Center</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Novartis</w:t>
            </w:r>
          </w:p>
        </w:tc>
        <w:tc>
          <w:tcPr>
            <w:tcW w:w="12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NCT01300962</w:t>
            </w:r>
          </w:p>
        </w:tc>
        <w:tc>
          <w:tcPr>
            <w:tcW w:w="480" w:type="dxa"/>
            <w:tcBorders>
              <w:top w:val="nil"/>
              <w:left w:val="nil"/>
              <w:bottom w:val="single" w:sz="4" w:space="0" w:color="auto"/>
              <w:right w:val="single" w:sz="4" w:space="0" w:color="auto"/>
            </w:tcBorders>
            <w:shd w:val="clear" w:color="auto" w:fill="auto"/>
            <w:noWrap/>
            <w:vAlign w:val="center"/>
          </w:tcPr>
          <w:p w:rsidR="00A020ED" w:rsidRPr="00A020ED" w:rsidRDefault="006A12FB"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13</w:t>
            </w:r>
          </w:p>
        </w:tc>
      </w:tr>
      <w:tr w:rsidR="00A020ED" w:rsidRPr="00A020ED" w:rsidTr="008F57D5">
        <w:trPr>
          <w:trHeight w:val="112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Combination of buparlisib with fulvestrant</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ER+ metastatic breast cancer</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CBR: 58.6%. Loss of PTEN, or progesterone receptor (PgR) expression, or mutation in TP53 was commoner in resistant cases. MTD: 100mg/once daily</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2011</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2017</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Washington University School of Medicine</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National Cancer Institute (NCI)</w:t>
            </w:r>
          </w:p>
        </w:tc>
        <w:tc>
          <w:tcPr>
            <w:tcW w:w="12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NCT01339442</w:t>
            </w:r>
          </w:p>
        </w:tc>
        <w:tc>
          <w:tcPr>
            <w:tcW w:w="480" w:type="dxa"/>
            <w:tcBorders>
              <w:top w:val="nil"/>
              <w:left w:val="nil"/>
              <w:bottom w:val="single" w:sz="4" w:space="0" w:color="auto"/>
              <w:right w:val="single" w:sz="4" w:space="0" w:color="auto"/>
            </w:tcBorders>
            <w:shd w:val="clear" w:color="auto" w:fill="auto"/>
            <w:noWrap/>
            <w:vAlign w:val="center"/>
          </w:tcPr>
          <w:p w:rsidR="00A020ED" w:rsidRPr="00A020ED" w:rsidRDefault="006A12FB"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14</w:t>
            </w:r>
          </w:p>
        </w:tc>
      </w:tr>
      <w:tr w:rsidR="00A020ED" w:rsidRPr="00A020ED" w:rsidTr="008F57D5">
        <w:trPr>
          <w:trHeight w:val="9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Combination of buparlisib with everolimus </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Advanced solid tumor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PFS: 2.7 months; OS: 9 months; progressive disease: 11%; SD: 89%. MTD and RP2D: 60 mg/daily on a continuous schedule</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2011</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2018</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Emory University</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Novartis</w:t>
            </w:r>
          </w:p>
        </w:tc>
        <w:tc>
          <w:tcPr>
            <w:tcW w:w="12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NCT01470209</w:t>
            </w:r>
          </w:p>
        </w:tc>
        <w:tc>
          <w:tcPr>
            <w:tcW w:w="480" w:type="dxa"/>
            <w:tcBorders>
              <w:top w:val="nil"/>
              <w:left w:val="nil"/>
              <w:bottom w:val="single" w:sz="4" w:space="0" w:color="auto"/>
              <w:right w:val="single" w:sz="4" w:space="0" w:color="auto"/>
            </w:tcBorders>
            <w:shd w:val="clear" w:color="auto" w:fill="auto"/>
            <w:noWrap/>
            <w:vAlign w:val="center"/>
          </w:tcPr>
          <w:p w:rsidR="00A020ED" w:rsidRPr="00A020ED" w:rsidRDefault="006A12FB"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15</w:t>
            </w:r>
          </w:p>
        </w:tc>
      </w:tr>
      <w:tr w:rsidR="00A020ED" w:rsidRPr="00A020ED" w:rsidTr="008F57D5">
        <w:trPr>
          <w:trHeight w:val="157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 1b</w:t>
            </w:r>
          </w:p>
        </w:tc>
        <w:tc>
          <w:tcPr>
            <w:tcW w:w="1420" w:type="dxa"/>
            <w:tcBorders>
              <w:top w:val="nil"/>
              <w:left w:val="nil"/>
              <w:bottom w:val="single" w:sz="4" w:space="0" w:color="auto"/>
              <w:right w:val="single" w:sz="4" w:space="0" w:color="auto"/>
            </w:tcBorders>
            <w:shd w:val="clear" w:color="auto" w:fill="auto"/>
            <w:vAlign w:val="center"/>
            <w:hideMark/>
          </w:tcPr>
          <w:p w:rsidR="00A020ED" w:rsidRPr="00907FCD" w:rsidRDefault="00A020ED" w:rsidP="00A020ED">
            <w:pPr>
              <w:suppressAutoHyphens w:val="0"/>
              <w:jc w:val="center"/>
              <w:rPr>
                <w:rFonts w:ascii="Calibri" w:hAnsi="Calibri" w:cs="Calibri"/>
                <w:sz w:val="16"/>
                <w:szCs w:val="16"/>
                <w:lang w:val="it-IT" w:eastAsia="it-IT"/>
              </w:rPr>
            </w:pPr>
            <w:r w:rsidRPr="00907FCD">
              <w:rPr>
                <w:rFonts w:ascii="Calibri" w:hAnsi="Calibri" w:cs="Calibri"/>
                <w:sz w:val="16"/>
                <w:szCs w:val="16"/>
                <w:lang w:val="it-IT" w:eastAsia="it-IT"/>
              </w:rPr>
              <w:t>Combination of buparlisib with Ibrutinib</w:t>
            </w:r>
          </w:p>
        </w:tc>
        <w:tc>
          <w:tcPr>
            <w:tcW w:w="1480" w:type="dxa"/>
            <w:tcBorders>
              <w:top w:val="nil"/>
              <w:left w:val="nil"/>
              <w:bottom w:val="single" w:sz="4" w:space="0" w:color="auto"/>
              <w:right w:val="single" w:sz="4" w:space="0" w:color="auto"/>
            </w:tcBorders>
            <w:shd w:val="clear" w:color="auto" w:fill="auto"/>
            <w:vAlign w:val="center"/>
            <w:hideMark/>
          </w:tcPr>
          <w:p w:rsidR="00A020ED" w:rsidRPr="00907FCD" w:rsidRDefault="00A020ED" w:rsidP="00A020ED">
            <w:pPr>
              <w:suppressAutoHyphens w:val="0"/>
              <w:jc w:val="center"/>
              <w:rPr>
                <w:rFonts w:ascii="Calibri" w:hAnsi="Calibri" w:cs="Calibri"/>
                <w:sz w:val="16"/>
                <w:szCs w:val="16"/>
                <w:lang w:val="it-IT" w:eastAsia="it-IT"/>
              </w:rPr>
            </w:pPr>
            <w:r w:rsidRPr="00907FCD">
              <w:rPr>
                <w:rFonts w:ascii="Calibri" w:hAnsi="Calibri" w:cs="Calibri"/>
                <w:sz w:val="16"/>
                <w:szCs w:val="16"/>
                <w:lang w:val="it-IT" w:eastAsia="it-IT"/>
              </w:rPr>
              <w:t>Relapsed or refractory B-cell lymphoma</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ORR: 94%, and 33-month median PFS in mantle cell lymphoma. ORR: 31% in diffuse large B-cell lymphoma. ORR: 20% in follicular lymphoma. MTD: 100 mg (buparlisib) + 560 mg (ibrutinib). RP2D: 80 mg (buparlisib) + 560 mg (ibrutinib)</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 NR</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2016</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2022</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Memorial Sloan Kettering Cancer Center</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Janssen Scientific Affairs LLC, and </w:t>
            </w:r>
            <w:r w:rsidRPr="00A020ED">
              <w:rPr>
                <w:rFonts w:ascii="Calibri" w:hAnsi="Calibri" w:cs="Calibri"/>
                <w:sz w:val="16"/>
                <w:szCs w:val="16"/>
                <w:lang w:val="it-IT" w:eastAsia="it-IT"/>
              </w:rPr>
              <w:br/>
              <w:t>Novartis</w:t>
            </w:r>
          </w:p>
        </w:tc>
        <w:tc>
          <w:tcPr>
            <w:tcW w:w="12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NCT02756247</w:t>
            </w:r>
          </w:p>
        </w:tc>
        <w:tc>
          <w:tcPr>
            <w:tcW w:w="480" w:type="dxa"/>
            <w:tcBorders>
              <w:top w:val="nil"/>
              <w:left w:val="nil"/>
              <w:bottom w:val="single" w:sz="4" w:space="0" w:color="auto"/>
              <w:right w:val="single" w:sz="4" w:space="0" w:color="auto"/>
            </w:tcBorders>
            <w:shd w:val="clear" w:color="auto" w:fill="auto"/>
            <w:noWrap/>
            <w:vAlign w:val="center"/>
          </w:tcPr>
          <w:p w:rsidR="00A020ED" w:rsidRPr="00A020ED" w:rsidRDefault="006A12FB"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16</w:t>
            </w:r>
          </w:p>
        </w:tc>
      </w:tr>
      <w:tr w:rsidR="00A020ED" w:rsidRPr="00A020ED" w:rsidTr="008F57D5">
        <w:trPr>
          <w:trHeight w:val="9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1b</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Combination of buparlisib with panitumumab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Metastatic and advanced Ras wild-type colorectal cancer </w:t>
            </w:r>
          </w:p>
        </w:tc>
        <w:tc>
          <w:tcPr>
            <w:tcW w:w="28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PFS: 2 months; SD: 36.8%; progression disease: 47.3%</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2012</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2020</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Canadian Cancer Trials Group</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Pfizer</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 NCT01591421</w:t>
            </w: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A020ED" w:rsidRPr="00A020ED" w:rsidRDefault="006A12FB"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17</w:t>
            </w:r>
          </w:p>
        </w:tc>
      </w:tr>
      <w:tr w:rsidR="00A020ED" w:rsidRPr="00A020ED" w:rsidTr="008F57D5">
        <w:trPr>
          <w:trHeight w:val="112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lastRenderedPageBreak/>
              <w:t>1b</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Combination of buparlisib with trametinib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Advanced solid tumor </w:t>
            </w:r>
          </w:p>
        </w:tc>
        <w:tc>
          <w:tcPr>
            <w:tcW w:w="28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PFS: 7 months, and ORR: 28.6% (ovarian cancer). PFS: 4 months, and ORR: 53% (non-small-cell lung carcinoma). PFS: 2 months (pancreatic cancer)</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2010</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2020</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Novartis</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NCT01155453</w:t>
            </w: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A020ED" w:rsidRPr="00A020ED" w:rsidRDefault="006A12FB"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18</w:t>
            </w:r>
          </w:p>
        </w:tc>
      </w:tr>
      <w:tr w:rsidR="00A020ED" w:rsidRPr="00A020ED" w:rsidTr="008F57D5">
        <w:trPr>
          <w:trHeight w:val="13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1b</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Combination of buparlisib with paclitaxel ± trastuzumab</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HER2+ breast cancer and advanced solid tumor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ORR: 17% with buparlisib + paclitaxel (advanced solid tumor). ORR: 27% with buparlisib + paclitaxel + trastuzumab (HER2+ breast cancer). MTD (for both combinations): 100 mg/day</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2011</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2020</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Novartis</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NCT01285466</w:t>
            </w:r>
          </w:p>
        </w:tc>
        <w:tc>
          <w:tcPr>
            <w:tcW w:w="480" w:type="dxa"/>
            <w:tcBorders>
              <w:top w:val="nil"/>
              <w:left w:val="nil"/>
              <w:bottom w:val="single" w:sz="4" w:space="0" w:color="auto"/>
              <w:right w:val="single" w:sz="4" w:space="0" w:color="auto"/>
            </w:tcBorders>
            <w:shd w:val="clear" w:color="auto" w:fill="auto"/>
            <w:noWrap/>
            <w:vAlign w:val="center"/>
          </w:tcPr>
          <w:p w:rsidR="00A020ED" w:rsidRPr="00A020ED" w:rsidRDefault="006A12FB"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19</w:t>
            </w:r>
          </w:p>
        </w:tc>
      </w:tr>
      <w:tr w:rsidR="00A020ED" w:rsidRPr="00A020ED" w:rsidTr="008F57D5">
        <w:trPr>
          <w:trHeight w:val="112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1b</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Triple combination of buparlisib with tamoxifen and goserelin </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E67850"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HR+</w:t>
            </w:r>
            <w:r w:rsidR="00A020ED" w:rsidRPr="00A020ED">
              <w:rPr>
                <w:rFonts w:ascii="Calibri" w:hAnsi="Calibri" w:cs="Calibri"/>
                <w:sz w:val="16"/>
                <w:szCs w:val="16"/>
                <w:lang w:val="it-IT" w:eastAsia="it-IT"/>
              </w:rPr>
              <w:t xml:space="preserve">, </w:t>
            </w:r>
            <w:r>
              <w:rPr>
                <w:rFonts w:ascii="Calibri" w:hAnsi="Calibri" w:cs="Calibri"/>
                <w:sz w:val="16"/>
                <w:szCs w:val="16"/>
                <w:lang w:val="it-IT" w:eastAsia="it-IT"/>
              </w:rPr>
              <w:t xml:space="preserve">HER2- </w:t>
            </w:r>
            <w:r w:rsidR="00A020ED" w:rsidRPr="00A020ED">
              <w:rPr>
                <w:rFonts w:ascii="Calibri" w:hAnsi="Calibri" w:cs="Calibri"/>
                <w:sz w:val="16"/>
                <w:szCs w:val="16"/>
                <w:lang w:val="it-IT" w:eastAsia="it-IT"/>
              </w:rPr>
              <w:t>advanced breast cancer</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PFS: 20.6 months. RP2D: 100 mg/once daily</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2014</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2020</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Novartis</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NCT02058381</w:t>
            </w:r>
          </w:p>
        </w:tc>
        <w:tc>
          <w:tcPr>
            <w:tcW w:w="480" w:type="dxa"/>
            <w:tcBorders>
              <w:top w:val="nil"/>
              <w:left w:val="nil"/>
              <w:bottom w:val="single" w:sz="4" w:space="0" w:color="auto"/>
              <w:right w:val="single" w:sz="4" w:space="0" w:color="auto"/>
            </w:tcBorders>
            <w:shd w:val="clear" w:color="auto" w:fill="auto"/>
            <w:noWrap/>
            <w:vAlign w:val="center"/>
          </w:tcPr>
          <w:p w:rsidR="00A020ED" w:rsidRPr="00A020ED" w:rsidRDefault="006A12FB"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20</w:t>
            </w:r>
          </w:p>
        </w:tc>
      </w:tr>
      <w:tr w:rsidR="00A020ED" w:rsidRPr="00A020ED" w:rsidTr="008F57D5">
        <w:trPr>
          <w:trHeight w:val="112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1b</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Triple combination of buparlisib with carboplatin and paclitaxel</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Advanced solid tumor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ORR: 20%</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2011</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2017</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Memorial Sloan Kettering Cancer Center</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Novartis, and </w:t>
            </w:r>
            <w:r w:rsidRPr="00A020ED">
              <w:rPr>
                <w:rFonts w:ascii="Calibri" w:hAnsi="Calibri" w:cs="Calibri"/>
                <w:sz w:val="16"/>
                <w:szCs w:val="16"/>
                <w:lang w:val="it-IT" w:eastAsia="it-IT"/>
              </w:rPr>
              <w:br/>
              <w:t>Sai Life Sciences</w:t>
            </w:r>
          </w:p>
        </w:tc>
        <w:tc>
          <w:tcPr>
            <w:tcW w:w="12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NCT01297452</w:t>
            </w:r>
          </w:p>
        </w:tc>
        <w:tc>
          <w:tcPr>
            <w:tcW w:w="480" w:type="dxa"/>
            <w:tcBorders>
              <w:top w:val="nil"/>
              <w:left w:val="nil"/>
              <w:bottom w:val="single" w:sz="4" w:space="0" w:color="auto"/>
              <w:right w:val="single" w:sz="4" w:space="0" w:color="auto"/>
            </w:tcBorders>
            <w:shd w:val="clear" w:color="auto" w:fill="auto"/>
            <w:noWrap/>
            <w:vAlign w:val="center"/>
          </w:tcPr>
          <w:p w:rsidR="00A020ED" w:rsidRPr="00A020ED" w:rsidRDefault="006A12FB"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21</w:t>
            </w:r>
          </w:p>
        </w:tc>
      </w:tr>
      <w:tr w:rsidR="00A020ED" w:rsidRPr="00A020ED" w:rsidTr="008F57D5">
        <w:trPr>
          <w:trHeight w:val="9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1, 2</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Combination of buparlisib with bevacizumab </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Relapsed or refractory glioblastoma multiforme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PFS: 5.3 months; OS: 10.8 months; progressive disease: 50%</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2011</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2018</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2020</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SCRI Development Innovations, LLC</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Novartis</w:t>
            </w:r>
          </w:p>
        </w:tc>
        <w:tc>
          <w:tcPr>
            <w:tcW w:w="12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NCT01349660</w:t>
            </w:r>
          </w:p>
        </w:tc>
        <w:tc>
          <w:tcPr>
            <w:tcW w:w="480" w:type="dxa"/>
            <w:tcBorders>
              <w:top w:val="nil"/>
              <w:left w:val="nil"/>
              <w:bottom w:val="single" w:sz="4" w:space="0" w:color="auto"/>
              <w:right w:val="single" w:sz="4" w:space="0" w:color="auto"/>
            </w:tcBorders>
            <w:shd w:val="clear" w:color="auto" w:fill="auto"/>
            <w:noWrap/>
            <w:vAlign w:val="center"/>
          </w:tcPr>
          <w:p w:rsidR="00A020ED" w:rsidRPr="00A020ED" w:rsidRDefault="006A12FB"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22</w:t>
            </w:r>
          </w:p>
        </w:tc>
      </w:tr>
      <w:tr w:rsidR="00A020ED" w:rsidRPr="00A020ED" w:rsidTr="008F57D5">
        <w:trPr>
          <w:trHeight w:val="67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1, 2</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Combination of buparlisib with cetuximab </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Recurrent or metastatic head and neck cancer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OS: 280 days; SD: 40%</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2013</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2020</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2021</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University of Chicago</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National Cancer Institute (NCI)</w:t>
            </w:r>
          </w:p>
        </w:tc>
        <w:tc>
          <w:tcPr>
            <w:tcW w:w="12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NCT01816984</w:t>
            </w:r>
          </w:p>
        </w:tc>
        <w:tc>
          <w:tcPr>
            <w:tcW w:w="480" w:type="dxa"/>
            <w:tcBorders>
              <w:top w:val="nil"/>
              <w:left w:val="nil"/>
              <w:bottom w:val="single" w:sz="4" w:space="0" w:color="auto"/>
              <w:right w:val="single" w:sz="4" w:space="0" w:color="auto"/>
            </w:tcBorders>
            <w:shd w:val="clear" w:color="auto" w:fill="auto"/>
            <w:noWrap/>
            <w:vAlign w:val="center"/>
          </w:tcPr>
          <w:p w:rsidR="00A020ED" w:rsidRPr="00A020ED" w:rsidRDefault="006A12FB"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23</w:t>
            </w:r>
          </w:p>
        </w:tc>
      </w:tr>
      <w:tr w:rsidR="00A020ED" w:rsidRPr="00A020ED" w:rsidTr="008F57D5">
        <w:trPr>
          <w:trHeight w:val="157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Buparlisib</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Relapsed or refractory non-Hodgkin lymphoma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ORR: 25%, PFS: 9.8 months, and OS: 12.1 months (fol</w:t>
            </w:r>
            <w:r w:rsidR="00E938AF">
              <w:rPr>
                <w:rFonts w:ascii="Calibri" w:hAnsi="Calibri" w:cs="Calibri"/>
                <w:sz w:val="16"/>
                <w:szCs w:val="16"/>
                <w:lang w:val="it-IT" w:eastAsia="it-IT"/>
              </w:rPr>
              <w:t xml:space="preserve">licular lymphoma). ORR: 11.5%, </w:t>
            </w:r>
            <w:r w:rsidRPr="00A020ED">
              <w:rPr>
                <w:rFonts w:ascii="Calibri" w:hAnsi="Calibri" w:cs="Calibri"/>
                <w:sz w:val="16"/>
                <w:szCs w:val="16"/>
                <w:lang w:val="it-IT" w:eastAsia="it-IT"/>
              </w:rPr>
              <w:t>PFS: 1.8 months, and OS: 5.2 months (diffuse large B-cell lymphoma). ORR: 22.7%, PFS: 11.3 months, and OS: 8.2 months (mantle cell lymphoma)</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2012</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2018</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2018</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Novartis</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NCT01693614</w:t>
            </w:r>
          </w:p>
        </w:tc>
        <w:tc>
          <w:tcPr>
            <w:tcW w:w="480" w:type="dxa"/>
            <w:tcBorders>
              <w:top w:val="nil"/>
              <w:left w:val="nil"/>
              <w:bottom w:val="single" w:sz="4" w:space="0" w:color="auto"/>
              <w:right w:val="single" w:sz="4" w:space="0" w:color="auto"/>
            </w:tcBorders>
            <w:shd w:val="clear" w:color="auto" w:fill="auto"/>
            <w:noWrap/>
            <w:vAlign w:val="center"/>
          </w:tcPr>
          <w:p w:rsidR="00A020ED" w:rsidRPr="00A020ED" w:rsidRDefault="006A12FB"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24</w:t>
            </w:r>
          </w:p>
        </w:tc>
      </w:tr>
      <w:tr w:rsidR="00A020ED" w:rsidRPr="00A020ED" w:rsidTr="008F57D5">
        <w:trPr>
          <w:trHeight w:val="67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Buparlisib</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Metastatic triple-negative breast cancer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PFS: 1.8 months; OS: 11.2 months</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2012</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2020</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2020</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SOLTI Breast Cancer Research Group</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Novartis, and Dana-Farber Cancer Institute</w:t>
            </w:r>
          </w:p>
        </w:tc>
        <w:tc>
          <w:tcPr>
            <w:tcW w:w="12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NCT01629615</w:t>
            </w:r>
          </w:p>
        </w:tc>
        <w:tc>
          <w:tcPr>
            <w:tcW w:w="480" w:type="dxa"/>
            <w:tcBorders>
              <w:top w:val="nil"/>
              <w:left w:val="nil"/>
              <w:bottom w:val="single" w:sz="4" w:space="0" w:color="auto"/>
              <w:right w:val="single" w:sz="4" w:space="0" w:color="auto"/>
            </w:tcBorders>
            <w:shd w:val="clear" w:color="auto" w:fill="auto"/>
            <w:noWrap/>
            <w:vAlign w:val="center"/>
          </w:tcPr>
          <w:p w:rsidR="00A020ED" w:rsidRPr="00A020ED" w:rsidRDefault="006A12FB"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25</w:t>
            </w:r>
          </w:p>
        </w:tc>
      </w:tr>
      <w:tr w:rsidR="00A020ED" w:rsidRPr="00A020ED" w:rsidTr="008F57D5">
        <w:trPr>
          <w:trHeight w:val="67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Buparlisib</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Melanoma brain metastases </w:t>
            </w:r>
          </w:p>
        </w:tc>
        <w:tc>
          <w:tcPr>
            <w:tcW w:w="28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DOR: 117 days, PFS: 42 days, and OS: 5 months. Intracranial SD: 17.6%</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U</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2015</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2017</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University Hospital Tuebingen</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University Hospital Dresden</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NCT02452294</w:t>
            </w: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A020ED" w:rsidRPr="00A020ED" w:rsidRDefault="006A12FB"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26</w:t>
            </w:r>
          </w:p>
        </w:tc>
      </w:tr>
      <w:tr w:rsidR="00A020ED" w:rsidRPr="00A020ED" w:rsidTr="008F57D5">
        <w:trPr>
          <w:trHeight w:val="112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lastRenderedPageBreak/>
              <w:t>2</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Combination of buparlisib with cetuximab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Recurrent or metastatic head and neck squamous cell carcinoma</w:t>
            </w:r>
          </w:p>
        </w:tc>
        <w:tc>
          <w:tcPr>
            <w:tcW w:w="28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DCR: 91%, ORR: 18%, PFS: 111 days, and OS: 206 days with buparlisib + cetuximab vs DCR: 49%, ORR: 3%, PFS: 63 days, and OS: 143 days with buparlisib monotherapy</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U</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2012</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Yonsei University</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NCT01527877</w:t>
            </w: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A020ED" w:rsidRPr="00A020ED" w:rsidRDefault="006A12FB"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27</w:t>
            </w:r>
          </w:p>
        </w:tc>
      </w:tr>
      <w:tr w:rsidR="00A020ED" w:rsidRPr="00A020ED" w:rsidTr="00A020ED">
        <w:trPr>
          <w:trHeight w:val="300"/>
        </w:trPr>
        <w:tc>
          <w:tcPr>
            <w:tcW w:w="13060" w:type="dxa"/>
            <w:gridSpan w:val="13"/>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A020ED" w:rsidRPr="00A020ED" w:rsidRDefault="00A020ED" w:rsidP="00A020ED">
            <w:pPr>
              <w:suppressAutoHyphens w:val="0"/>
              <w:jc w:val="center"/>
              <w:rPr>
                <w:rFonts w:ascii="Calibri" w:hAnsi="Calibri" w:cs="Calibri"/>
                <w:b/>
                <w:bCs/>
                <w:sz w:val="20"/>
                <w:szCs w:val="20"/>
                <w:lang w:val="it-IT" w:eastAsia="it-IT"/>
              </w:rPr>
            </w:pPr>
            <w:r w:rsidRPr="00A020ED">
              <w:rPr>
                <w:rFonts w:ascii="Calibri" w:hAnsi="Calibri" w:cs="Calibri"/>
                <w:b/>
                <w:bCs/>
                <w:sz w:val="20"/>
                <w:szCs w:val="20"/>
                <w:lang w:val="it-IT" w:eastAsia="it-IT"/>
              </w:rPr>
              <w:t xml:space="preserve">CH5132799 </w:t>
            </w:r>
            <w:r w:rsidRPr="00A020ED">
              <w:rPr>
                <w:rFonts w:ascii="Calibri" w:hAnsi="Calibri" w:cs="Calibri"/>
                <w:sz w:val="20"/>
                <w:szCs w:val="20"/>
                <w:lang w:val="it-IT" w:eastAsia="it-IT"/>
              </w:rPr>
              <w:t>(CH5)</w:t>
            </w:r>
          </w:p>
        </w:tc>
      </w:tr>
      <w:tr w:rsidR="00A020ED" w:rsidRPr="00A020ED" w:rsidTr="00A020ED">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Phase</w:t>
            </w:r>
          </w:p>
        </w:tc>
        <w:tc>
          <w:tcPr>
            <w:tcW w:w="142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Treatment</w:t>
            </w:r>
          </w:p>
        </w:tc>
        <w:tc>
          <w:tcPr>
            <w:tcW w:w="148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Disease</w:t>
            </w:r>
          </w:p>
        </w:tc>
        <w:tc>
          <w:tcPr>
            <w:tcW w:w="28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Outcome</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ISP</w:t>
            </w:r>
          </w:p>
        </w:tc>
        <w:tc>
          <w:tcPr>
            <w:tcW w:w="56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Status</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FP</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RFP</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LUP</w:t>
            </w:r>
          </w:p>
        </w:tc>
        <w:tc>
          <w:tcPr>
            <w:tcW w:w="1280" w:type="dxa"/>
            <w:tcBorders>
              <w:top w:val="nil"/>
              <w:left w:val="nil"/>
              <w:bottom w:val="nil"/>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Sponsor</w:t>
            </w:r>
          </w:p>
        </w:tc>
        <w:tc>
          <w:tcPr>
            <w:tcW w:w="1280" w:type="dxa"/>
            <w:tcBorders>
              <w:top w:val="nil"/>
              <w:left w:val="nil"/>
              <w:bottom w:val="nil"/>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Collaborator</w:t>
            </w:r>
          </w:p>
        </w:tc>
        <w:tc>
          <w:tcPr>
            <w:tcW w:w="122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NCT Identifier</w:t>
            </w:r>
          </w:p>
        </w:tc>
        <w:tc>
          <w:tcPr>
            <w:tcW w:w="48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color w:val="000000"/>
                <w:sz w:val="18"/>
                <w:szCs w:val="18"/>
                <w:lang w:val="it-IT" w:eastAsia="it-IT"/>
              </w:rPr>
            </w:pPr>
            <w:r w:rsidRPr="00A020ED">
              <w:rPr>
                <w:rFonts w:ascii="Calibri" w:hAnsi="Calibri" w:cs="Calibri"/>
                <w:b/>
                <w:bCs/>
                <w:color w:val="000000"/>
                <w:sz w:val="18"/>
                <w:szCs w:val="18"/>
                <w:lang w:val="it-IT" w:eastAsia="it-IT"/>
              </w:rPr>
              <w:t>R</w:t>
            </w:r>
          </w:p>
        </w:tc>
      </w:tr>
      <w:tr w:rsidR="00A020ED" w:rsidRPr="00A020ED" w:rsidTr="00A020ED">
        <w:trPr>
          <w:trHeight w:val="67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CH5132799</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Advanced solid tumour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Inhibition of p-AKT; SD: 21% up to 4 months (5.2% harboured a PIK3CA mutation). MTD: 48 mg/twice daily</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2010</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Chugai Pharma Europe Ltd</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nil"/>
              <w:right w:val="nil"/>
            </w:tcBorders>
            <w:shd w:val="clear" w:color="auto" w:fill="auto"/>
            <w:noWrap/>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NCT01222546</w:t>
            </w:r>
          </w:p>
        </w:tc>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A020ED" w:rsidRPr="00A020ED" w:rsidRDefault="005A1B74" w:rsidP="00A020ED">
            <w:pPr>
              <w:suppressAutoHyphens w:val="0"/>
              <w:jc w:val="center"/>
              <w:rPr>
                <w:rFonts w:ascii="Calibri" w:hAnsi="Calibri" w:cs="Calibri"/>
                <w:color w:val="000000"/>
                <w:sz w:val="16"/>
                <w:szCs w:val="16"/>
                <w:lang w:val="it-IT" w:eastAsia="it-IT"/>
              </w:rPr>
            </w:pPr>
            <w:r>
              <w:rPr>
                <w:rFonts w:ascii="Calibri" w:hAnsi="Calibri" w:cs="Calibri"/>
                <w:color w:val="000000"/>
                <w:sz w:val="16"/>
                <w:szCs w:val="16"/>
                <w:lang w:val="it-IT" w:eastAsia="it-IT"/>
              </w:rPr>
              <w:t>30</w:t>
            </w:r>
          </w:p>
        </w:tc>
      </w:tr>
      <w:tr w:rsidR="00A020ED" w:rsidRPr="00A020ED" w:rsidTr="00A020ED">
        <w:trPr>
          <w:trHeight w:val="300"/>
        </w:trPr>
        <w:tc>
          <w:tcPr>
            <w:tcW w:w="13060" w:type="dxa"/>
            <w:gridSpan w:val="13"/>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A020ED" w:rsidRPr="00A020ED" w:rsidRDefault="00A020ED" w:rsidP="00A020ED">
            <w:pPr>
              <w:suppressAutoHyphens w:val="0"/>
              <w:jc w:val="center"/>
              <w:rPr>
                <w:rFonts w:ascii="Calibri" w:hAnsi="Calibri" w:cs="Calibri"/>
                <w:b/>
                <w:bCs/>
                <w:sz w:val="20"/>
                <w:szCs w:val="20"/>
                <w:lang w:val="it-IT" w:eastAsia="it-IT"/>
              </w:rPr>
            </w:pPr>
            <w:r w:rsidRPr="00A020ED">
              <w:rPr>
                <w:rFonts w:ascii="Calibri" w:hAnsi="Calibri" w:cs="Calibri"/>
                <w:b/>
                <w:bCs/>
                <w:sz w:val="20"/>
                <w:szCs w:val="20"/>
                <w:lang w:val="it-IT" w:eastAsia="it-IT"/>
              </w:rPr>
              <w:t xml:space="preserve">Copanlisib </w:t>
            </w:r>
            <w:r w:rsidRPr="00A020ED">
              <w:rPr>
                <w:rFonts w:ascii="Calibri" w:hAnsi="Calibri" w:cs="Calibri"/>
                <w:sz w:val="20"/>
                <w:szCs w:val="20"/>
                <w:lang w:val="it-IT" w:eastAsia="it-IT"/>
              </w:rPr>
              <w:t>(BAY 80-6946, Aliqopa)</w:t>
            </w:r>
          </w:p>
        </w:tc>
      </w:tr>
      <w:tr w:rsidR="00A020ED" w:rsidRPr="00A020ED" w:rsidTr="00A020ED">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Phase</w:t>
            </w:r>
          </w:p>
        </w:tc>
        <w:tc>
          <w:tcPr>
            <w:tcW w:w="142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Treatment</w:t>
            </w:r>
          </w:p>
        </w:tc>
        <w:tc>
          <w:tcPr>
            <w:tcW w:w="148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Disease</w:t>
            </w:r>
          </w:p>
        </w:tc>
        <w:tc>
          <w:tcPr>
            <w:tcW w:w="28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Outcome</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ISP</w:t>
            </w:r>
          </w:p>
        </w:tc>
        <w:tc>
          <w:tcPr>
            <w:tcW w:w="56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Status</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FP</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RFP</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LUP</w:t>
            </w:r>
          </w:p>
        </w:tc>
        <w:tc>
          <w:tcPr>
            <w:tcW w:w="1280" w:type="dxa"/>
            <w:tcBorders>
              <w:top w:val="nil"/>
              <w:left w:val="nil"/>
              <w:bottom w:val="nil"/>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Sponsor</w:t>
            </w:r>
          </w:p>
        </w:tc>
        <w:tc>
          <w:tcPr>
            <w:tcW w:w="1280" w:type="dxa"/>
            <w:tcBorders>
              <w:top w:val="nil"/>
              <w:left w:val="nil"/>
              <w:bottom w:val="nil"/>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Collaborator</w:t>
            </w:r>
          </w:p>
        </w:tc>
        <w:tc>
          <w:tcPr>
            <w:tcW w:w="122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NCT Identifier</w:t>
            </w:r>
          </w:p>
        </w:tc>
        <w:tc>
          <w:tcPr>
            <w:tcW w:w="48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color w:val="000000"/>
                <w:sz w:val="18"/>
                <w:szCs w:val="18"/>
                <w:lang w:val="it-IT" w:eastAsia="it-IT"/>
              </w:rPr>
            </w:pPr>
            <w:r w:rsidRPr="00A020ED">
              <w:rPr>
                <w:rFonts w:ascii="Calibri" w:hAnsi="Calibri" w:cs="Calibri"/>
                <w:b/>
                <w:bCs/>
                <w:color w:val="000000"/>
                <w:sz w:val="18"/>
                <w:szCs w:val="18"/>
                <w:lang w:val="it-IT" w:eastAsia="it-IT"/>
              </w:rPr>
              <w:t>R</w:t>
            </w:r>
          </w:p>
        </w:tc>
      </w:tr>
      <w:tr w:rsidR="00A020ED" w:rsidRPr="00A020ED" w:rsidTr="00A943EB">
        <w:trPr>
          <w:trHeight w:val="9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A020ED" w:rsidRPr="00840C3C" w:rsidRDefault="00A020ED" w:rsidP="00A020ED">
            <w:pPr>
              <w:suppressAutoHyphens w:val="0"/>
              <w:jc w:val="center"/>
              <w:rPr>
                <w:rFonts w:ascii="Calibri" w:hAnsi="Calibri" w:cs="Calibri"/>
                <w:sz w:val="16"/>
                <w:szCs w:val="16"/>
                <w:lang w:val="it-IT" w:eastAsia="it-IT"/>
              </w:rPr>
            </w:pPr>
            <w:r w:rsidRPr="00840C3C">
              <w:rPr>
                <w:rFonts w:ascii="Calibri" w:hAnsi="Calibri" w:cs="Calibri"/>
                <w:sz w:val="16"/>
                <w:szCs w:val="16"/>
                <w:lang w:val="it-IT" w:eastAsia="it-IT"/>
              </w:rPr>
              <w:t>1</w:t>
            </w:r>
          </w:p>
        </w:tc>
        <w:tc>
          <w:tcPr>
            <w:tcW w:w="1420" w:type="dxa"/>
            <w:tcBorders>
              <w:top w:val="nil"/>
              <w:left w:val="nil"/>
              <w:bottom w:val="single" w:sz="4" w:space="0" w:color="auto"/>
              <w:right w:val="single" w:sz="4" w:space="0" w:color="auto"/>
            </w:tcBorders>
            <w:shd w:val="clear" w:color="auto" w:fill="auto"/>
            <w:noWrap/>
            <w:vAlign w:val="center"/>
            <w:hideMark/>
          </w:tcPr>
          <w:p w:rsidR="00A020ED" w:rsidRPr="00840C3C" w:rsidRDefault="00A020ED" w:rsidP="00A020ED">
            <w:pPr>
              <w:suppressAutoHyphens w:val="0"/>
              <w:jc w:val="center"/>
              <w:rPr>
                <w:rFonts w:ascii="Calibri" w:hAnsi="Calibri" w:cs="Calibri"/>
                <w:sz w:val="16"/>
                <w:szCs w:val="16"/>
                <w:lang w:val="it-IT" w:eastAsia="it-IT"/>
              </w:rPr>
            </w:pPr>
            <w:r w:rsidRPr="00840C3C">
              <w:rPr>
                <w:rFonts w:ascii="Calibri" w:hAnsi="Calibri" w:cs="Calibri"/>
                <w:sz w:val="16"/>
                <w:szCs w:val="16"/>
                <w:lang w:val="it-IT" w:eastAsia="it-IT"/>
              </w:rPr>
              <w:t>Copanlisib</w:t>
            </w:r>
          </w:p>
        </w:tc>
        <w:tc>
          <w:tcPr>
            <w:tcW w:w="1480" w:type="dxa"/>
            <w:tcBorders>
              <w:top w:val="nil"/>
              <w:left w:val="nil"/>
              <w:bottom w:val="single" w:sz="4" w:space="0" w:color="auto"/>
              <w:right w:val="single" w:sz="4" w:space="0" w:color="auto"/>
            </w:tcBorders>
            <w:shd w:val="clear" w:color="auto" w:fill="auto"/>
            <w:vAlign w:val="center"/>
            <w:hideMark/>
          </w:tcPr>
          <w:p w:rsidR="00A020ED" w:rsidRPr="00840C3C" w:rsidRDefault="00A020ED" w:rsidP="00A020ED">
            <w:pPr>
              <w:suppressAutoHyphens w:val="0"/>
              <w:jc w:val="center"/>
              <w:rPr>
                <w:rFonts w:ascii="Calibri" w:hAnsi="Calibri" w:cs="Calibri"/>
                <w:sz w:val="16"/>
                <w:szCs w:val="16"/>
                <w:lang w:val="it-IT" w:eastAsia="it-IT"/>
              </w:rPr>
            </w:pPr>
            <w:r w:rsidRPr="00840C3C">
              <w:rPr>
                <w:rFonts w:ascii="Calibri" w:hAnsi="Calibri" w:cs="Calibri"/>
                <w:sz w:val="16"/>
                <w:szCs w:val="16"/>
                <w:lang w:val="it-IT" w:eastAsia="it-IT"/>
              </w:rPr>
              <w:t xml:space="preserve">Non-Hodgkin lymphoma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CR: 16.6%, and PR: 83.3% (follicular lymphoma). MTD: 0.8 mg/kg (treatment on day 1, day 8, and day 15 of a month cycle)</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2009</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2017</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Bayer</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NCT00962611</w:t>
            </w:r>
          </w:p>
        </w:tc>
        <w:tc>
          <w:tcPr>
            <w:tcW w:w="480" w:type="dxa"/>
            <w:tcBorders>
              <w:top w:val="nil"/>
              <w:left w:val="nil"/>
              <w:bottom w:val="single" w:sz="4" w:space="0" w:color="auto"/>
              <w:right w:val="single" w:sz="4" w:space="0" w:color="auto"/>
            </w:tcBorders>
            <w:shd w:val="clear" w:color="auto" w:fill="auto"/>
            <w:noWrap/>
            <w:vAlign w:val="center"/>
          </w:tcPr>
          <w:p w:rsidR="00A020ED" w:rsidRPr="00A020ED" w:rsidRDefault="00FF3233"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36</w:t>
            </w:r>
          </w:p>
        </w:tc>
      </w:tr>
      <w:tr w:rsidR="00A020ED" w:rsidRPr="00A020ED" w:rsidTr="00A943EB">
        <w:trPr>
          <w:trHeight w:val="67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A020ED" w:rsidRPr="00F7183C" w:rsidRDefault="00A020ED" w:rsidP="00A020ED">
            <w:pPr>
              <w:suppressAutoHyphens w:val="0"/>
              <w:jc w:val="center"/>
              <w:rPr>
                <w:rFonts w:ascii="Calibri" w:hAnsi="Calibri" w:cs="Calibri"/>
                <w:sz w:val="16"/>
                <w:szCs w:val="16"/>
                <w:lang w:val="it-IT" w:eastAsia="it-IT"/>
              </w:rPr>
            </w:pPr>
            <w:r w:rsidRPr="00F7183C">
              <w:rPr>
                <w:rFonts w:ascii="Calibri" w:hAnsi="Calibri" w:cs="Calibri"/>
                <w:sz w:val="16"/>
                <w:szCs w:val="16"/>
                <w:lang w:val="it-IT" w:eastAsia="it-IT"/>
              </w:rPr>
              <w:t>1</w:t>
            </w:r>
          </w:p>
        </w:tc>
        <w:tc>
          <w:tcPr>
            <w:tcW w:w="1420" w:type="dxa"/>
            <w:tcBorders>
              <w:top w:val="nil"/>
              <w:left w:val="nil"/>
              <w:bottom w:val="single" w:sz="4" w:space="0" w:color="auto"/>
              <w:right w:val="single" w:sz="4" w:space="0" w:color="auto"/>
            </w:tcBorders>
            <w:shd w:val="clear" w:color="auto" w:fill="auto"/>
            <w:noWrap/>
            <w:vAlign w:val="center"/>
            <w:hideMark/>
          </w:tcPr>
          <w:p w:rsidR="00A020ED" w:rsidRPr="00F7183C" w:rsidRDefault="00A020ED" w:rsidP="00A020ED">
            <w:pPr>
              <w:suppressAutoHyphens w:val="0"/>
              <w:jc w:val="center"/>
              <w:rPr>
                <w:rFonts w:ascii="Calibri" w:hAnsi="Calibri" w:cs="Calibri"/>
                <w:sz w:val="16"/>
                <w:szCs w:val="16"/>
                <w:lang w:val="it-IT" w:eastAsia="it-IT"/>
              </w:rPr>
            </w:pPr>
            <w:r w:rsidRPr="00F7183C">
              <w:rPr>
                <w:rFonts w:ascii="Calibri" w:hAnsi="Calibri" w:cs="Calibri"/>
                <w:sz w:val="16"/>
                <w:szCs w:val="16"/>
                <w:lang w:val="it-IT" w:eastAsia="it-IT"/>
              </w:rPr>
              <w:t>Copanlisib</w:t>
            </w:r>
          </w:p>
        </w:tc>
        <w:tc>
          <w:tcPr>
            <w:tcW w:w="1480" w:type="dxa"/>
            <w:tcBorders>
              <w:top w:val="nil"/>
              <w:left w:val="nil"/>
              <w:bottom w:val="single" w:sz="4" w:space="0" w:color="auto"/>
              <w:right w:val="single" w:sz="4" w:space="0" w:color="auto"/>
            </w:tcBorders>
            <w:shd w:val="clear" w:color="auto" w:fill="auto"/>
            <w:vAlign w:val="center"/>
            <w:hideMark/>
          </w:tcPr>
          <w:p w:rsidR="00A020ED" w:rsidRPr="00F7183C" w:rsidRDefault="00A020ED" w:rsidP="00A020ED">
            <w:pPr>
              <w:suppressAutoHyphens w:val="0"/>
              <w:jc w:val="center"/>
              <w:rPr>
                <w:rFonts w:ascii="Calibri" w:hAnsi="Calibri" w:cs="Calibri"/>
                <w:sz w:val="16"/>
                <w:szCs w:val="16"/>
                <w:lang w:val="it-IT" w:eastAsia="it-IT"/>
              </w:rPr>
            </w:pPr>
            <w:r w:rsidRPr="00F7183C">
              <w:rPr>
                <w:rFonts w:ascii="Calibri" w:hAnsi="Calibri" w:cs="Calibri"/>
                <w:sz w:val="16"/>
                <w:szCs w:val="16"/>
                <w:lang w:val="it-IT" w:eastAsia="it-IT"/>
              </w:rPr>
              <w:t xml:space="preserve">Advanced or refractory solid tumor </w:t>
            </w:r>
          </w:p>
        </w:tc>
        <w:tc>
          <w:tcPr>
            <w:tcW w:w="2800" w:type="dxa"/>
            <w:tcBorders>
              <w:top w:val="nil"/>
              <w:left w:val="nil"/>
              <w:bottom w:val="single" w:sz="4" w:space="0" w:color="auto"/>
              <w:right w:val="single" w:sz="4" w:space="0" w:color="auto"/>
            </w:tcBorders>
            <w:shd w:val="clear" w:color="auto" w:fill="auto"/>
            <w:vAlign w:val="center"/>
            <w:hideMark/>
          </w:tcPr>
          <w:p w:rsidR="00A020ED" w:rsidRPr="00F7183C" w:rsidRDefault="00A020ED" w:rsidP="00A020ED">
            <w:pPr>
              <w:suppressAutoHyphens w:val="0"/>
              <w:jc w:val="center"/>
              <w:rPr>
                <w:rFonts w:ascii="Calibri" w:hAnsi="Calibri" w:cs="Calibri"/>
                <w:sz w:val="16"/>
                <w:szCs w:val="16"/>
                <w:lang w:val="it-IT" w:eastAsia="it-IT"/>
              </w:rPr>
            </w:pPr>
            <w:r w:rsidRPr="00F7183C">
              <w:rPr>
                <w:rFonts w:ascii="Calibri" w:hAnsi="Calibri" w:cs="Calibri"/>
                <w:sz w:val="16"/>
                <w:szCs w:val="16"/>
                <w:lang w:val="it-IT" w:eastAsia="it-IT"/>
              </w:rPr>
              <w:t>DCR: 40%. MTD: 0.8 mg/kg</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2011</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2017</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Bayer</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NCT01404390</w:t>
            </w:r>
          </w:p>
        </w:tc>
        <w:tc>
          <w:tcPr>
            <w:tcW w:w="480" w:type="dxa"/>
            <w:tcBorders>
              <w:top w:val="nil"/>
              <w:left w:val="nil"/>
              <w:bottom w:val="single" w:sz="4" w:space="0" w:color="auto"/>
              <w:right w:val="single" w:sz="4" w:space="0" w:color="auto"/>
            </w:tcBorders>
            <w:shd w:val="clear" w:color="auto" w:fill="auto"/>
            <w:noWrap/>
            <w:vAlign w:val="center"/>
          </w:tcPr>
          <w:p w:rsidR="00A020ED" w:rsidRPr="00A020ED" w:rsidRDefault="00FF3233"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37</w:t>
            </w:r>
          </w:p>
        </w:tc>
      </w:tr>
      <w:tr w:rsidR="00A020ED" w:rsidRPr="00A020ED" w:rsidTr="00A943EB">
        <w:trPr>
          <w:trHeight w:val="9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A020ED" w:rsidRPr="00F7183C" w:rsidRDefault="00A020ED" w:rsidP="00A020ED">
            <w:pPr>
              <w:suppressAutoHyphens w:val="0"/>
              <w:jc w:val="center"/>
              <w:rPr>
                <w:rFonts w:ascii="Calibri" w:hAnsi="Calibri" w:cs="Calibri"/>
                <w:sz w:val="16"/>
                <w:szCs w:val="16"/>
                <w:lang w:val="it-IT" w:eastAsia="it-IT"/>
              </w:rPr>
            </w:pPr>
            <w:r w:rsidRPr="00F7183C">
              <w:rPr>
                <w:rFonts w:ascii="Calibri" w:hAnsi="Calibri" w:cs="Calibri"/>
                <w:sz w:val="16"/>
                <w:szCs w:val="16"/>
                <w:lang w:val="it-IT" w:eastAsia="it-IT"/>
              </w:rPr>
              <w:t>1</w:t>
            </w:r>
          </w:p>
        </w:tc>
        <w:tc>
          <w:tcPr>
            <w:tcW w:w="1420" w:type="dxa"/>
            <w:tcBorders>
              <w:top w:val="nil"/>
              <w:left w:val="nil"/>
              <w:bottom w:val="single" w:sz="4" w:space="0" w:color="auto"/>
              <w:right w:val="single" w:sz="4" w:space="0" w:color="auto"/>
            </w:tcBorders>
            <w:shd w:val="clear" w:color="auto" w:fill="auto"/>
            <w:vAlign w:val="center"/>
            <w:hideMark/>
          </w:tcPr>
          <w:p w:rsidR="00A020ED" w:rsidRPr="00F7183C" w:rsidRDefault="006C67AB" w:rsidP="00A020ED">
            <w:pPr>
              <w:suppressAutoHyphens w:val="0"/>
              <w:jc w:val="center"/>
              <w:rPr>
                <w:rFonts w:ascii="Calibri" w:hAnsi="Calibri" w:cs="Calibri"/>
                <w:sz w:val="16"/>
                <w:szCs w:val="16"/>
                <w:lang w:val="it-IT" w:eastAsia="it-IT"/>
              </w:rPr>
            </w:pPr>
            <w:r w:rsidRPr="00F7183C">
              <w:rPr>
                <w:rFonts w:ascii="Calibri" w:hAnsi="Calibri" w:cs="Calibri"/>
                <w:sz w:val="16"/>
                <w:szCs w:val="16"/>
                <w:lang w:val="it-IT" w:eastAsia="it-IT"/>
              </w:rPr>
              <w:t>Combination of copanlisib with</w:t>
            </w:r>
            <w:r w:rsidR="00A020ED" w:rsidRPr="00F7183C">
              <w:rPr>
                <w:rFonts w:ascii="Calibri" w:hAnsi="Calibri" w:cs="Calibri"/>
                <w:sz w:val="16"/>
                <w:szCs w:val="16"/>
                <w:lang w:val="it-IT" w:eastAsia="it-IT"/>
              </w:rPr>
              <w:t xml:space="preserve"> ibrutinib</w:t>
            </w:r>
          </w:p>
        </w:tc>
        <w:tc>
          <w:tcPr>
            <w:tcW w:w="1480" w:type="dxa"/>
            <w:tcBorders>
              <w:top w:val="nil"/>
              <w:left w:val="nil"/>
              <w:bottom w:val="single" w:sz="4" w:space="0" w:color="auto"/>
              <w:right w:val="single" w:sz="4" w:space="0" w:color="auto"/>
            </w:tcBorders>
            <w:shd w:val="clear" w:color="auto" w:fill="auto"/>
            <w:vAlign w:val="center"/>
            <w:hideMark/>
          </w:tcPr>
          <w:p w:rsidR="00A020ED" w:rsidRPr="00F7183C" w:rsidRDefault="00A020ED" w:rsidP="00A020ED">
            <w:pPr>
              <w:suppressAutoHyphens w:val="0"/>
              <w:jc w:val="center"/>
              <w:rPr>
                <w:rFonts w:ascii="Calibri" w:hAnsi="Calibri" w:cs="Calibri"/>
                <w:sz w:val="16"/>
                <w:szCs w:val="16"/>
                <w:lang w:val="it-IT" w:eastAsia="it-IT"/>
              </w:rPr>
            </w:pPr>
            <w:r w:rsidRPr="00F7183C">
              <w:rPr>
                <w:rFonts w:ascii="Calibri" w:hAnsi="Calibri" w:cs="Calibri"/>
                <w:sz w:val="16"/>
                <w:szCs w:val="16"/>
                <w:lang w:val="it-IT" w:eastAsia="it-IT"/>
              </w:rPr>
              <w:t>Relapsed or refractory mantle cell lymphoma</w:t>
            </w:r>
          </w:p>
        </w:tc>
        <w:tc>
          <w:tcPr>
            <w:tcW w:w="2800" w:type="dxa"/>
            <w:tcBorders>
              <w:top w:val="nil"/>
              <w:left w:val="nil"/>
              <w:bottom w:val="single" w:sz="4" w:space="0" w:color="auto"/>
              <w:right w:val="single" w:sz="4" w:space="0" w:color="auto"/>
            </w:tcBorders>
            <w:shd w:val="clear" w:color="auto" w:fill="auto"/>
            <w:vAlign w:val="center"/>
            <w:hideMark/>
          </w:tcPr>
          <w:p w:rsidR="00A020ED" w:rsidRPr="00F7183C" w:rsidRDefault="00A020ED" w:rsidP="00A020ED">
            <w:pPr>
              <w:suppressAutoHyphens w:val="0"/>
              <w:jc w:val="center"/>
              <w:rPr>
                <w:rFonts w:ascii="Calibri" w:hAnsi="Calibri" w:cs="Calibri"/>
                <w:sz w:val="16"/>
                <w:szCs w:val="16"/>
                <w:lang w:val="it-IT" w:eastAsia="it-IT"/>
              </w:rPr>
            </w:pPr>
            <w:r w:rsidRPr="00F7183C">
              <w:rPr>
                <w:rFonts w:ascii="Calibri" w:hAnsi="Calibri" w:cs="Calibri"/>
                <w:sz w:val="16"/>
                <w:szCs w:val="16"/>
                <w:lang w:val="it-IT" w:eastAsia="it-IT"/>
              </w:rPr>
              <w:t>ORR: 87.5% with CR in 50% of patients, and PR in 37.5% of patients.  Median PFS: 7.7 months. MTD: 45 mg (copanlisib) + 560 mg (ibrutinib)</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 NR</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2019</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2022</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Memorial Sloan Kettering Cancer Center</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Bayer</w:t>
            </w:r>
          </w:p>
        </w:tc>
        <w:tc>
          <w:tcPr>
            <w:tcW w:w="12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NCT03877055</w:t>
            </w:r>
          </w:p>
        </w:tc>
        <w:tc>
          <w:tcPr>
            <w:tcW w:w="480" w:type="dxa"/>
            <w:tcBorders>
              <w:top w:val="nil"/>
              <w:left w:val="nil"/>
              <w:bottom w:val="single" w:sz="4" w:space="0" w:color="auto"/>
              <w:right w:val="single" w:sz="4" w:space="0" w:color="auto"/>
            </w:tcBorders>
            <w:shd w:val="clear" w:color="auto" w:fill="auto"/>
            <w:noWrap/>
            <w:vAlign w:val="center"/>
          </w:tcPr>
          <w:p w:rsidR="00A020ED" w:rsidRPr="00A020ED" w:rsidRDefault="00FF3233"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38</w:t>
            </w:r>
          </w:p>
        </w:tc>
      </w:tr>
      <w:tr w:rsidR="00A020ED" w:rsidRPr="00A020ED" w:rsidTr="00A943EB">
        <w:trPr>
          <w:trHeight w:val="112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A020ED" w:rsidRPr="00F7183C" w:rsidRDefault="00A020ED" w:rsidP="00A020ED">
            <w:pPr>
              <w:suppressAutoHyphens w:val="0"/>
              <w:jc w:val="center"/>
              <w:rPr>
                <w:rFonts w:ascii="Calibri" w:hAnsi="Calibri" w:cs="Calibri"/>
                <w:sz w:val="16"/>
                <w:szCs w:val="16"/>
                <w:lang w:val="it-IT" w:eastAsia="it-IT"/>
              </w:rPr>
            </w:pPr>
            <w:r w:rsidRPr="00F7183C">
              <w:rPr>
                <w:rFonts w:ascii="Calibri" w:hAnsi="Calibri" w:cs="Calibri"/>
                <w:sz w:val="16"/>
                <w:szCs w:val="16"/>
                <w:lang w:val="it-IT" w:eastAsia="it-IT"/>
              </w:rPr>
              <w:t>1</w:t>
            </w:r>
          </w:p>
        </w:tc>
        <w:tc>
          <w:tcPr>
            <w:tcW w:w="1420" w:type="dxa"/>
            <w:tcBorders>
              <w:top w:val="nil"/>
              <w:left w:val="nil"/>
              <w:bottom w:val="single" w:sz="4" w:space="0" w:color="auto"/>
              <w:right w:val="single" w:sz="4" w:space="0" w:color="auto"/>
            </w:tcBorders>
            <w:shd w:val="clear" w:color="auto" w:fill="auto"/>
            <w:vAlign w:val="center"/>
            <w:hideMark/>
          </w:tcPr>
          <w:p w:rsidR="00A020ED" w:rsidRPr="00F7183C" w:rsidRDefault="00A020ED" w:rsidP="00A020ED">
            <w:pPr>
              <w:suppressAutoHyphens w:val="0"/>
              <w:jc w:val="center"/>
              <w:rPr>
                <w:rFonts w:ascii="Calibri" w:hAnsi="Calibri" w:cs="Calibri"/>
                <w:sz w:val="16"/>
                <w:szCs w:val="16"/>
                <w:lang w:val="it-IT" w:eastAsia="it-IT"/>
              </w:rPr>
            </w:pPr>
            <w:r w:rsidRPr="00F7183C">
              <w:rPr>
                <w:rFonts w:ascii="Calibri" w:hAnsi="Calibri" w:cs="Calibri"/>
                <w:sz w:val="16"/>
                <w:szCs w:val="16"/>
                <w:lang w:val="it-IT" w:eastAsia="it-IT"/>
              </w:rPr>
              <w:t>Combination of copanlisib with gemcitabine ± cisplatin</w:t>
            </w:r>
          </w:p>
        </w:tc>
        <w:tc>
          <w:tcPr>
            <w:tcW w:w="1480" w:type="dxa"/>
            <w:tcBorders>
              <w:top w:val="nil"/>
              <w:left w:val="nil"/>
              <w:bottom w:val="single" w:sz="4" w:space="0" w:color="auto"/>
              <w:right w:val="single" w:sz="4" w:space="0" w:color="auto"/>
            </w:tcBorders>
            <w:shd w:val="clear" w:color="auto" w:fill="auto"/>
            <w:vAlign w:val="center"/>
            <w:hideMark/>
          </w:tcPr>
          <w:p w:rsidR="00A020ED" w:rsidRPr="00F7183C" w:rsidRDefault="00A020ED" w:rsidP="00A020ED">
            <w:pPr>
              <w:suppressAutoHyphens w:val="0"/>
              <w:jc w:val="center"/>
              <w:rPr>
                <w:rFonts w:ascii="Calibri" w:hAnsi="Calibri" w:cs="Calibri"/>
                <w:sz w:val="16"/>
                <w:szCs w:val="16"/>
                <w:lang w:val="it-IT" w:eastAsia="it-IT"/>
              </w:rPr>
            </w:pPr>
            <w:r w:rsidRPr="00F7183C">
              <w:rPr>
                <w:rFonts w:ascii="Calibri" w:hAnsi="Calibri" w:cs="Calibri"/>
                <w:sz w:val="16"/>
                <w:szCs w:val="16"/>
                <w:lang w:val="it-IT" w:eastAsia="it-IT"/>
              </w:rPr>
              <w:t xml:space="preserve">Advanced cancer </w:t>
            </w:r>
          </w:p>
        </w:tc>
        <w:tc>
          <w:tcPr>
            <w:tcW w:w="2800" w:type="dxa"/>
            <w:tcBorders>
              <w:top w:val="nil"/>
              <w:left w:val="nil"/>
              <w:bottom w:val="single" w:sz="4" w:space="0" w:color="auto"/>
              <w:right w:val="single" w:sz="4" w:space="0" w:color="auto"/>
            </w:tcBorders>
            <w:shd w:val="clear" w:color="auto" w:fill="auto"/>
            <w:vAlign w:val="center"/>
            <w:hideMark/>
          </w:tcPr>
          <w:p w:rsidR="00A020ED" w:rsidRPr="00F7183C" w:rsidRDefault="00A020ED" w:rsidP="00A020ED">
            <w:pPr>
              <w:suppressAutoHyphens w:val="0"/>
              <w:jc w:val="center"/>
              <w:rPr>
                <w:rFonts w:ascii="Calibri" w:hAnsi="Calibri" w:cs="Calibri"/>
                <w:sz w:val="16"/>
                <w:szCs w:val="16"/>
                <w:lang w:val="it-IT" w:eastAsia="it-IT"/>
              </w:rPr>
            </w:pPr>
            <w:r w:rsidRPr="00F7183C">
              <w:rPr>
                <w:rFonts w:ascii="Calibri" w:hAnsi="Calibri" w:cs="Calibri"/>
                <w:sz w:val="16"/>
                <w:szCs w:val="16"/>
                <w:lang w:val="it-IT" w:eastAsia="it-IT"/>
              </w:rPr>
              <w:t>MTD and RP2D: 0.8 mg kg</w:t>
            </w:r>
            <w:r w:rsidRPr="00F7183C">
              <w:rPr>
                <w:rFonts w:ascii="Calibri" w:hAnsi="Calibri" w:cs="Calibri"/>
                <w:sz w:val="16"/>
                <w:szCs w:val="16"/>
                <w:vertAlign w:val="superscript"/>
                <w:lang w:val="it-IT" w:eastAsia="it-IT"/>
              </w:rPr>
              <w:t>−1</w:t>
            </w:r>
            <w:r w:rsidRPr="00F7183C">
              <w:rPr>
                <w:rFonts w:ascii="Calibri" w:hAnsi="Calibri" w:cs="Calibri"/>
                <w:sz w:val="16"/>
                <w:szCs w:val="16"/>
                <w:lang w:val="it-IT" w:eastAsia="it-IT"/>
              </w:rPr>
              <w:t xml:space="preserve"> on days 1, 8 and 15 of a 28-day treatment cycle, for both copanlisib + gemcitabine, and copanlisib + gemcitabine + cisplatin</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2011</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2017</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Bayer</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NCT01460537</w:t>
            </w:r>
          </w:p>
        </w:tc>
        <w:tc>
          <w:tcPr>
            <w:tcW w:w="480" w:type="dxa"/>
            <w:tcBorders>
              <w:top w:val="nil"/>
              <w:left w:val="nil"/>
              <w:bottom w:val="single" w:sz="4" w:space="0" w:color="auto"/>
              <w:right w:val="single" w:sz="4" w:space="0" w:color="auto"/>
            </w:tcBorders>
            <w:shd w:val="clear" w:color="auto" w:fill="auto"/>
            <w:noWrap/>
            <w:vAlign w:val="center"/>
          </w:tcPr>
          <w:p w:rsidR="00A020ED" w:rsidRPr="00A020ED" w:rsidRDefault="00FF3233"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39</w:t>
            </w:r>
          </w:p>
        </w:tc>
      </w:tr>
      <w:tr w:rsidR="00A020ED" w:rsidRPr="00A020ED" w:rsidTr="00A943EB">
        <w:trPr>
          <w:trHeight w:val="67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F7183C" w:rsidRDefault="00A020ED" w:rsidP="00A020ED">
            <w:pPr>
              <w:suppressAutoHyphens w:val="0"/>
              <w:jc w:val="center"/>
              <w:rPr>
                <w:rFonts w:ascii="Calibri" w:hAnsi="Calibri" w:cs="Calibri"/>
                <w:sz w:val="16"/>
                <w:szCs w:val="16"/>
                <w:lang w:val="it-IT" w:eastAsia="it-IT"/>
              </w:rPr>
            </w:pPr>
            <w:r w:rsidRPr="00F7183C">
              <w:rPr>
                <w:rFonts w:ascii="Calibri" w:hAnsi="Calibri" w:cs="Calibri"/>
                <w:sz w:val="16"/>
                <w:szCs w:val="16"/>
                <w:lang w:val="it-IT" w:eastAsia="it-IT"/>
              </w:rPr>
              <w:t>1b</w:t>
            </w:r>
          </w:p>
        </w:tc>
        <w:tc>
          <w:tcPr>
            <w:tcW w:w="1420" w:type="dxa"/>
            <w:tcBorders>
              <w:top w:val="nil"/>
              <w:left w:val="nil"/>
              <w:bottom w:val="single" w:sz="4" w:space="0" w:color="auto"/>
              <w:right w:val="single" w:sz="4" w:space="0" w:color="auto"/>
            </w:tcBorders>
            <w:shd w:val="clear" w:color="auto" w:fill="auto"/>
            <w:vAlign w:val="center"/>
            <w:hideMark/>
          </w:tcPr>
          <w:p w:rsidR="00A020ED" w:rsidRPr="00F7183C" w:rsidRDefault="00A020ED" w:rsidP="00A020ED">
            <w:pPr>
              <w:suppressAutoHyphens w:val="0"/>
              <w:jc w:val="center"/>
              <w:rPr>
                <w:rFonts w:ascii="Calibri" w:hAnsi="Calibri" w:cs="Calibri"/>
                <w:sz w:val="16"/>
                <w:szCs w:val="16"/>
                <w:lang w:val="it-IT" w:eastAsia="it-IT"/>
              </w:rPr>
            </w:pPr>
            <w:r w:rsidRPr="00F7183C">
              <w:rPr>
                <w:rFonts w:ascii="Calibri" w:hAnsi="Calibri" w:cs="Calibri"/>
                <w:sz w:val="16"/>
                <w:szCs w:val="16"/>
                <w:lang w:val="it-IT" w:eastAsia="it-IT"/>
              </w:rPr>
              <w:t xml:space="preserve">Combination of copanlisib with refametinib </w:t>
            </w:r>
          </w:p>
        </w:tc>
        <w:tc>
          <w:tcPr>
            <w:tcW w:w="1480" w:type="dxa"/>
            <w:tcBorders>
              <w:top w:val="nil"/>
              <w:left w:val="nil"/>
              <w:bottom w:val="single" w:sz="4" w:space="0" w:color="auto"/>
              <w:right w:val="single" w:sz="4" w:space="0" w:color="auto"/>
            </w:tcBorders>
            <w:shd w:val="clear" w:color="auto" w:fill="auto"/>
            <w:vAlign w:val="center"/>
            <w:hideMark/>
          </w:tcPr>
          <w:p w:rsidR="00A020ED" w:rsidRPr="00F7183C" w:rsidRDefault="00A020ED" w:rsidP="00A020ED">
            <w:pPr>
              <w:suppressAutoHyphens w:val="0"/>
              <w:jc w:val="center"/>
              <w:rPr>
                <w:rFonts w:ascii="Calibri" w:hAnsi="Calibri" w:cs="Calibri"/>
                <w:sz w:val="16"/>
                <w:szCs w:val="16"/>
                <w:lang w:val="it-IT" w:eastAsia="it-IT"/>
              </w:rPr>
            </w:pPr>
            <w:r w:rsidRPr="00F7183C">
              <w:rPr>
                <w:rFonts w:ascii="Calibri" w:hAnsi="Calibri" w:cs="Calibri"/>
                <w:sz w:val="16"/>
                <w:szCs w:val="16"/>
                <w:lang w:val="it-IT" w:eastAsia="it-IT"/>
              </w:rPr>
              <w:t>Advanced cancer</w:t>
            </w:r>
          </w:p>
        </w:tc>
        <w:tc>
          <w:tcPr>
            <w:tcW w:w="2800" w:type="dxa"/>
            <w:tcBorders>
              <w:top w:val="nil"/>
              <w:left w:val="nil"/>
              <w:bottom w:val="single" w:sz="4" w:space="0" w:color="auto"/>
              <w:right w:val="single" w:sz="4" w:space="0" w:color="auto"/>
            </w:tcBorders>
            <w:shd w:val="clear" w:color="auto" w:fill="auto"/>
            <w:vAlign w:val="center"/>
            <w:hideMark/>
          </w:tcPr>
          <w:p w:rsidR="00A020ED" w:rsidRPr="00F7183C" w:rsidRDefault="00A020ED" w:rsidP="00A020ED">
            <w:pPr>
              <w:suppressAutoHyphens w:val="0"/>
              <w:jc w:val="center"/>
              <w:rPr>
                <w:rFonts w:ascii="Calibri" w:hAnsi="Calibri" w:cs="Calibri"/>
                <w:sz w:val="16"/>
                <w:szCs w:val="16"/>
                <w:lang w:val="it-IT" w:eastAsia="it-IT"/>
              </w:rPr>
            </w:pPr>
            <w:r w:rsidRPr="00F7183C">
              <w:rPr>
                <w:rFonts w:ascii="Calibri" w:hAnsi="Calibri" w:cs="Calibri"/>
                <w:sz w:val="16"/>
                <w:szCs w:val="16"/>
                <w:lang w:val="it-IT" w:eastAsia="it-IT"/>
              </w:rPr>
              <w:t xml:space="preserve">SD: 32.8%; decreased tumor fluorodeoxyglucose (FDG) uptake. MTD: 0.4 mg/kg weekly </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2011</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2015</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Bayer</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NCT01392521</w:t>
            </w:r>
          </w:p>
        </w:tc>
        <w:tc>
          <w:tcPr>
            <w:tcW w:w="480" w:type="dxa"/>
            <w:tcBorders>
              <w:top w:val="nil"/>
              <w:left w:val="nil"/>
              <w:bottom w:val="single" w:sz="4" w:space="0" w:color="auto"/>
              <w:right w:val="single" w:sz="4" w:space="0" w:color="auto"/>
            </w:tcBorders>
            <w:shd w:val="clear" w:color="auto" w:fill="auto"/>
            <w:noWrap/>
            <w:vAlign w:val="center"/>
          </w:tcPr>
          <w:p w:rsidR="00A020ED" w:rsidRPr="00A020ED" w:rsidRDefault="00FF3233"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40</w:t>
            </w:r>
          </w:p>
        </w:tc>
      </w:tr>
      <w:tr w:rsidR="00A020ED" w:rsidRPr="00A020ED" w:rsidTr="00A943EB">
        <w:trPr>
          <w:trHeight w:val="112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0ED" w:rsidRPr="00F7183C" w:rsidRDefault="00A020ED" w:rsidP="00A020ED">
            <w:pPr>
              <w:suppressAutoHyphens w:val="0"/>
              <w:jc w:val="center"/>
              <w:rPr>
                <w:rFonts w:ascii="Calibri" w:hAnsi="Calibri" w:cs="Calibri"/>
                <w:sz w:val="16"/>
                <w:szCs w:val="16"/>
                <w:lang w:val="it-IT" w:eastAsia="it-IT"/>
              </w:rPr>
            </w:pPr>
            <w:r w:rsidRPr="00F7183C">
              <w:rPr>
                <w:rFonts w:ascii="Calibri" w:hAnsi="Calibri" w:cs="Calibri"/>
                <w:sz w:val="16"/>
                <w:szCs w:val="16"/>
                <w:lang w:val="it-IT" w:eastAsia="it-IT"/>
              </w:rPr>
              <w:t>1, 2</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A020ED" w:rsidRPr="00F7183C" w:rsidRDefault="00A020ED" w:rsidP="00A020ED">
            <w:pPr>
              <w:suppressAutoHyphens w:val="0"/>
              <w:jc w:val="center"/>
              <w:rPr>
                <w:rFonts w:ascii="Calibri" w:hAnsi="Calibri" w:cs="Calibri"/>
                <w:sz w:val="16"/>
                <w:szCs w:val="16"/>
                <w:lang w:val="it-IT" w:eastAsia="it-IT"/>
              </w:rPr>
            </w:pPr>
            <w:r w:rsidRPr="00F7183C">
              <w:rPr>
                <w:rFonts w:ascii="Calibri" w:hAnsi="Calibri" w:cs="Calibri"/>
                <w:sz w:val="16"/>
                <w:szCs w:val="16"/>
                <w:lang w:val="it-IT" w:eastAsia="it-IT"/>
              </w:rPr>
              <w:t>Combination of copanlisib with gemcitabine</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020ED" w:rsidRPr="00F7183C" w:rsidRDefault="00A020ED" w:rsidP="00A020ED">
            <w:pPr>
              <w:suppressAutoHyphens w:val="0"/>
              <w:jc w:val="center"/>
              <w:rPr>
                <w:rFonts w:ascii="Calibri" w:hAnsi="Calibri" w:cs="Calibri"/>
                <w:sz w:val="16"/>
                <w:szCs w:val="16"/>
                <w:lang w:val="it-IT" w:eastAsia="it-IT"/>
              </w:rPr>
            </w:pPr>
            <w:r w:rsidRPr="00F7183C">
              <w:rPr>
                <w:rFonts w:ascii="Calibri" w:hAnsi="Calibri" w:cs="Calibri"/>
                <w:sz w:val="16"/>
                <w:szCs w:val="16"/>
                <w:lang w:val="it-IT" w:eastAsia="it-IT"/>
              </w:rPr>
              <w:t xml:space="preserve">Relapsed and refractory peripheral T-cell lymphoma </w:t>
            </w:r>
          </w:p>
        </w:tc>
        <w:tc>
          <w:tcPr>
            <w:tcW w:w="2800" w:type="dxa"/>
            <w:tcBorders>
              <w:top w:val="single" w:sz="4" w:space="0" w:color="auto"/>
              <w:left w:val="nil"/>
              <w:bottom w:val="single" w:sz="4" w:space="0" w:color="auto"/>
              <w:right w:val="single" w:sz="4" w:space="0" w:color="auto"/>
            </w:tcBorders>
            <w:shd w:val="clear" w:color="auto" w:fill="auto"/>
            <w:vAlign w:val="center"/>
            <w:hideMark/>
          </w:tcPr>
          <w:p w:rsidR="00A020ED" w:rsidRPr="00F7183C" w:rsidRDefault="00A020ED" w:rsidP="00A020ED">
            <w:pPr>
              <w:suppressAutoHyphens w:val="0"/>
              <w:jc w:val="center"/>
              <w:rPr>
                <w:rFonts w:ascii="Calibri" w:hAnsi="Calibri" w:cs="Calibri"/>
                <w:sz w:val="16"/>
                <w:szCs w:val="16"/>
                <w:lang w:val="it-IT" w:eastAsia="it-IT"/>
              </w:rPr>
            </w:pPr>
            <w:r w:rsidRPr="00F7183C">
              <w:rPr>
                <w:rFonts w:ascii="Calibri" w:hAnsi="Calibri" w:cs="Calibri"/>
                <w:sz w:val="16"/>
                <w:szCs w:val="16"/>
                <w:lang w:val="it-IT" w:eastAsia="it-IT"/>
              </w:rPr>
              <w:t>ORR: 72%; CR: 32%; PFS: 6.9 months; DOR: 8.2 months</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2017</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Chonnam National University Hospital</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Bayer, and Consortium for Improving Survival of Lymphoma</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NCT03052933</w:t>
            </w: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A020ED" w:rsidRPr="00A020ED" w:rsidRDefault="00FF3233"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41</w:t>
            </w:r>
          </w:p>
        </w:tc>
      </w:tr>
      <w:tr w:rsidR="00A020ED" w:rsidRPr="00A020ED" w:rsidTr="00A943EB">
        <w:trPr>
          <w:trHeight w:val="135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0ED" w:rsidRPr="003F1472" w:rsidRDefault="00A020ED" w:rsidP="00A020ED">
            <w:pPr>
              <w:suppressAutoHyphens w:val="0"/>
              <w:jc w:val="center"/>
              <w:rPr>
                <w:rFonts w:ascii="Calibri" w:hAnsi="Calibri" w:cs="Calibri"/>
                <w:sz w:val="16"/>
                <w:szCs w:val="16"/>
                <w:lang w:val="it-IT" w:eastAsia="it-IT"/>
              </w:rPr>
            </w:pPr>
            <w:r w:rsidRPr="003F1472">
              <w:rPr>
                <w:rFonts w:ascii="Calibri" w:hAnsi="Calibri" w:cs="Calibri"/>
                <w:sz w:val="16"/>
                <w:szCs w:val="16"/>
                <w:lang w:val="it-IT" w:eastAsia="it-IT"/>
              </w:rPr>
              <w:lastRenderedPageBreak/>
              <w:t>2</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rsidR="00A020ED" w:rsidRPr="003F1472" w:rsidRDefault="00A020ED" w:rsidP="00A020ED">
            <w:pPr>
              <w:suppressAutoHyphens w:val="0"/>
              <w:jc w:val="center"/>
              <w:rPr>
                <w:rFonts w:ascii="Calibri" w:hAnsi="Calibri" w:cs="Calibri"/>
                <w:sz w:val="16"/>
                <w:szCs w:val="16"/>
                <w:lang w:val="it-IT" w:eastAsia="it-IT"/>
              </w:rPr>
            </w:pPr>
            <w:r w:rsidRPr="003F1472">
              <w:rPr>
                <w:rFonts w:ascii="Calibri" w:hAnsi="Calibri" w:cs="Calibri"/>
                <w:sz w:val="16"/>
                <w:szCs w:val="16"/>
                <w:lang w:val="it-IT" w:eastAsia="it-IT"/>
              </w:rPr>
              <w:t>Copanlisib</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020ED" w:rsidRPr="003F1472" w:rsidRDefault="00A020ED" w:rsidP="00A020ED">
            <w:pPr>
              <w:suppressAutoHyphens w:val="0"/>
              <w:jc w:val="center"/>
              <w:rPr>
                <w:rFonts w:ascii="Calibri" w:hAnsi="Calibri" w:cs="Calibri"/>
                <w:sz w:val="16"/>
                <w:szCs w:val="16"/>
                <w:lang w:val="it-IT" w:eastAsia="it-IT"/>
              </w:rPr>
            </w:pPr>
            <w:r w:rsidRPr="003F1472">
              <w:rPr>
                <w:rFonts w:ascii="Calibri" w:hAnsi="Calibri" w:cs="Calibri"/>
                <w:sz w:val="16"/>
                <w:szCs w:val="16"/>
                <w:lang w:val="it-IT" w:eastAsia="it-IT"/>
              </w:rPr>
              <w:t>Relapsed, indolent, or aggressive non-Hodgkin lymphoma</w:t>
            </w:r>
          </w:p>
        </w:tc>
        <w:tc>
          <w:tcPr>
            <w:tcW w:w="2800" w:type="dxa"/>
            <w:tcBorders>
              <w:top w:val="single" w:sz="4" w:space="0" w:color="auto"/>
              <w:left w:val="nil"/>
              <w:bottom w:val="single" w:sz="4" w:space="0" w:color="auto"/>
              <w:right w:val="single" w:sz="4" w:space="0" w:color="auto"/>
            </w:tcBorders>
            <w:shd w:val="clear" w:color="auto" w:fill="auto"/>
            <w:vAlign w:val="center"/>
            <w:hideMark/>
          </w:tcPr>
          <w:p w:rsidR="00A020ED" w:rsidRPr="003F1472" w:rsidRDefault="00A020ED" w:rsidP="00A020ED">
            <w:pPr>
              <w:suppressAutoHyphens w:val="0"/>
              <w:jc w:val="center"/>
              <w:rPr>
                <w:rFonts w:ascii="Calibri" w:hAnsi="Calibri" w:cs="Calibri"/>
                <w:sz w:val="16"/>
                <w:szCs w:val="16"/>
                <w:lang w:val="it-IT" w:eastAsia="it-IT"/>
              </w:rPr>
            </w:pPr>
            <w:r w:rsidRPr="003F1472">
              <w:rPr>
                <w:rFonts w:ascii="Calibri" w:hAnsi="Calibri" w:cs="Calibri"/>
                <w:sz w:val="16"/>
                <w:szCs w:val="16"/>
                <w:lang w:val="it-IT" w:eastAsia="it-IT"/>
              </w:rPr>
              <w:t>ORR: 43.7%, PFS: 294 days, and DOR: 390 days (relapsed, indolent, non-Hodgkin lymphoma). ORR: 27.1%, PFS: 70 days, and DOR: 166 days (relapsed, aggressive non-Hodgkin lymphoma)</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3F1472" w:rsidRDefault="00A020ED" w:rsidP="00A020ED">
            <w:pPr>
              <w:suppressAutoHyphens w:val="0"/>
              <w:jc w:val="center"/>
              <w:rPr>
                <w:rFonts w:ascii="Calibri" w:hAnsi="Calibri" w:cs="Calibri"/>
                <w:sz w:val="16"/>
                <w:szCs w:val="16"/>
                <w:lang w:val="it-IT" w:eastAsia="it-IT"/>
              </w:rPr>
            </w:pPr>
            <w:r w:rsidRPr="003F1472">
              <w:rPr>
                <w:rFonts w:ascii="Calibri" w:hAnsi="Calibri" w:cs="Calibri"/>
                <w:sz w:val="16"/>
                <w:szCs w:val="16"/>
                <w:lang w:val="it-IT" w:eastAsia="it-IT"/>
              </w:rPr>
              <w:t>A</w:t>
            </w:r>
          </w:p>
        </w:tc>
        <w:tc>
          <w:tcPr>
            <w:tcW w:w="560" w:type="dxa"/>
            <w:tcBorders>
              <w:top w:val="single" w:sz="4" w:space="0" w:color="auto"/>
              <w:left w:val="nil"/>
              <w:bottom w:val="single" w:sz="4" w:space="0" w:color="auto"/>
              <w:right w:val="single" w:sz="4" w:space="0" w:color="auto"/>
            </w:tcBorders>
            <w:shd w:val="clear" w:color="auto" w:fill="auto"/>
            <w:vAlign w:val="center"/>
            <w:hideMark/>
          </w:tcPr>
          <w:p w:rsidR="00A020ED" w:rsidRPr="003F1472" w:rsidRDefault="00A020ED" w:rsidP="00A020ED">
            <w:pPr>
              <w:suppressAutoHyphens w:val="0"/>
              <w:jc w:val="center"/>
              <w:rPr>
                <w:rFonts w:ascii="Calibri" w:hAnsi="Calibri" w:cs="Calibri"/>
                <w:sz w:val="16"/>
                <w:szCs w:val="16"/>
                <w:lang w:val="it-IT" w:eastAsia="it-IT"/>
              </w:rPr>
            </w:pPr>
            <w:r w:rsidRPr="003F1472">
              <w:rPr>
                <w:rFonts w:ascii="Calibri" w:hAnsi="Calibri" w:cs="Calibri"/>
                <w:sz w:val="16"/>
                <w:szCs w:val="16"/>
                <w:lang w:val="it-IT" w:eastAsia="it-IT"/>
              </w:rPr>
              <w:t>A, NR</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3F1472" w:rsidRDefault="00A020ED" w:rsidP="00A020ED">
            <w:pPr>
              <w:suppressAutoHyphens w:val="0"/>
              <w:jc w:val="center"/>
              <w:rPr>
                <w:rFonts w:ascii="Calibri" w:hAnsi="Calibri" w:cs="Calibri"/>
                <w:sz w:val="16"/>
                <w:szCs w:val="16"/>
                <w:lang w:val="it-IT" w:eastAsia="it-IT"/>
              </w:rPr>
            </w:pPr>
            <w:r w:rsidRPr="003F1472">
              <w:rPr>
                <w:rFonts w:ascii="Calibri" w:hAnsi="Calibri" w:cs="Calibri"/>
                <w:sz w:val="16"/>
                <w:szCs w:val="16"/>
                <w:lang w:val="it-IT" w:eastAsia="it-IT"/>
              </w:rPr>
              <w:t>2012</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3F1472" w:rsidRDefault="00A020ED" w:rsidP="00A020ED">
            <w:pPr>
              <w:suppressAutoHyphens w:val="0"/>
              <w:jc w:val="center"/>
              <w:rPr>
                <w:rFonts w:ascii="Calibri" w:hAnsi="Calibri" w:cs="Calibri"/>
                <w:sz w:val="16"/>
                <w:szCs w:val="16"/>
                <w:lang w:val="it-IT" w:eastAsia="it-IT"/>
              </w:rPr>
            </w:pPr>
            <w:r w:rsidRPr="003F1472">
              <w:rPr>
                <w:rFonts w:ascii="Calibri" w:hAnsi="Calibri" w:cs="Calibri"/>
                <w:sz w:val="16"/>
                <w:szCs w:val="16"/>
                <w:lang w:val="it-IT" w:eastAsia="it-IT"/>
              </w:rPr>
              <w:t>2018</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3F1472" w:rsidRDefault="00A020ED" w:rsidP="00A020ED">
            <w:pPr>
              <w:suppressAutoHyphens w:val="0"/>
              <w:jc w:val="center"/>
              <w:rPr>
                <w:rFonts w:ascii="Calibri" w:hAnsi="Calibri" w:cs="Calibri"/>
                <w:sz w:val="16"/>
                <w:szCs w:val="16"/>
                <w:lang w:val="it-IT" w:eastAsia="it-IT"/>
              </w:rPr>
            </w:pPr>
            <w:r w:rsidRPr="003F1472">
              <w:rPr>
                <w:rFonts w:ascii="Calibri" w:hAnsi="Calibri" w:cs="Calibri"/>
                <w:sz w:val="16"/>
                <w:szCs w:val="16"/>
                <w:lang w:val="it-IT" w:eastAsia="it-IT"/>
              </w:rPr>
              <w:t>2022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3F1472" w:rsidRDefault="00A020ED" w:rsidP="00A020ED">
            <w:pPr>
              <w:suppressAutoHyphens w:val="0"/>
              <w:jc w:val="center"/>
              <w:rPr>
                <w:rFonts w:ascii="Calibri" w:hAnsi="Calibri" w:cs="Calibri"/>
                <w:sz w:val="16"/>
                <w:szCs w:val="16"/>
                <w:lang w:val="it-IT" w:eastAsia="it-IT"/>
              </w:rPr>
            </w:pPr>
            <w:r w:rsidRPr="003F1472">
              <w:rPr>
                <w:rFonts w:ascii="Calibri" w:hAnsi="Calibri" w:cs="Calibri"/>
                <w:sz w:val="16"/>
                <w:szCs w:val="16"/>
                <w:lang w:val="it-IT" w:eastAsia="it-IT"/>
              </w:rPr>
              <w:t>Bayer</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3F1472" w:rsidRDefault="00A020ED" w:rsidP="00A020ED">
            <w:pPr>
              <w:suppressAutoHyphens w:val="0"/>
              <w:jc w:val="center"/>
              <w:rPr>
                <w:rFonts w:ascii="Calibri" w:hAnsi="Calibri" w:cs="Calibri"/>
                <w:sz w:val="16"/>
                <w:szCs w:val="16"/>
                <w:lang w:val="it-IT" w:eastAsia="it-IT"/>
              </w:rPr>
            </w:pPr>
            <w:r w:rsidRPr="003F1472">
              <w:rPr>
                <w:rFonts w:ascii="Calibri" w:hAnsi="Calibri" w:cs="Calibri"/>
                <w:sz w:val="16"/>
                <w:szCs w:val="16"/>
                <w:lang w:val="it-IT" w:eastAsia="it-IT"/>
              </w:rPr>
              <w:t>*</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rsidR="00A020ED" w:rsidRPr="003F1472" w:rsidRDefault="00A020ED" w:rsidP="00A020ED">
            <w:pPr>
              <w:suppressAutoHyphens w:val="0"/>
              <w:jc w:val="center"/>
              <w:rPr>
                <w:rFonts w:ascii="Calibri" w:hAnsi="Calibri" w:cs="Calibri"/>
                <w:sz w:val="16"/>
                <w:szCs w:val="16"/>
                <w:lang w:val="it-IT" w:eastAsia="it-IT"/>
              </w:rPr>
            </w:pPr>
            <w:r w:rsidRPr="003F1472">
              <w:rPr>
                <w:rFonts w:ascii="Calibri" w:hAnsi="Calibri" w:cs="Calibri"/>
                <w:sz w:val="16"/>
                <w:szCs w:val="16"/>
                <w:lang w:val="it-IT" w:eastAsia="it-IT"/>
              </w:rPr>
              <w:t>NCT01660451</w:t>
            </w: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A020ED" w:rsidRPr="003F1472" w:rsidRDefault="00FF3233"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42</w:t>
            </w:r>
          </w:p>
        </w:tc>
      </w:tr>
      <w:tr w:rsidR="00A020ED" w:rsidRPr="00A020ED" w:rsidTr="00A943EB">
        <w:trPr>
          <w:trHeight w:val="9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840C3C" w:rsidRDefault="00A020ED" w:rsidP="00A020ED">
            <w:pPr>
              <w:suppressAutoHyphens w:val="0"/>
              <w:jc w:val="center"/>
              <w:rPr>
                <w:rFonts w:ascii="Calibri" w:hAnsi="Calibri" w:cs="Calibri"/>
                <w:sz w:val="16"/>
                <w:szCs w:val="16"/>
                <w:lang w:val="it-IT" w:eastAsia="it-IT"/>
              </w:rPr>
            </w:pPr>
            <w:r w:rsidRPr="00840C3C">
              <w:rPr>
                <w:rFonts w:ascii="Calibri" w:hAnsi="Calibri" w:cs="Calibri"/>
                <w:sz w:val="16"/>
                <w:szCs w:val="16"/>
                <w:lang w:val="it-IT" w:eastAsia="it-IT"/>
              </w:rPr>
              <w:t>2</w:t>
            </w:r>
          </w:p>
        </w:tc>
        <w:tc>
          <w:tcPr>
            <w:tcW w:w="1420" w:type="dxa"/>
            <w:tcBorders>
              <w:top w:val="nil"/>
              <w:left w:val="nil"/>
              <w:bottom w:val="single" w:sz="4" w:space="0" w:color="auto"/>
              <w:right w:val="single" w:sz="4" w:space="0" w:color="auto"/>
            </w:tcBorders>
            <w:shd w:val="clear" w:color="auto" w:fill="auto"/>
            <w:noWrap/>
            <w:vAlign w:val="center"/>
            <w:hideMark/>
          </w:tcPr>
          <w:p w:rsidR="00A020ED" w:rsidRPr="00840C3C" w:rsidRDefault="00A020ED" w:rsidP="00A020ED">
            <w:pPr>
              <w:suppressAutoHyphens w:val="0"/>
              <w:jc w:val="center"/>
              <w:rPr>
                <w:rFonts w:ascii="Calibri" w:hAnsi="Calibri" w:cs="Calibri"/>
                <w:sz w:val="16"/>
                <w:szCs w:val="16"/>
                <w:lang w:val="it-IT" w:eastAsia="it-IT"/>
              </w:rPr>
            </w:pPr>
            <w:r w:rsidRPr="00840C3C">
              <w:rPr>
                <w:rFonts w:ascii="Calibri" w:hAnsi="Calibri" w:cs="Calibri"/>
                <w:sz w:val="16"/>
                <w:szCs w:val="16"/>
                <w:lang w:val="it-IT" w:eastAsia="it-IT"/>
              </w:rPr>
              <w:t>Copanlisib</w:t>
            </w:r>
          </w:p>
        </w:tc>
        <w:tc>
          <w:tcPr>
            <w:tcW w:w="1480" w:type="dxa"/>
            <w:tcBorders>
              <w:top w:val="nil"/>
              <w:left w:val="nil"/>
              <w:bottom w:val="single" w:sz="4" w:space="0" w:color="auto"/>
              <w:right w:val="single" w:sz="4" w:space="0" w:color="auto"/>
            </w:tcBorders>
            <w:shd w:val="clear" w:color="auto" w:fill="auto"/>
            <w:vAlign w:val="center"/>
            <w:hideMark/>
          </w:tcPr>
          <w:p w:rsidR="00A020ED" w:rsidRPr="00840C3C" w:rsidRDefault="00A020ED" w:rsidP="00A020ED">
            <w:pPr>
              <w:suppressAutoHyphens w:val="0"/>
              <w:jc w:val="center"/>
              <w:rPr>
                <w:rFonts w:ascii="Calibri" w:hAnsi="Calibri" w:cs="Calibri"/>
                <w:sz w:val="16"/>
                <w:szCs w:val="16"/>
                <w:lang w:val="it-IT" w:eastAsia="it-IT"/>
              </w:rPr>
            </w:pPr>
            <w:r w:rsidRPr="00840C3C">
              <w:rPr>
                <w:rFonts w:ascii="Calibri" w:hAnsi="Calibri" w:cs="Calibri"/>
                <w:sz w:val="16"/>
                <w:szCs w:val="16"/>
                <w:lang w:val="it-IT" w:eastAsia="it-IT"/>
              </w:rPr>
              <w:t xml:space="preserve">Relapse or recurrent diffuse large B-cell lymphoma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ORR: 19.4%, PFS: 1.8 months, and DOR: 4.3 months.</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2015</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2018</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2019</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Bayer</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NCT02391116</w:t>
            </w:r>
          </w:p>
        </w:tc>
        <w:tc>
          <w:tcPr>
            <w:tcW w:w="480" w:type="dxa"/>
            <w:tcBorders>
              <w:top w:val="nil"/>
              <w:left w:val="nil"/>
              <w:bottom w:val="single" w:sz="4" w:space="0" w:color="auto"/>
              <w:right w:val="single" w:sz="4" w:space="0" w:color="auto"/>
            </w:tcBorders>
            <w:shd w:val="clear" w:color="auto" w:fill="auto"/>
            <w:noWrap/>
            <w:vAlign w:val="center"/>
          </w:tcPr>
          <w:p w:rsidR="00A020ED" w:rsidRPr="00A020ED" w:rsidRDefault="00FF3233"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43</w:t>
            </w:r>
          </w:p>
        </w:tc>
      </w:tr>
      <w:tr w:rsidR="00A020ED" w:rsidRPr="00A020ED" w:rsidTr="00A943EB">
        <w:trPr>
          <w:trHeight w:val="67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840C3C" w:rsidRDefault="00A020ED" w:rsidP="00A020ED">
            <w:pPr>
              <w:suppressAutoHyphens w:val="0"/>
              <w:jc w:val="center"/>
              <w:rPr>
                <w:rFonts w:ascii="Calibri" w:hAnsi="Calibri" w:cs="Calibri"/>
                <w:sz w:val="16"/>
                <w:szCs w:val="16"/>
                <w:lang w:val="it-IT" w:eastAsia="it-IT"/>
              </w:rPr>
            </w:pPr>
            <w:r w:rsidRPr="00840C3C">
              <w:rPr>
                <w:rFonts w:ascii="Calibri" w:hAnsi="Calibri" w:cs="Calibri"/>
                <w:sz w:val="16"/>
                <w:szCs w:val="16"/>
                <w:lang w:val="it-IT" w:eastAsia="it-IT"/>
              </w:rPr>
              <w:t>2</w:t>
            </w:r>
          </w:p>
        </w:tc>
        <w:tc>
          <w:tcPr>
            <w:tcW w:w="1420" w:type="dxa"/>
            <w:tcBorders>
              <w:top w:val="nil"/>
              <w:left w:val="nil"/>
              <w:bottom w:val="single" w:sz="4" w:space="0" w:color="auto"/>
              <w:right w:val="single" w:sz="4" w:space="0" w:color="auto"/>
            </w:tcBorders>
            <w:shd w:val="clear" w:color="auto" w:fill="auto"/>
            <w:noWrap/>
            <w:vAlign w:val="center"/>
            <w:hideMark/>
          </w:tcPr>
          <w:p w:rsidR="00A020ED" w:rsidRPr="00840C3C" w:rsidRDefault="00A020ED" w:rsidP="00A020ED">
            <w:pPr>
              <w:suppressAutoHyphens w:val="0"/>
              <w:jc w:val="center"/>
              <w:rPr>
                <w:rFonts w:ascii="Calibri" w:hAnsi="Calibri" w:cs="Calibri"/>
                <w:sz w:val="16"/>
                <w:szCs w:val="16"/>
                <w:lang w:val="it-IT" w:eastAsia="it-IT"/>
              </w:rPr>
            </w:pPr>
            <w:r w:rsidRPr="00840C3C">
              <w:rPr>
                <w:rFonts w:ascii="Calibri" w:hAnsi="Calibri" w:cs="Calibri"/>
                <w:sz w:val="16"/>
                <w:szCs w:val="16"/>
                <w:lang w:val="it-IT" w:eastAsia="it-IT"/>
              </w:rPr>
              <w:t>Copanlisib</w:t>
            </w:r>
          </w:p>
        </w:tc>
        <w:tc>
          <w:tcPr>
            <w:tcW w:w="1480" w:type="dxa"/>
            <w:tcBorders>
              <w:top w:val="nil"/>
              <w:left w:val="nil"/>
              <w:bottom w:val="single" w:sz="4" w:space="0" w:color="auto"/>
              <w:right w:val="single" w:sz="4" w:space="0" w:color="auto"/>
            </w:tcBorders>
            <w:shd w:val="clear" w:color="auto" w:fill="auto"/>
            <w:vAlign w:val="center"/>
            <w:hideMark/>
          </w:tcPr>
          <w:p w:rsidR="00A020ED" w:rsidRPr="00840C3C" w:rsidRDefault="00A020ED" w:rsidP="00A020ED">
            <w:pPr>
              <w:suppressAutoHyphens w:val="0"/>
              <w:jc w:val="center"/>
              <w:rPr>
                <w:rFonts w:ascii="Calibri" w:hAnsi="Calibri" w:cs="Calibri"/>
                <w:sz w:val="16"/>
                <w:szCs w:val="16"/>
                <w:lang w:val="it-IT" w:eastAsia="it-IT"/>
              </w:rPr>
            </w:pPr>
            <w:r w:rsidRPr="00840C3C">
              <w:rPr>
                <w:rFonts w:ascii="Calibri" w:hAnsi="Calibri" w:cs="Calibri"/>
                <w:sz w:val="16"/>
                <w:szCs w:val="16"/>
                <w:lang w:val="it-IT" w:eastAsia="it-IT"/>
              </w:rPr>
              <w:t xml:space="preserve">Relapsed or refractory indolent B-cell lymphoma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ORR: 59%; CR: 12%; PFS: 11.2 months; DOR: 22.6 months</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 NR</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2012</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2018</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2022</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Bayer</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NCT01660451</w:t>
            </w:r>
          </w:p>
        </w:tc>
        <w:tc>
          <w:tcPr>
            <w:tcW w:w="480" w:type="dxa"/>
            <w:tcBorders>
              <w:top w:val="nil"/>
              <w:left w:val="nil"/>
              <w:bottom w:val="single" w:sz="4" w:space="0" w:color="auto"/>
              <w:right w:val="single" w:sz="4" w:space="0" w:color="auto"/>
            </w:tcBorders>
            <w:shd w:val="clear" w:color="auto" w:fill="auto"/>
            <w:noWrap/>
            <w:vAlign w:val="center"/>
          </w:tcPr>
          <w:p w:rsidR="00A020ED" w:rsidRPr="00A020ED" w:rsidRDefault="00FF3233"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44</w:t>
            </w:r>
          </w:p>
        </w:tc>
      </w:tr>
      <w:tr w:rsidR="00A020ED" w:rsidRPr="00A020ED" w:rsidTr="00A943EB">
        <w:trPr>
          <w:trHeight w:val="9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w:t>
            </w:r>
          </w:p>
        </w:tc>
        <w:tc>
          <w:tcPr>
            <w:tcW w:w="142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Copanlisib</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Advanced refractory solid tumor with PIK3CA mutations</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ORR: 16% in select tumors with PIK3CA mutation in the refractory setting</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 R</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2015</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2022</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National Cancer Institute (NCI)</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NCT02465060</w:t>
            </w:r>
          </w:p>
        </w:tc>
        <w:tc>
          <w:tcPr>
            <w:tcW w:w="480" w:type="dxa"/>
            <w:tcBorders>
              <w:top w:val="nil"/>
              <w:left w:val="nil"/>
              <w:bottom w:val="single" w:sz="4" w:space="0" w:color="auto"/>
              <w:right w:val="single" w:sz="4" w:space="0" w:color="auto"/>
            </w:tcBorders>
            <w:shd w:val="clear" w:color="auto" w:fill="auto"/>
            <w:noWrap/>
            <w:vAlign w:val="center"/>
          </w:tcPr>
          <w:p w:rsidR="00A020ED" w:rsidRPr="00A020ED" w:rsidRDefault="00FF3233"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45</w:t>
            </w:r>
          </w:p>
        </w:tc>
      </w:tr>
      <w:tr w:rsidR="00A020ED" w:rsidRPr="00A020ED" w:rsidTr="00A943EB">
        <w:trPr>
          <w:trHeight w:val="157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F7183C" w:rsidRDefault="00A020ED" w:rsidP="00A020ED">
            <w:pPr>
              <w:suppressAutoHyphens w:val="0"/>
              <w:jc w:val="center"/>
              <w:rPr>
                <w:rFonts w:ascii="Calibri" w:hAnsi="Calibri" w:cs="Calibri"/>
                <w:sz w:val="16"/>
                <w:szCs w:val="16"/>
                <w:lang w:val="it-IT" w:eastAsia="it-IT"/>
              </w:rPr>
            </w:pPr>
            <w:r w:rsidRPr="00F7183C">
              <w:rPr>
                <w:rFonts w:ascii="Calibri" w:hAnsi="Calibri" w:cs="Calibri"/>
                <w:sz w:val="16"/>
                <w:szCs w:val="16"/>
                <w:lang w:val="it-IT" w:eastAsia="it-IT"/>
              </w:rPr>
              <w:t>2</w:t>
            </w:r>
          </w:p>
        </w:tc>
        <w:tc>
          <w:tcPr>
            <w:tcW w:w="1420" w:type="dxa"/>
            <w:tcBorders>
              <w:top w:val="nil"/>
              <w:left w:val="nil"/>
              <w:bottom w:val="single" w:sz="4" w:space="0" w:color="auto"/>
              <w:right w:val="single" w:sz="4" w:space="0" w:color="auto"/>
            </w:tcBorders>
            <w:shd w:val="clear" w:color="auto" w:fill="auto"/>
            <w:vAlign w:val="center"/>
            <w:hideMark/>
          </w:tcPr>
          <w:p w:rsidR="00A020ED" w:rsidRPr="00F7183C" w:rsidRDefault="00A020ED" w:rsidP="00A020ED">
            <w:pPr>
              <w:suppressAutoHyphens w:val="0"/>
              <w:jc w:val="center"/>
              <w:rPr>
                <w:rFonts w:ascii="Calibri" w:hAnsi="Calibri" w:cs="Calibri"/>
                <w:sz w:val="16"/>
                <w:szCs w:val="16"/>
                <w:lang w:val="it-IT" w:eastAsia="it-IT"/>
              </w:rPr>
            </w:pPr>
            <w:r w:rsidRPr="00F7183C">
              <w:rPr>
                <w:rFonts w:ascii="Calibri" w:hAnsi="Calibri" w:cs="Calibri"/>
                <w:sz w:val="16"/>
                <w:szCs w:val="16"/>
                <w:lang w:val="it-IT" w:eastAsia="it-IT"/>
              </w:rPr>
              <w:t>Triple combination of copanlisib with gemcitabine and cisplatin</w:t>
            </w:r>
          </w:p>
        </w:tc>
        <w:tc>
          <w:tcPr>
            <w:tcW w:w="1480" w:type="dxa"/>
            <w:tcBorders>
              <w:top w:val="nil"/>
              <w:left w:val="nil"/>
              <w:bottom w:val="single" w:sz="4" w:space="0" w:color="auto"/>
              <w:right w:val="single" w:sz="4" w:space="0" w:color="auto"/>
            </w:tcBorders>
            <w:shd w:val="clear" w:color="auto" w:fill="auto"/>
            <w:vAlign w:val="center"/>
            <w:hideMark/>
          </w:tcPr>
          <w:p w:rsidR="00A020ED" w:rsidRPr="00F7183C" w:rsidRDefault="00A020ED" w:rsidP="00A020ED">
            <w:pPr>
              <w:suppressAutoHyphens w:val="0"/>
              <w:jc w:val="center"/>
              <w:rPr>
                <w:rFonts w:ascii="Calibri" w:hAnsi="Calibri" w:cs="Calibri"/>
                <w:sz w:val="16"/>
                <w:szCs w:val="16"/>
                <w:lang w:val="it-IT" w:eastAsia="it-IT"/>
              </w:rPr>
            </w:pPr>
            <w:r w:rsidRPr="00F7183C">
              <w:rPr>
                <w:rFonts w:ascii="Calibri" w:hAnsi="Calibri" w:cs="Calibri"/>
                <w:sz w:val="16"/>
                <w:szCs w:val="16"/>
                <w:lang w:val="it-IT" w:eastAsia="it-IT"/>
              </w:rPr>
              <w:t>Advanced biliary tract cancer</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OS: 13.7 months, PFS: 6.2 months, and PFS rate at 6 months: 51%, PR: 31.6%, and SD: 57.9%. There was no significant difference in survival with the addition of copanlisib in comparison with gemcitabine + cisplatin</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2015</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2020</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2021</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H. Lee Moffitt Cancer Center and Research Institute</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Bayer</w:t>
            </w:r>
          </w:p>
        </w:tc>
        <w:tc>
          <w:tcPr>
            <w:tcW w:w="12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NCT02631590</w:t>
            </w:r>
          </w:p>
        </w:tc>
        <w:tc>
          <w:tcPr>
            <w:tcW w:w="480" w:type="dxa"/>
            <w:tcBorders>
              <w:top w:val="nil"/>
              <w:left w:val="nil"/>
              <w:bottom w:val="single" w:sz="4" w:space="0" w:color="auto"/>
              <w:right w:val="single" w:sz="4" w:space="0" w:color="auto"/>
            </w:tcBorders>
            <w:shd w:val="clear" w:color="auto" w:fill="auto"/>
            <w:vAlign w:val="center"/>
          </w:tcPr>
          <w:p w:rsidR="00A020ED" w:rsidRPr="00A020ED" w:rsidRDefault="00FF3233"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46</w:t>
            </w:r>
          </w:p>
        </w:tc>
      </w:tr>
      <w:tr w:rsidR="00A020ED" w:rsidRPr="00A020ED" w:rsidTr="00A943EB">
        <w:trPr>
          <w:trHeight w:val="67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F7183C" w:rsidRDefault="00A020ED" w:rsidP="00A020ED">
            <w:pPr>
              <w:suppressAutoHyphens w:val="0"/>
              <w:jc w:val="center"/>
              <w:rPr>
                <w:rFonts w:ascii="Calibri" w:hAnsi="Calibri" w:cs="Calibri"/>
                <w:sz w:val="16"/>
                <w:szCs w:val="16"/>
                <w:lang w:val="it-IT" w:eastAsia="it-IT"/>
              </w:rPr>
            </w:pPr>
            <w:r w:rsidRPr="00F7183C">
              <w:rPr>
                <w:rFonts w:ascii="Calibri" w:hAnsi="Calibri" w:cs="Calibri"/>
                <w:sz w:val="16"/>
                <w:szCs w:val="16"/>
                <w:lang w:val="it-IT" w:eastAsia="it-IT"/>
              </w:rPr>
              <w:t>3</w:t>
            </w:r>
          </w:p>
        </w:tc>
        <w:tc>
          <w:tcPr>
            <w:tcW w:w="1420" w:type="dxa"/>
            <w:tcBorders>
              <w:top w:val="nil"/>
              <w:left w:val="nil"/>
              <w:bottom w:val="single" w:sz="4" w:space="0" w:color="auto"/>
              <w:right w:val="single" w:sz="4" w:space="0" w:color="auto"/>
            </w:tcBorders>
            <w:shd w:val="clear" w:color="auto" w:fill="auto"/>
            <w:vAlign w:val="center"/>
            <w:hideMark/>
          </w:tcPr>
          <w:p w:rsidR="00A020ED" w:rsidRPr="00F7183C" w:rsidRDefault="00A020ED" w:rsidP="00A020ED">
            <w:pPr>
              <w:suppressAutoHyphens w:val="0"/>
              <w:jc w:val="center"/>
              <w:rPr>
                <w:rFonts w:ascii="Calibri" w:hAnsi="Calibri" w:cs="Calibri"/>
                <w:sz w:val="16"/>
                <w:szCs w:val="16"/>
                <w:lang w:val="it-IT" w:eastAsia="it-IT"/>
              </w:rPr>
            </w:pPr>
            <w:r w:rsidRPr="00F7183C">
              <w:rPr>
                <w:rFonts w:ascii="Calibri" w:hAnsi="Calibri" w:cs="Calibri"/>
                <w:sz w:val="16"/>
                <w:szCs w:val="16"/>
                <w:lang w:val="it-IT" w:eastAsia="it-IT"/>
              </w:rPr>
              <w:t>Combination of copanlisib with rituximab</w:t>
            </w:r>
          </w:p>
        </w:tc>
        <w:tc>
          <w:tcPr>
            <w:tcW w:w="1480" w:type="dxa"/>
            <w:tcBorders>
              <w:top w:val="nil"/>
              <w:left w:val="nil"/>
              <w:bottom w:val="single" w:sz="4" w:space="0" w:color="auto"/>
              <w:right w:val="single" w:sz="4" w:space="0" w:color="auto"/>
            </w:tcBorders>
            <w:shd w:val="clear" w:color="auto" w:fill="auto"/>
            <w:vAlign w:val="center"/>
            <w:hideMark/>
          </w:tcPr>
          <w:p w:rsidR="00A020ED" w:rsidRPr="00F7183C" w:rsidRDefault="00A020ED" w:rsidP="00A020ED">
            <w:pPr>
              <w:suppressAutoHyphens w:val="0"/>
              <w:jc w:val="center"/>
              <w:rPr>
                <w:rFonts w:ascii="Calibri" w:hAnsi="Calibri" w:cs="Calibri"/>
                <w:sz w:val="16"/>
                <w:szCs w:val="16"/>
                <w:lang w:val="it-IT" w:eastAsia="it-IT"/>
              </w:rPr>
            </w:pPr>
            <w:r w:rsidRPr="00F7183C">
              <w:rPr>
                <w:rFonts w:ascii="Calibri" w:hAnsi="Calibri" w:cs="Calibri"/>
                <w:sz w:val="16"/>
                <w:szCs w:val="16"/>
                <w:lang w:val="it-IT" w:eastAsia="it-IT"/>
              </w:rPr>
              <w:t xml:space="preserve">Relapsed indolent non-Hodgkin lymphoma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PFS: 21.5 months with copanlisib + rituximab vs PFS: 13.8 months with placebo + rituximab </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 NR</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2015</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2022</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2022</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Bayer</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NCT02367040</w:t>
            </w:r>
          </w:p>
        </w:tc>
        <w:tc>
          <w:tcPr>
            <w:tcW w:w="480" w:type="dxa"/>
            <w:tcBorders>
              <w:top w:val="nil"/>
              <w:left w:val="nil"/>
              <w:bottom w:val="single" w:sz="4" w:space="0" w:color="auto"/>
              <w:right w:val="single" w:sz="4" w:space="0" w:color="auto"/>
            </w:tcBorders>
            <w:shd w:val="clear" w:color="auto" w:fill="auto"/>
            <w:noWrap/>
            <w:vAlign w:val="center"/>
          </w:tcPr>
          <w:p w:rsidR="00A020ED" w:rsidRPr="00A020ED" w:rsidRDefault="00FF3233"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47</w:t>
            </w:r>
          </w:p>
        </w:tc>
      </w:tr>
      <w:tr w:rsidR="00A020ED" w:rsidRPr="00A020ED" w:rsidTr="00A943EB">
        <w:trPr>
          <w:trHeight w:val="67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F7183C" w:rsidRDefault="00A020ED" w:rsidP="00A020ED">
            <w:pPr>
              <w:suppressAutoHyphens w:val="0"/>
              <w:jc w:val="center"/>
              <w:rPr>
                <w:rFonts w:ascii="Calibri" w:hAnsi="Calibri" w:cs="Calibri"/>
                <w:sz w:val="16"/>
                <w:szCs w:val="16"/>
                <w:lang w:val="it-IT" w:eastAsia="it-IT"/>
              </w:rPr>
            </w:pPr>
            <w:r w:rsidRPr="00F7183C">
              <w:rPr>
                <w:rFonts w:ascii="Calibri" w:hAnsi="Calibri" w:cs="Calibri"/>
                <w:sz w:val="16"/>
                <w:szCs w:val="16"/>
                <w:lang w:val="it-IT" w:eastAsia="it-IT"/>
              </w:rPr>
              <w:t>3</w:t>
            </w:r>
          </w:p>
        </w:tc>
        <w:tc>
          <w:tcPr>
            <w:tcW w:w="1420" w:type="dxa"/>
            <w:tcBorders>
              <w:top w:val="nil"/>
              <w:left w:val="nil"/>
              <w:bottom w:val="single" w:sz="4" w:space="0" w:color="auto"/>
              <w:right w:val="single" w:sz="4" w:space="0" w:color="auto"/>
            </w:tcBorders>
            <w:shd w:val="clear" w:color="auto" w:fill="auto"/>
            <w:vAlign w:val="center"/>
            <w:hideMark/>
          </w:tcPr>
          <w:p w:rsidR="00A020ED" w:rsidRPr="00F7183C" w:rsidRDefault="00A020ED" w:rsidP="00A020ED">
            <w:pPr>
              <w:suppressAutoHyphens w:val="0"/>
              <w:jc w:val="center"/>
              <w:rPr>
                <w:rFonts w:ascii="Calibri" w:hAnsi="Calibri" w:cs="Calibri"/>
                <w:sz w:val="16"/>
                <w:szCs w:val="16"/>
                <w:lang w:val="it-IT" w:eastAsia="it-IT"/>
              </w:rPr>
            </w:pPr>
            <w:r w:rsidRPr="00F7183C">
              <w:rPr>
                <w:rFonts w:ascii="Calibri" w:hAnsi="Calibri" w:cs="Calibri"/>
                <w:sz w:val="16"/>
                <w:szCs w:val="16"/>
                <w:lang w:val="it-IT" w:eastAsia="it-IT"/>
              </w:rPr>
              <w:t>Combination of copanlisib with bendamustine</w:t>
            </w:r>
          </w:p>
        </w:tc>
        <w:tc>
          <w:tcPr>
            <w:tcW w:w="1480" w:type="dxa"/>
            <w:tcBorders>
              <w:top w:val="nil"/>
              <w:left w:val="nil"/>
              <w:bottom w:val="single" w:sz="4" w:space="0" w:color="auto"/>
              <w:right w:val="single" w:sz="4" w:space="0" w:color="auto"/>
            </w:tcBorders>
            <w:shd w:val="clear" w:color="auto" w:fill="auto"/>
            <w:vAlign w:val="center"/>
            <w:hideMark/>
          </w:tcPr>
          <w:p w:rsidR="00A020ED" w:rsidRPr="00F7183C" w:rsidRDefault="00A020ED" w:rsidP="00A020ED">
            <w:pPr>
              <w:suppressAutoHyphens w:val="0"/>
              <w:jc w:val="center"/>
              <w:rPr>
                <w:rFonts w:ascii="Calibri" w:hAnsi="Calibri" w:cs="Calibri"/>
                <w:sz w:val="16"/>
                <w:szCs w:val="16"/>
                <w:lang w:val="it-IT" w:eastAsia="it-IT"/>
              </w:rPr>
            </w:pPr>
            <w:r w:rsidRPr="00F7183C">
              <w:rPr>
                <w:rFonts w:ascii="Calibri" w:hAnsi="Calibri" w:cs="Calibri"/>
                <w:sz w:val="16"/>
                <w:szCs w:val="16"/>
                <w:lang w:val="it-IT" w:eastAsia="it-IT"/>
              </w:rPr>
              <w:t xml:space="preserve">Relapsed Indolent B-cell </w:t>
            </w:r>
            <w:r w:rsidR="00604B76">
              <w:rPr>
                <w:rFonts w:ascii="Calibri" w:hAnsi="Calibri" w:cs="Calibri"/>
                <w:sz w:val="16"/>
                <w:szCs w:val="16"/>
                <w:lang w:val="it-IT" w:eastAsia="it-IT"/>
              </w:rPr>
              <w:t>l</w:t>
            </w:r>
            <w:r w:rsidRPr="00F7183C">
              <w:rPr>
                <w:rFonts w:ascii="Calibri" w:hAnsi="Calibri" w:cs="Calibri"/>
                <w:sz w:val="16"/>
                <w:szCs w:val="16"/>
                <w:lang w:val="it-IT" w:eastAsia="it-IT"/>
              </w:rPr>
              <w:t>ymphoma</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ORR: 90%, CR: 50%, and PR: 40%. RP3D: 60 mg/weekly</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 NR</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2015</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2022</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Bayer</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single" w:sz="4" w:space="0" w:color="auto"/>
            </w:tcBorders>
            <w:shd w:val="clear" w:color="auto" w:fill="auto"/>
            <w:vAlign w:val="center"/>
            <w:hideMark/>
          </w:tcPr>
          <w:p w:rsidR="00A020ED" w:rsidRPr="005D0630" w:rsidRDefault="00A020ED" w:rsidP="00A020ED">
            <w:pPr>
              <w:suppressAutoHyphens w:val="0"/>
              <w:jc w:val="center"/>
              <w:rPr>
                <w:rFonts w:ascii="Calibri" w:hAnsi="Calibri" w:cs="Calibri"/>
                <w:sz w:val="16"/>
                <w:szCs w:val="16"/>
                <w:lang w:val="it-IT" w:eastAsia="it-IT"/>
              </w:rPr>
            </w:pPr>
            <w:r w:rsidRPr="005D0630">
              <w:rPr>
                <w:rFonts w:ascii="Calibri" w:hAnsi="Calibri" w:cs="Calibri"/>
                <w:sz w:val="16"/>
                <w:szCs w:val="16"/>
                <w:lang w:val="it-IT" w:eastAsia="it-IT"/>
              </w:rPr>
              <w:t>NCT02626455</w:t>
            </w:r>
          </w:p>
        </w:tc>
        <w:tc>
          <w:tcPr>
            <w:tcW w:w="480" w:type="dxa"/>
            <w:tcBorders>
              <w:top w:val="nil"/>
              <w:left w:val="nil"/>
              <w:bottom w:val="single" w:sz="4" w:space="0" w:color="auto"/>
              <w:right w:val="single" w:sz="4" w:space="0" w:color="auto"/>
            </w:tcBorders>
            <w:shd w:val="clear" w:color="auto" w:fill="auto"/>
            <w:vAlign w:val="center"/>
          </w:tcPr>
          <w:p w:rsidR="00A020ED" w:rsidRPr="00A020ED" w:rsidRDefault="00FF3233"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48</w:t>
            </w:r>
          </w:p>
        </w:tc>
      </w:tr>
      <w:tr w:rsidR="00A020ED" w:rsidRPr="00A020ED" w:rsidTr="00A943EB">
        <w:trPr>
          <w:trHeight w:val="157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F7183C" w:rsidRDefault="00A020ED" w:rsidP="00A020ED">
            <w:pPr>
              <w:suppressAutoHyphens w:val="0"/>
              <w:jc w:val="center"/>
              <w:rPr>
                <w:rFonts w:ascii="Calibri" w:hAnsi="Calibri" w:cs="Calibri"/>
                <w:sz w:val="16"/>
                <w:szCs w:val="16"/>
                <w:lang w:val="it-IT" w:eastAsia="it-IT"/>
              </w:rPr>
            </w:pPr>
            <w:r w:rsidRPr="00F7183C">
              <w:rPr>
                <w:rFonts w:ascii="Calibri" w:hAnsi="Calibri" w:cs="Calibri"/>
                <w:sz w:val="16"/>
                <w:szCs w:val="16"/>
                <w:lang w:val="it-IT" w:eastAsia="it-IT"/>
              </w:rPr>
              <w:t>3</w:t>
            </w:r>
          </w:p>
        </w:tc>
        <w:tc>
          <w:tcPr>
            <w:tcW w:w="1420" w:type="dxa"/>
            <w:tcBorders>
              <w:top w:val="nil"/>
              <w:left w:val="nil"/>
              <w:bottom w:val="single" w:sz="4" w:space="0" w:color="auto"/>
              <w:right w:val="single" w:sz="4" w:space="0" w:color="auto"/>
            </w:tcBorders>
            <w:shd w:val="clear" w:color="auto" w:fill="auto"/>
            <w:vAlign w:val="center"/>
            <w:hideMark/>
          </w:tcPr>
          <w:p w:rsidR="00A020ED" w:rsidRPr="00F7183C" w:rsidRDefault="00A020ED" w:rsidP="00A020ED">
            <w:pPr>
              <w:suppressAutoHyphens w:val="0"/>
              <w:jc w:val="center"/>
              <w:rPr>
                <w:rFonts w:ascii="Calibri" w:hAnsi="Calibri" w:cs="Calibri"/>
                <w:sz w:val="16"/>
                <w:szCs w:val="16"/>
                <w:lang w:val="it-IT" w:eastAsia="it-IT"/>
              </w:rPr>
            </w:pPr>
            <w:r w:rsidRPr="00F7183C">
              <w:rPr>
                <w:rFonts w:ascii="Calibri" w:hAnsi="Calibri" w:cs="Calibri"/>
                <w:sz w:val="16"/>
                <w:szCs w:val="16"/>
                <w:lang w:val="it-IT" w:eastAsia="it-IT"/>
              </w:rPr>
              <w:t>Combination of copanlisib with rituximab, cyclophosphamide, doxorubicin, vincristine, and prednisone</w:t>
            </w:r>
          </w:p>
        </w:tc>
        <w:tc>
          <w:tcPr>
            <w:tcW w:w="1480" w:type="dxa"/>
            <w:tcBorders>
              <w:top w:val="nil"/>
              <w:left w:val="nil"/>
              <w:bottom w:val="single" w:sz="4" w:space="0" w:color="auto"/>
              <w:right w:val="single" w:sz="4" w:space="0" w:color="auto"/>
            </w:tcBorders>
            <w:shd w:val="clear" w:color="auto" w:fill="auto"/>
            <w:vAlign w:val="center"/>
            <w:hideMark/>
          </w:tcPr>
          <w:p w:rsidR="00A020ED" w:rsidRPr="00F7183C" w:rsidRDefault="00604B76"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Relapsed Indolent B-cell l</w:t>
            </w:r>
            <w:r w:rsidR="00A020ED" w:rsidRPr="00F7183C">
              <w:rPr>
                <w:rFonts w:ascii="Calibri" w:hAnsi="Calibri" w:cs="Calibri"/>
                <w:sz w:val="16"/>
                <w:szCs w:val="16"/>
                <w:lang w:val="it-IT" w:eastAsia="it-IT"/>
              </w:rPr>
              <w:t>ymphoma</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ORR: 100%, CR: 30%, and PR: 70%. RP3D: 60 mg/weekly</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 NR</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2015</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2022</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Bayer</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single" w:sz="4" w:space="0" w:color="auto"/>
            </w:tcBorders>
            <w:shd w:val="clear" w:color="auto" w:fill="auto"/>
            <w:vAlign w:val="center"/>
            <w:hideMark/>
          </w:tcPr>
          <w:p w:rsidR="00A020ED" w:rsidRPr="005D0630" w:rsidRDefault="00A020ED" w:rsidP="00A020ED">
            <w:pPr>
              <w:suppressAutoHyphens w:val="0"/>
              <w:jc w:val="center"/>
              <w:rPr>
                <w:rFonts w:ascii="Calibri" w:hAnsi="Calibri" w:cs="Calibri"/>
                <w:sz w:val="16"/>
                <w:szCs w:val="16"/>
                <w:lang w:val="it-IT" w:eastAsia="it-IT"/>
              </w:rPr>
            </w:pPr>
            <w:r w:rsidRPr="005D0630">
              <w:rPr>
                <w:rFonts w:ascii="Calibri" w:hAnsi="Calibri" w:cs="Calibri"/>
                <w:sz w:val="16"/>
                <w:szCs w:val="16"/>
                <w:lang w:val="it-IT" w:eastAsia="it-IT"/>
              </w:rPr>
              <w:t>NCT02626455</w:t>
            </w:r>
          </w:p>
        </w:tc>
        <w:tc>
          <w:tcPr>
            <w:tcW w:w="480" w:type="dxa"/>
            <w:tcBorders>
              <w:top w:val="nil"/>
              <w:left w:val="nil"/>
              <w:bottom w:val="single" w:sz="4" w:space="0" w:color="auto"/>
              <w:right w:val="single" w:sz="4" w:space="0" w:color="auto"/>
            </w:tcBorders>
            <w:shd w:val="clear" w:color="auto" w:fill="auto"/>
            <w:noWrap/>
            <w:vAlign w:val="center"/>
          </w:tcPr>
          <w:p w:rsidR="00A020ED" w:rsidRPr="00A020ED" w:rsidRDefault="00FF3233"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48</w:t>
            </w:r>
          </w:p>
        </w:tc>
      </w:tr>
      <w:tr w:rsidR="00A020ED" w:rsidRPr="00A020ED" w:rsidTr="004907CE">
        <w:trPr>
          <w:trHeight w:val="300"/>
        </w:trPr>
        <w:tc>
          <w:tcPr>
            <w:tcW w:w="13060" w:type="dxa"/>
            <w:gridSpan w:val="13"/>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020ED" w:rsidRPr="00A020ED" w:rsidRDefault="00A020ED" w:rsidP="00A020ED">
            <w:pPr>
              <w:suppressAutoHyphens w:val="0"/>
              <w:jc w:val="center"/>
              <w:rPr>
                <w:rFonts w:ascii="Calibri" w:hAnsi="Calibri" w:cs="Calibri"/>
                <w:b/>
                <w:bCs/>
                <w:sz w:val="20"/>
                <w:szCs w:val="20"/>
                <w:lang w:val="it-IT" w:eastAsia="it-IT"/>
              </w:rPr>
            </w:pPr>
            <w:r w:rsidRPr="00A020ED">
              <w:rPr>
                <w:rFonts w:ascii="Calibri" w:hAnsi="Calibri" w:cs="Calibri"/>
                <w:b/>
                <w:bCs/>
                <w:sz w:val="20"/>
                <w:szCs w:val="20"/>
                <w:lang w:val="it-IT" w:eastAsia="it-IT"/>
              </w:rPr>
              <w:t xml:space="preserve">Pictilisib </w:t>
            </w:r>
            <w:r w:rsidRPr="00A020ED">
              <w:rPr>
                <w:rFonts w:ascii="Calibri" w:hAnsi="Calibri" w:cs="Calibri"/>
                <w:sz w:val="20"/>
                <w:szCs w:val="20"/>
                <w:lang w:val="it-IT" w:eastAsia="it-IT"/>
              </w:rPr>
              <w:t>(GDC-0941, RG7321)</w:t>
            </w:r>
          </w:p>
        </w:tc>
      </w:tr>
      <w:tr w:rsidR="00A020ED" w:rsidRPr="00A020ED" w:rsidTr="004907CE">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Phase</w:t>
            </w:r>
          </w:p>
        </w:tc>
        <w:tc>
          <w:tcPr>
            <w:tcW w:w="142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Treatment</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Disease</w:t>
            </w:r>
          </w:p>
        </w:tc>
        <w:tc>
          <w:tcPr>
            <w:tcW w:w="2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Outcome</w:t>
            </w:r>
          </w:p>
        </w:tc>
        <w:tc>
          <w:tcPr>
            <w:tcW w:w="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ISP</w:t>
            </w:r>
          </w:p>
        </w:tc>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Status</w:t>
            </w:r>
          </w:p>
        </w:tc>
        <w:tc>
          <w:tcPr>
            <w:tcW w:w="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FP</w:t>
            </w:r>
          </w:p>
        </w:tc>
        <w:tc>
          <w:tcPr>
            <w:tcW w:w="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RFP</w:t>
            </w:r>
          </w:p>
        </w:tc>
        <w:tc>
          <w:tcPr>
            <w:tcW w:w="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LUP</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Sponsor</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Collaborator</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NCT Identifier</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color w:val="000000"/>
                <w:sz w:val="18"/>
                <w:szCs w:val="18"/>
                <w:lang w:val="it-IT" w:eastAsia="it-IT"/>
              </w:rPr>
            </w:pPr>
            <w:r w:rsidRPr="00A020ED">
              <w:rPr>
                <w:rFonts w:ascii="Calibri" w:hAnsi="Calibri" w:cs="Calibri"/>
                <w:b/>
                <w:bCs/>
                <w:color w:val="000000"/>
                <w:sz w:val="18"/>
                <w:szCs w:val="18"/>
                <w:lang w:val="it-IT" w:eastAsia="it-IT"/>
              </w:rPr>
              <w:t>R</w:t>
            </w:r>
          </w:p>
        </w:tc>
      </w:tr>
      <w:tr w:rsidR="00A020ED" w:rsidRPr="00A020ED" w:rsidTr="00D679C8">
        <w:trPr>
          <w:trHeight w:val="112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lastRenderedPageBreak/>
              <w:t>1</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Pictilisib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Advanced solid tumor</w:t>
            </w:r>
          </w:p>
        </w:tc>
        <w:tc>
          <w:tcPr>
            <w:tcW w:w="28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Concentration-dependent reduction of pAKT in platelet-rich plasma; decrease of pS6 and pAKT in cancer biopsies. MTD and RP2D: 330 mg/once daily</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2009</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2016</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Genentech, Inc</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NCT00876122</w:t>
            </w: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A020ED" w:rsidRPr="00A020ED" w:rsidRDefault="000E5E81" w:rsidP="00A020ED">
            <w:pPr>
              <w:suppressAutoHyphens w:val="0"/>
              <w:jc w:val="center"/>
              <w:rPr>
                <w:rFonts w:ascii="Calibri" w:hAnsi="Calibri" w:cs="Calibri"/>
                <w:color w:val="000000"/>
                <w:sz w:val="16"/>
                <w:szCs w:val="16"/>
                <w:lang w:val="it-IT" w:eastAsia="it-IT"/>
              </w:rPr>
            </w:pPr>
            <w:r>
              <w:rPr>
                <w:rFonts w:ascii="Calibri" w:hAnsi="Calibri" w:cs="Calibri"/>
                <w:color w:val="000000"/>
                <w:sz w:val="16"/>
                <w:szCs w:val="16"/>
                <w:lang w:val="it-IT" w:eastAsia="it-IT"/>
              </w:rPr>
              <w:t>55</w:t>
            </w:r>
          </w:p>
        </w:tc>
      </w:tr>
      <w:tr w:rsidR="00A020ED" w:rsidRPr="00A020ED" w:rsidTr="00D679C8">
        <w:trPr>
          <w:trHeight w:val="67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Combination of pictilisib with erlotinib </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Advanced solid tumor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PR: 3.5%; SD: 33.3%. RP2D: 340 mg (5 days on/2 days off schedule) </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2009</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2016</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Genentech, Inc</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NCT00975182</w:t>
            </w:r>
          </w:p>
        </w:tc>
        <w:tc>
          <w:tcPr>
            <w:tcW w:w="480" w:type="dxa"/>
            <w:tcBorders>
              <w:top w:val="nil"/>
              <w:left w:val="nil"/>
              <w:bottom w:val="single" w:sz="4" w:space="0" w:color="auto"/>
              <w:right w:val="single" w:sz="4" w:space="0" w:color="auto"/>
            </w:tcBorders>
            <w:shd w:val="clear" w:color="auto" w:fill="auto"/>
            <w:noWrap/>
            <w:vAlign w:val="center"/>
          </w:tcPr>
          <w:p w:rsidR="00A020ED" w:rsidRPr="00A020ED" w:rsidRDefault="000E5E81" w:rsidP="00A020ED">
            <w:pPr>
              <w:suppressAutoHyphens w:val="0"/>
              <w:jc w:val="center"/>
              <w:rPr>
                <w:rFonts w:ascii="Calibri" w:hAnsi="Calibri" w:cs="Calibri"/>
                <w:color w:val="000000"/>
                <w:sz w:val="16"/>
                <w:szCs w:val="16"/>
                <w:lang w:val="it-IT" w:eastAsia="it-IT"/>
              </w:rPr>
            </w:pPr>
            <w:r>
              <w:rPr>
                <w:rFonts w:ascii="Calibri" w:hAnsi="Calibri" w:cs="Calibri"/>
                <w:color w:val="000000"/>
                <w:sz w:val="16"/>
                <w:szCs w:val="16"/>
                <w:lang w:val="it-IT" w:eastAsia="it-IT"/>
              </w:rPr>
              <w:t>56</w:t>
            </w:r>
          </w:p>
        </w:tc>
      </w:tr>
      <w:tr w:rsidR="00A020ED" w:rsidRPr="00A020ED" w:rsidTr="00D679C8">
        <w:trPr>
          <w:trHeight w:val="67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1b</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Combination of pictilisib with letrozole</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Metastatic or locally recurrent breast cancer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PFS: 5.4 months</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2009</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2016</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Genentech, Inc</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single" w:sz="4" w:space="0" w:color="auto"/>
            </w:tcBorders>
            <w:shd w:val="clear" w:color="auto" w:fill="auto"/>
            <w:vAlign w:val="center"/>
            <w:hideMark/>
          </w:tcPr>
          <w:p w:rsidR="00A020ED" w:rsidRPr="00164A12" w:rsidRDefault="00A020ED" w:rsidP="00A020ED">
            <w:pPr>
              <w:suppressAutoHyphens w:val="0"/>
              <w:jc w:val="center"/>
              <w:rPr>
                <w:rFonts w:ascii="Calibri" w:hAnsi="Calibri" w:cs="Calibri"/>
                <w:sz w:val="16"/>
                <w:szCs w:val="16"/>
                <w:lang w:val="it-IT" w:eastAsia="it-IT"/>
              </w:rPr>
            </w:pPr>
            <w:r w:rsidRPr="00164A12">
              <w:rPr>
                <w:rFonts w:ascii="Calibri" w:hAnsi="Calibri" w:cs="Calibri"/>
                <w:sz w:val="16"/>
                <w:szCs w:val="16"/>
                <w:lang w:val="it-IT" w:eastAsia="it-IT"/>
              </w:rPr>
              <w:t>NCT00960959</w:t>
            </w:r>
          </w:p>
        </w:tc>
        <w:tc>
          <w:tcPr>
            <w:tcW w:w="480" w:type="dxa"/>
            <w:tcBorders>
              <w:top w:val="nil"/>
              <w:left w:val="nil"/>
              <w:bottom w:val="single" w:sz="4" w:space="0" w:color="auto"/>
              <w:right w:val="single" w:sz="4" w:space="0" w:color="auto"/>
            </w:tcBorders>
            <w:shd w:val="clear" w:color="auto" w:fill="auto"/>
            <w:noWrap/>
            <w:vAlign w:val="center"/>
          </w:tcPr>
          <w:p w:rsidR="00A020ED" w:rsidRPr="00164A12" w:rsidRDefault="000E5E81" w:rsidP="00A020ED">
            <w:pPr>
              <w:suppressAutoHyphens w:val="0"/>
              <w:jc w:val="center"/>
              <w:rPr>
                <w:rFonts w:ascii="Calibri" w:hAnsi="Calibri" w:cs="Calibri"/>
                <w:sz w:val="16"/>
                <w:szCs w:val="16"/>
                <w:lang w:val="it-IT" w:eastAsia="it-IT"/>
              </w:rPr>
            </w:pPr>
            <w:r w:rsidRPr="00164A12">
              <w:rPr>
                <w:rFonts w:ascii="Calibri" w:hAnsi="Calibri" w:cs="Calibri"/>
                <w:sz w:val="16"/>
                <w:szCs w:val="16"/>
                <w:lang w:val="it-IT" w:eastAsia="it-IT"/>
              </w:rPr>
              <w:t>57</w:t>
            </w:r>
          </w:p>
        </w:tc>
      </w:tr>
      <w:tr w:rsidR="00A020ED" w:rsidRPr="00A020ED" w:rsidTr="00D679C8">
        <w:trPr>
          <w:trHeight w:val="112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1b</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Combination of pictilisib with paclitaxel ± bevacizumab or trastuzumab</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Metastatic or locally recurrent breast cancer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PFS: 5 months with pictilisib + paclitaxel. PFS: 5.8 months with pictilisib + paclitaxel + bevacizumab. PFS: 14.8 months with pictilisib + paclitaxel + trastuzumab</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2009</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2016</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Genentech, Inc</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single" w:sz="4" w:space="0" w:color="auto"/>
            </w:tcBorders>
            <w:shd w:val="clear" w:color="auto" w:fill="auto"/>
            <w:vAlign w:val="center"/>
            <w:hideMark/>
          </w:tcPr>
          <w:p w:rsidR="00A020ED" w:rsidRPr="00164A12" w:rsidRDefault="00A020ED" w:rsidP="00A020ED">
            <w:pPr>
              <w:suppressAutoHyphens w:val="0"/>
              <w:jc w:val="center"/>
              <w:rPr>
                <w:rFonts w:ascii="Calibri" w:hAnsi="Calibri" w:cs="Calibri"/>
                <w:sz w:val="16"/>
                <w:szCs w:val="16"/>
                <w:lang w:val="it-IT" w:eastAsia="it-IT"/>
              </w:rPr>
            </w:pPr>
            <w:r w:rsidRPr="00164A12">
              <w:rPr>
                <w:rFonts w:ascii="Calibri" w:hAnsi="Calibri" w:cs="Calibri"/>
                <w:sz w:val="16"/>
                <w:szCs w:val="16"/>
                <w:lang w:val="it-IT" w:eastAsia="it-IT"/>
              </w:rPr>
              <w:t>NCT00960960</w:t>
            </w:r>
          </w:p>
        </w:tc>
        <w:tc>
          <w:tcPr>
            <w:tcW w:w="480" w:type="dxa"/>
            <w:tcBorders>
              <w:top w:val="nil"/>
              <w:left w:val="nil"/>
              <w:bottom w:val="single" w:sz="4" w:space="0" w:color="auto"/>
              <w:right w:val="single" w:sz="4" w:space="0" w:color="auto"/>
            </w:tcBorders>
            <w:shd w:val="clear" w:color="auto" w:fill="auto"/>
            <w:noWrap/>
            <w:vAlign w:val="center"/>
          </w:tcPr>
          <w:p w:rsidR="00A020ED" w:rsidRPr="00164A12" w:rsidRDefault="000E5E81" w:rsidP="00A020ED">
            <w:pPr>
              <w:suppressAutoHyphens w:val="0"/>
              <w:jc w:val="center"/>
              <w:rPr>
                <w:rFonts w:ascii="Calibri" w:hAnsi="Calibri" w:cs="Calibri"/>
                <w:sz w:val="16"/>
                <w:szCs w:val="16"/>
                <w:lang w:val="it-IT" w:eastAsia="it-IT"/>
              </w:rPr>
            </w:pPr>
            <w:r w:rsidRPr="00164A12">
              <w:rPr>
                <w:rFonts w:ascii="Calibri" w:hAnsi="Calibri" w:cs="Calibri"/>
                <w:sz w:val="16"/>
                <w:szCs w:val="16"/>
                <w:lang w:val="it-IT" w:eastAsia="it-IT"/>
              </w:rPr>
              <w:t>57</w:t>
            </w:r>
          </w:p>
        </w:tc>
      </w:tr>
      <w:tr w:rsidR="00A020ED" w:rsidRPr="00A020ED" w:rsidTr="00D679C8">
        <w:trPr>
          <w:trHeight w:val="13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1b</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Triple combination of pictilisib with paclitaxel and carboplatin ± bevacizumab </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Advanced non-small cell lung cancer (NSCLC)</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PR: 50% and SD: 16.7% with pictilisib + paclitaxel + carboplatin. PR: 37.5% and SD: 37.5% with pictilisib + paclitaxel + carboplatin + bevacizumab </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2009</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2016</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Genentech, Inc</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single" w:sz="4" w:space="0" w:color="auto"/>
            </w:tcBorders>
            <w:shd w:val="clear" w:color="auto" w:fill="auto"/>
            <w:vAlign w:val="center"/>
            <w:hideMark/>
          </w:tcPr>
          <w:p w:rsidR="00A020ED" w:rsidRPr="00164A12" w:rsidRDefault="00A020ED" w:rsidP="00A020ED">
            <w:pPr>
              <w:suppressAutoHyphens w:val="0"/>
              <w:jc w:val="center"/>
              <w:rPr>
                <w:rFonts w:ascii="Calibri" w:hAnsi="Calibri" w:cs="Calibri"/>
                <w:sz w:val="16"/>
                <w:szCs w:val="16"/>
                <w:lang w:val="it-IT" w:eastAsia="it-IT"/>
              </w:rPr>
            </w:pPr>
            <w:r w:rsidRPr="00164A12">
              <w:rPr>
                <w:rFonts w:ascii="Calibri" w:hAnsi="Calibri" w:cs="Calibri"/>
                <w:sz w:val="16"/>
                <w:szCs w:val="16"/>
                <w:lang w:val="it-IT" w:eastAsia="it-IT"/>
              </w:rPr>
              <w:t>NCT00974584</w:t>
            </w:r>
          </w:p>
        </w:tc>
        <w:tc>
          <w:tcPr>
            <w:tcW w:w="480" w:type="dxa"/>
            <w:tcBorders>
              <w:top w:val="nil"/>
              <w:left w:val="nil"/>
              <w:bottom w:val="single" w:sz="4" w:space="0" w:color="auto"/>
              <w:right w:val="single" w:sz="4" w:space="0" w:color="auto"/>
            </w:tcBorders>
            <w:shd w:val="clear" w:color="auto" w:fill="auto"/>
            <w:noWrap/>
            <w:vAlign w:val="center"/>
          </w:tcPr>
          <w:p w:rsidR="00A020ED" w:rsidRPr="00164A12" w:rsidRDefault="000E5E81" w:rsidP="00A020ED">
            <w:pPr>
              <w:suppressAutoHyphens w:val="0"/>
              <w:jc w:val="center"/>
              <w:rPr>
                <w:rFonts w:ascii="Calibri" w:hAnsi="Calibri" w:cs="Calibri"/>
                <w:sz w:val="16"/>
                <w:szCs w:val="16"/>
                <w:lang w:val="it-IT" w:eastAsia="it-IT"/>
              </w:rPr>
            </w:pPr>
            <w:r w:rsidRPr="00164A12">
              <w:rPr>
                <w:rFonts w:ascii="Calibri" w:hAnsi="Calibri" w:cs="Calibri"/>
                <w:sz w:val="16"/>
                <w:szCs w:val="16"/>
                <w:lang w:val="it-IT" w:eastAsia="it-IT"/>
              </w:rPr>
              <w:t>58</w:t>
            </w:r>
          </w:p>
        </w:tc>
      </w:tr>
      <w:tr w:rsidR="00A020ED" w:rsidRPr="00A020ED" w:rsidTr="00D679C8">
        <w:trPr>
          <w:trHeight w:val="13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1b</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Triple combination of pictilisib with pemetrexed and cisplatin ± bevacizumab </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Advanced non-small cell lung cancer (NSCLC)</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PR: 18.2% and SD: 45.5% with pictilisib + pemetrexed + cisplatin. PR: 69.2% and SD: 23.1% with pictilisib + pemetrexed + cisplatin + bevacizumab  </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2009</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2016</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Genentech, Inc</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single" w:sz="4" w:space="0" w:color="auto"/>
            </w:tcBorders>
            <w:shd w:val="clear" w:color="auto" w:fill="auto"/>
            <w:vAlign w:val="center"/>
            <w:hideMark/>
          </w:tcPr>
          <w:p w:rsidR="00A020ED" w:rsidRPr="00164A12" w:rsidRDefault="00A020ED" w:rsidP="00A020ED">
            <w:pPr>
              <w:suppressAutoHyphens w:val="0"/>
              <w:jc w:val="center"/>
              <w:rPr>
                <w:rFonts w:ascii="Calibri" w:hAnsi="Calibri" w:cs="Calibri"/>
                <w:sz w:val="16"/>
                <w:szCs w:val="16"/>
                <w:lang w:val="it-IT" w:eastAsia="it-IT"/>
              </w:rPr>
            </w:pPr>
            <w:r w:rsidRPr="00164A12">
              <w:rPr>
                <w:rFonts w:ascii="Calibri" w:hAnsi="Calibri" w:cs="Calibri"/>
                <w:sz w:val="16"/>
                <w:szCs w:val="16"/>
                <w:lang w:val="it-IT" w:eastAsia="it-IT"/>
              </w:rPr>
              <w:t>NCT00974584</w:t>
            </w:r>
          </w:p>
        </w:tc>
        <w:tc>
          <w:tcPr>
            <w:tcW w:w="480" w:type="dxa"/>
            <w:tcBorders>
              <w:top w:val="nil"/>
              <w:left w:val="nil"/>
              <w:bottom w:val="single" w:sz="4" w:space="0" w:color="auto"/>
              <w:right w:val="single" w:sz="4" w:space="0" w:color="auto"/>
            </w:tcBorders>
            <w:shd w:val="clear" w:color="auto" w:fill="auto"/>
            <w:noWrap/>
            <w:vAlign w:val="center"/>
          </w:tcPr>
          <w:p w:rsidR="00A020ED" w:rsidRPr="00164A12" w:rsidRDefault="000E5E81" w:rsidP="00A020ED">
            <w:pPr>
              <w:suppressAutoHyphens w:val="0"/>
              <w:jc w:val="center"/>
              <w:rPr>
                <w:rFonts w:ascii="Calibri" w:hAnsi="Calibri" w:cs="Calibri"/>
                <w:sz w:val="16"/>
                <w:szCs w:val="16"/>
                <w:lang w:val="it-IT" w:eastAsia="it-IT"/>
              </w:rPr>
            </w:pPr>
            <w:r w:rsidRPr="00164A12">
              <w:rPr>
                <w:rFonts w:ascii="Calibri" w:hAnsi="Calibri" w:cs="Calibri"/>
                <w:sz w:val="16"/>
                <w:szCs w:val="16"/>
                <w:lang w:val="it-IT" w:eastAsia="it-IT"/>
              </w:rPr>
              <w:t>58</w:t>
            </w:r>
          </w:p>
        </w:tc>
      </w:tr>
      <w:tr w:rsidR="00A020ED" w:rsidRPr="00A020ED" w:rsidTr="00D679C8">
        <w:trPr>
          <w:trHeight w:val="112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Combination of pictilisib with anastrozole </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Estrogen receptor-positive, HER2 negative breast cancer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Suppression of Ki-67: 83.8% with pictilisib + anastrozole vs 66% with anastrozole singularly</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2013</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2015</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Brighton &amp; Sussex University Hospitals NHS Trust</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ISRCTN26131497</w:t>
            </w:r>
          </w:p>
        </w:tc>
        <w:tc>
          <w:tcPr>
            <w:tcW w:w="480" w:type="dxa"/>
            <w:tcBorders>
              <w:top w:val="nil"/>
              <w:left w:val="nil"/>
              <w:bottom w:val="single" w:sz="4" w:space="0" w:color="auto"/>
              <w:right w:val="single" w:sz="4" w:space="0" w:color="auto"/>
            </w:tcBorders>
            <w:shd w:val="clear" w:color="auto" w:fill="auto"/>
            <w:noWrap/>
            <w:vAlign w:val="center"/>
          </w:tcPr>
          <w:p w:rsidR="00A020ED" w:rsidRPr="00A020ED" w:rsidRDefault="000E5E81" w:rsidP="00A020ED">
            <w:pPr>
              <w:suppressAutoHyphens w:val="0"/>
              <w:jc w:val="center"/>
              <w:rPr>
                <w:rFonts w:ascii="Calibri" w:hAnsi="Calibri" w:cs="Calibri"/>
                <w:color w:val="000000"/>
                <w:sz w:val="16"/>
                <w:szCs w:val="16"/>
                <w:lang w:val="it-IT" w:eastAsia="it-IT"/>
              </w:rPr>
            </w:pPr>
            <w:r>
              <w:rPr>
                <w:rFonts w:ascii="Calibri" w:hAnsi="Calibri" w:cs="Calibri"/>
                <w:color w:val="000000"/>
                <w:sz w:val="16"/>
                <w:szCs w:val="16"/>
                <w:lang w:val="it-IT" w:eastAsia="it-IT"/>
              </w:rPr>
              <w:t>59</w:t>
            </w:r>
          </w:p>
        </w:tc>
      </w:tr>
      <w:tr w:rsidR="00A020ED" w:rsidRPr="00A020ED" w:rsidTr="00A020ED">
        <w:trPr>
          <w:trHeight w:val="300"/>
        </w:trPr>
        <w:tc>
          <w:tcPr>
            <w:tcW w:w="13060" w:type="dxa"/>
            <w:gridSpan w:val="13"/>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A020ED" w:rsidRPr="00A020ED" w:rsidRDefault="00A020ED" w:rsidP="00A020ED">
            <w:pPr>
              <w:suppressAutoHyphens w:val="0"/>
              <w:jc w:val="center"/>
              <w:rPr>
                <w:rFonts w:ascii="Calibri" w:hAnsi="Calibri" w:cs="Calibri"/>
                <w:b/>
                <w:bCs/>
                <w:sz w:val="20"/>
                <w:szCs w:val="20"/>
                <w:lang w:val="it-IT" w:eastAsia="it-IT"/>
              </w:rPr>
            </w:pPr>
            <w:r w:rsidRPr="00A020ED">
              <w:rPr>
                <w:rFonts w:ascii="Calibri" w:hAnsi="Calibri" w:cs="Calibri"/>
                <w:b/>
                <w:bCs/>
                <w:sz w:val="20"/>
                <w:szCs w:val="20"/>
                <w:lang w:val="it-IT" w:eastAsia="it-IT"/>
              </w:rPr>
              <w:t xml:space="preserve">Pilaralisib </w:t>
            </w:r>
            <w:r w:rsidRPr="00A020ED">
              <w:rPr>
                <w:rFonts w:ascii="Calibri" w:hAnsi="Calibri" w:cs="Calibri"/>
                <w:sz w:val="20"/>
                <w:szCs w:val="20"/>
                <w:lang w:val="it-IT" w:eastAsia="it-IT"/>
              </w:rPr>
              <w:t>(XL147, SAR-245408)</w:t>
            </w:r>
          </w:p>
        </w:tc>
      </w:tr>
      <w:tr w:rsidR="00A020ED" w:rsidRPr="00A020ED" w:rsidTr="00A020ED">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Phase</w:t>
            </w:r>
          </w:p>
        </w:tc>
        <w:tc>
          <w:tcPr>
            <w:tcW w:w="142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Treatment</w:t>
            </w:r>
          </w:p>
        </w:tc>
        <w:tc>
          <w:tcPr>
            <w:tcW w:w="148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Disease</w:t>
            </w:r>
          </w:p>
        </w:tc>
        <w:tc>
          <w:tcPr>
            <w:tcW w:w="28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Outcome</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ISP</w:t>
            </w:r>
          </w:p>
        </w:tc>
        <w:tc>
          <w:tcPr>
            <w:tcW w:w="56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Status</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FP</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RFP</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LUP</w:t>
            </w:r>
          </w:p>
        </w:tc>
        <w:tc>
          <w:tcPr>
            <w:tcW w:w="1280" w:type="dxa"/>
            <w:tcBorders>
              <w:top w:val="nil"/>
              <w:left w:val="nil"/>
              <w:bottom w:val="nil"/>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Sponsor</w:t>
            </w:r>
          </w:p>
        </w:tc>
        <w:tc>
          <w:tcPr>
            <w:tcW w:w="1280" w:type="dxa"/>
            <w:tcBorders>
              <w:top w:val="nil"/>
              <w:left w:val="nil"/>
              <w:bottom w:val="nil"/>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Collaborator</w:t>
            </w:r>
          </w:p>
        </w:tc>
        <w:tc>
          <w:tcPr>
            <w:tcW w:w="122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NCT Identifier</w:t>
            </w:r>
          </w:p>
        </w:tc>
        <w:tc>
          <w:tcPr>
            <w:tcW w:w="48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color w:val="000000"/>
                <w:sz w:val="18"/>
                <w:szCs w:val="18"/>
                <w:lang w:val="it-IT" w:eastAsia="it-IT"/>
              </w:rPr>
            </w:pPr>
            <w:r w:rsidRPr="00A020ED">
              <w:rPr>
                <w:rFonts w:ascii="Calibri" w:hAnsi="Calibri" w:cs="Calibri"/>
                <w:b/>
                <w:bCs/>
                <w:color w:val="000000"/>
                <w:sz w:val="18"/>
                <w:szCs w:val="18"/>
                <w:lang w:val="it-IT" w:eastAsia="it-IT"/>
              </w:rPr>
              <w:t>R</w:t>
            </w:r>
          </w:p>
        </w:tc>
      </w:tr>
      <w:tr w:rsidR="00A020ED" w:rsidRPr="00A020ED" w:rsidTr="00D97F13">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Pilaralisib</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Advanced solid tumor</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SD: 27.7%. RP2D: 600 mg/daily</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2013</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2016</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Sanofi</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NCT01943838</w:t>
            </w:r>
          </w:p>
        </w:tc>
        <w:tc>
          <w:tcPr>
            <w:tcW w:w="480" w:type="dxa"/>
            <w:tcBorders>
              <w:top w:val="nil"/>
              <w:left w:val="nil"/>
              <w:bottom w:val="single" w:sz="4" w:space="0" w:color="auto"/>
              <w:right w:val="single" w:sz="4" w:space="0" w:color="auto"/>
            </w:tcBorders>
            <w:shd w:val="clear" w:color="auto" w:fill="auto"/>
            <w:noWrap/>
            <w:vAlign w:val="center"/>
          </w:tcPr>
          <w:p w:rsidR="00A020ED" w:rsidRPr="00A020ED" w:rsidRDefault="00CC6A7B" w:rsidP="00A020ED">
            <w:pPr>
              <w:suppressAutoHyphens w:val="0"/>
              <w:jc w:val="center"/>
              <w:rPr>
                <w:rFonts w:ascii="Calibri" w:hAnsi="Calibri" w:cs="Calibri"/>
                <w:color w:val="000000"/>
                <w:sz w:val="16"/>
                <w:szCs w:val="16"/>
                <w:lang w:val="it-IT" w:eastAsia="it-IT"/>
              </w:rPr>
            </w:pPr>
            <w:r>
              <w:rPr>
                <w:rFonts w:ascii="Calibri" w:hAnsi="Calibri" w:cs="Calibri"/>
                <w:color w:val="000000"/>
                <w:sz w:val="16"/>
                <w:szCs w:val="16"/>
                <w:lang w:val="it-IT" w:eastAsia="it-IT"/>
              </w:rPr>
              <w:t>61</w:t>
            </w:r>
          </w:p>
        </w:tc>
      </w:tr>
      <w:tr w:rsidR="00A020ED" w:rsidRPr="00A020ED" w:rsidTr="00D97F13">
        <w:trPr>
          <w:trHeight w:val="9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Pilaralisib</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Advanced solid tumor </w:t>
            </w:r>
          </w:p>
        </w:tc>
        <w:tc>
          <w:tcPr>
            <w:tcW w:w="28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PFS: 11.6% at 6 months; 40%-80% reduction in phosphorylation of AKT, S6, PRAS40, and 4EBP1. RP2D: 600 mg/once daily</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2007</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2013</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Sanofi</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NCT00486135</w:t>
            </w: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A020ED" w:rsidRPr="00A020ED" w:rsidRDefault="00CC6A7B" w:rsidP="00A020ED">
            <w:pPr>
              <w:suppressAutoHyphens w:val="0"/>
              <w:jc w:val="center"/>
              <w:rPr>
                <w:rFonts w:ascii="Calibri" w:hAnsi="Calibri" w:cs="Calibri"/>
                <w:color w:val="000000"/>
                <w:sz w:val="16"/>
                <w:szCs w:val="16"/>
                <w:lang w:val="it-IT" w:eastAsia="it-IT"/>
              </w:rPr>
            </w:pPr>
            <w:r>
              <w:rPr>
                <w:rFonts w:ascii="Calibri" w:hAnsi="Calibri" w:cs="Calibri"/>
                <w:color w:val="000000"/>
                <w:sz w:val="16"/>
                <w:szCs w:val="16"/>
                <w:lang w:val="it-IT" w:eastAsia="it-IT"/>
              </w:rPr>
              <w:t>62</w:t>
            </w:r>
          </w:p>
        </w:tc>
      </w:tr>
      <w:tr w:rsidR="00A020ED" w:rsidRPr="00A020ED" w:rsidTr="00D97F13">
        <w:trPr>
          <w:trHeight w:val="67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lastRenderedPageBreak/>
              <w:t>1</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Combination of pilaralisib with erlotinib</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Advanced solid tumor </w:t>
            </w:r>
          </w:p>
        </w:tc>
        <w:tc>
          <w:tcPr>
            <w:tcW w:w="28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PR: 3.7%, and SD: 51.9%. MTD: 400 mg/once daily</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2008</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Sanofi</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NCT00692640</w:t>
            </w: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A020ED" w:rsidRPr="00A020ED" w:rsidRDefault="00CC6A7B" w:rsidP="00A020ED">
            <w:pPr>
              <w:suppressAutoHyphens w:val="0"/>
              <w:jc w:val="center"/>
              <w:rPr>
                <w:rFonts w:ascii="Calibri" w:hAnsi="Calibri" w:cs="Calibri"/>
                <w:color w:val="000000"/>
                <w:sz w:val="16"/>
                <w:szCs w:val="16"/>
                <w:lang w:val="it-IT" w:eastAsia="it-IT"/>
              </w:rPr>
            </w:pPr>
            <w:r>
              <w:rPr>
                <w:rFonts w:ascii="Calibri" w:hAnsi="Calibri" w:cs="Calibri"/>
                <w:color w:val="000000"/>
                <w:sz w:val="16"/>
                <w:szCs w:val="16"/>
                <w:lang w:val="it-IT" w:eastAsia="it-IT"/>
              </w:rPr>
              <w:t>63</w:t>
            </w:r>
          </w:p>
        </w:tc>
      </w:tr>
      <w:tr w:rsidR="00A020ED" w:rsidRPr="00A020ED" w:rsidTr="00D97F13">
        <w:trPr>
          <w:trHeight w:val="112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Triple combination of pilaralisib with paclitaxel and carboplatin</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Advanced solid tumor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PR: 13.5%. MTD: 200 mg/once daily. Pilaralisib did not significantly enhance the antitumor activity of paclitaxel + carboplatin</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2008</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2013</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Sanofi</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NCT00756847</w:t>
            </w:r>
          </w:p>
        </w:tc>
        <w:tc>
          <w:tcPr>
            <w:tcW w:w="480" w:type="dxa"/>
            <w:tcBorders>
              <w:top w:val="nil"/>
              <w:left w:val="nil"/>
              <w:bottom w:val="single" w:sz="4" w:space="0" w:color="auto"/>
              <w:right w:val="single" w:sz="4" w:space="0" w:color="auto"/>
            </w:tcBorders>
            <w:shd w:val="clear" w:color="auto" w:fill="auto"/>
            <w:noWrap/>
            <w:vAlign w:val="center"/>
          </w:tcPr>
          <w:p w:rsidR="00A020ED" w:rsidRPr="00A020ED" w:rsidRDefault="00CC6A7B" w:rsidP="00A020ED">
            <w:pPr>
              <w:suppressAutoHyphens w:val="0"/>
              <w:jc w:val="center"/>
              <w:rPr>
                <w:rFonts w:ascii="Calibri" w:hAnsi="Calibri" w:cs="Calibri"/>
                <w:color w:val="000000"/>
                <w:sz w:val="16"/>
                <w:szCs w:val="16"/>
                <w:lang w:val="it-IT" w:eastAsia="it-IT"/>
              </w:rPr>
            </w:pPr>
            <w:r>
              <w:rPr>
                <w:rFonts w:ascii="Calibri" w:hAnsi="Calibri" w:cs="Calibri"/>
                <w:color w:val="000000"/>
                <w:sz w:val="16"/>
                <w:szCs w:val="16"/>
                <w:lang w:val="it-IT" w:eastAsia="it-IT"/>
              </w:rPr>
              <w:t>64</w:t>
            </w:r>
          </w:p>
        </w:tc>
      </w:tr>
      <w:tr w:rsidR="00A020ED" w:rsidRPr="00A020ED" w:rsidTr="00D97F13">
        <w:trPr>
          <w:trHeight w:val="18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1, 2</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Combination of pilaralisib with letrozole </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10249D"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 xml:space="preserve">HR+, </w:t>
            </w:r>
            <w:r w:rsidR="005F250C">
              <w:rPr>
                <w:rFonts w:ascii="Calibri" w:hAnsi="Calibri" w:cs="Calibri"/>
                <w:sz w:val="16"/>
                <w:szCs w:val="16"/>
                <w:lang w:val="it-IT" w:eastAsia="it-IT"/>
              </w:rPr>
              <w:t xml:space="preserve">HER2- </w:t>
            </w:r>
            <w:r w:rsidR="00A020ED" w:rsidRPr="00A020ED">
              <w:rPr>
                <w:rFonts w:ascii="Calibri" w:hAnsi="Calibri" w:cs="Calibri"/>
                <w:sz w:val="16"/>
                <w:szCs w:val="16"/>
                <w:lang w:val="it-IT" w:eastAsia="it-IT"/>
              </w:rPr>
              <w:t>metastatic breast cancer refractory to a non-steroidal aromatase inhibitor</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ORR: 4%; PFS rate at 6 months: 17%; PFS: 8 weeks; PR: 4%; SD: 41.7%; progressive disease: 45.8%. MTD: 400 mg/once daily</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2010</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2016</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Sanofi</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NCT01082068</w:t>
            </w:r>
          </w:p>
        </w:tc>
        <w:tc>
          <w:tcPr>
            <w:tcW w:w="480" w:type="dxa"/>
            <w:tcBorders>
              <w:top w:val="nil"/>
              <w:left w:val="nil"/>
              <w:bottom w:val="single" w:sz="4" w:space="0" w:color="auto"/>
              <w:right w:val="single" w:sz="4" w:space="0" w:color="auto"/>
            </w:tcBorders>
            <w:shd w:val="clear" w:color="auto" w:fill="auto"/>
            <w:noWrap/>
            <w:vAlign w:val="center"/>
          </w:tcPr>
          <w:p w:rsidR="00A020ED" w:rsidRPr="00A020ED" w:rsidRDefault="00CC6A7B" w:rsidP="00A020ED">
            <w:pPr>
              <w:suppressAutoHyphens w:val="0"/>
              <w:jc w:val="center"/>
              <w:rPr>
                <w:rFonts w:ascii="Calibri" w:hAnsi="Calibri" w:cs="Calibri"/>
                <w:color w:val="000000"/>
                <w:sz w:val="16"/>
                <w:szCs w:val="16"/>
                <w:lang w:val="it-IT" w:eastAsia="it-IT"/>
              </w:rPr>
            </w:pPr>
            <w:r>
              <w:rPr>
                <w:rFonts w:ascii="Calibri" w:hAnsi="Calibri" w:cs="Calibri"/>
                <w:color w:val="000000"/>
                <w:sz w:val="16"/>
                <w:szCs w:val="16"/>
                <w:lang w:val="it-IT" w:eastAsia="it-IT"/>
              </w:rPr>
              <w:t>65</w:t>
            </w:r>
          </w:p>
        </w:tc>
      </w:tr>
      <w:tr w:rsidR="00A020ED" w:rsidRPr="00A020ED" w:rsidTr="00D97F13">
        <w:trPr>
          <w:trHeight w:val="202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1, 2</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Combination of pilaralisib with trastuzumab ± paclitaxel</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2C5B26">
              <w:rPr>
                <w:rFonts w:ascii="Calibri" w:hAnsi="Calibri" w:cs="Calibri"/>
                <w:sz w:val="16"/>
                <w:szCs w:val="16"/>
                <w:lang w:val="it-IT" w:eastAsia="it-IT"/>
              </w:rPr>
              <w:t>Trast</w:t>
            </w:r>
            <w:r w:rsidR="00B93CE7" w:rsidRPr="002C5B26">
              <w:rPr>
                <w:rFonts w:ascii="Calibri" w:hAnsi="Calibri" w:cs="Calibri"/>
                <w:sz w:val="16"/>
                <w:szCs w:val="16"/>
                <w:lang w:val="it-IT" w:eastAsia="it-IT"/>
              </w:rPr>
              <w:t xml:space="preserve">uzumab-refractory HER2+ </w:t>
            </w:r>
            <w:r w:rsidRPr="002C5B26">
              <w:rPr>
                <w:rFonts w:ascii="Calibri" w:hAnsi="Calibri" w:cs="Calibri"/>
                <w:sz w:val="16"/>
                <w:szCs w:val="16"/>
                <w:lang w:val="it-IT" w:eastAsia="it-IT"/>
              </w:rPr>
              <w:t xml:space="preserve">metastatic breast cancer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PFS: 11 weeks (5.3% of patients showed PFS for more than 24 weeks) with pilaralisib + trastuzumab. PFS: 21.1 weeks (40% of patients showed PFS for more than 24 weeks), SD: 55%, and PR: 20%, with pilaralisib + trastuzumab + paclitaxel. MTD (for both combinations): 400 mg/once daily</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2010</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2016</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Sanofi</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NCT01042925</w:t>
            </w:r>
          </w:p>
        </w:tc>
        <w:tc>
          <w:tcPr>
            <w:tcW w:w="480" w:type="dxa"/>
            <w:tcBorders>
              <w:top w:val="nil"/>
              <w:left w:val="nil"/>
              <w:bottom w:val="single" w:sz="4" w:space="0" w:color="auto"/>
              <w:right w:val="single" w:sz="4" w:space="0" w:color="auto"/>
            </w:tcBorders>
            <w:shd w:val="clear" w:color="auto" w:fill="auto"/>
            <w:noWrap/>
            <w:vAlign w:val="center"/>
          </w:tcPr>
          <w:p w:rsidR="00A020ED" w:rsidRPr="00A020ED" w:rsidRDefault="00CC6A7B" w:rsidP="00A020ED">
            <w:pPr>
              <w:suppressAutoHyphens w:val="0"/>
              <w:jc w:val="center"/>
              <w:rPr>
                <w:rFonts w:ascii="Calibri" w:hAnsi="Calibri" w:cs="Calibri"/>
                <w:color w:val="000000"/>
                <w:sz w:val="16"/>
                <w:szCs w:val="16"/>
                <w:lang w:val="it-IT" w:eastAsia="it-IT"/>
              </w:rPr>
            </w:pPr>
            <w:r>
              <w:rPr>
                <w:rFonts w:ascii="Calibri" w:hAnsi="Calibri" w:cs="Calibri"/>
                <w:color w:val="000000"/>
                <w:sz w:val="16"/>
                <w:szCs w:val="16"/>
                <w:lang w:val="it-IT" w:eastAsia="it-IT"/>
              </w:rPr>
              <w:t>66</w:t>
            </w:r>
          </w:p>
        </w:tc>
      </w:tr>
      <w:tr w:rsidR="00A020ED" w:rsidRPr="00A020ED" w:rsidTr="00D97F13">
        <w:trPr>
          <w:trHeight w:val="9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Pilaralisib</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Previously treated advanced-stage endometrial carcinoma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ORR: 6%; 6-month PFS rate: 11.9%</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2009</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2016</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Sanofi</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NCT01013324</w:t>
            </w:r>
          </w:p>
        </w:tc>
        <w:tc>
          <w:tcPr>
            <w:tcW w:w="480" w:type="dxa"/>
            <w:tcBorders>
              <w:top w:val="nil"/>
              <w:left w:val="nil"/>
              <w:bottom w:val="single" w:sz="4" w:space="0" w:color="auto"/>
              <w:right w:val="single" w:sz="4" w:space="0" w:color="auto"/>
            </w:tcBorders>
            <w:shd w:val="clear" w:color="auto" w:fill="auto"/>
            <w:noWrap/>
            <w:vAlign w:val="center"/>
          </w:tcPr>
          <w:p w:rsidR="00A020ED" w:rsidRPr="00A020ED" w:rsidRDefault="00CC6A7B" w:rsidP="00A020ED">
            <w:pPr>
              <w:suppressAutoHyphens w:val="0"/>
              <w:jc w:val="center"/>
              <w:rPr>
                <w:rFonts w:ascii="Calibri" w:hAnsi="Calibri" w:cs="Calibri"/>
                <w:color w:val="000000"/>
                <w:sz w:val="16"/>
                <w:szCs w:val="16"/>
                <w:lang w:val="it-IT" w:eastAsia="it-IT"/>
              </w:rPr>
            </w:pPr>
            <w:r>
              <w:rPr>
                <w:rFonts w:ascii="Calibri" w:hAnsi="Calibri" w:cs="Calibri"/>
                <w:color w:val="000000"/>
                <w:sz w:val="16"/>
                <w:szCs w:val="16"/>
                <w:lang w:val="it-IT" w:eastAsia="it-IT"/>
              </w:rPr>
              <w:t>67</w:t>
            </w:r>
          </w:p>
        </w:tc>
      </w:tr>
      <w:tr w:rsidR="00A020ED" w:rsidRPr="00A020ED" w:rsidTr="00A020ED">
        <w:trPr>
          <w:trHeight w:val="300"/>
        </w:trPr>
        <w:tc>
          <w:tcPr>
            <w:tcW w:w="13060" w:type="dxa"/>
            <w:gridSpan w:val="13"/>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A020ED" w:rsidRPr="00A020ED" w:rsidRDefault="00A020ED" w:rsidP="00A020ED">
            <w:pPr>
              <w:suppressAutoHyphens w:val="0"/>
              <w:jc w:val="center"/>
              <w:rPr>
                <w:rFonts w:ascii="Calibri" w:hAnsi="Calibri" w:cs="Calibri"/>
                <w:b/>
                <w:bCs/>
                <w:sz w:val="20"/>
                <w:szCs w:val="20"/>
                <w:lang w:val="it-IT" w:eastAsia="it-IT"/>
              </w:rPr>
            </w:pPr>
            <w:r w:rsidRPr="00A020ED">
              <w:rPr>
                <w:rFonts w:ascii="Calibri" w:hAnsi="Calibri" w:cs="Calibri"/>
                <w:b/>
                <w:bCs/>
                <w:sz w:val="20"/>
                <w:szCs w:val="20"/>
                <w:lang w:val="it-IT" w:eastAsia="it-IT"/>
              </w:rPr>
              <w:t xml:space="preserve">Sonolisib </w:t>
            </w:r>
            <w:r w:rsidRPr="00A020ED">
              <w:rPr>
                <w:rFonts w:ascii="Calibri" w:hAnsi="Calibri" w:cs="Calibri"/>
                <w:sz w:val="20"/>
                <w:szCs w:val="20"/>
                <w:lang w:val="it-IT" w:eastAsia="it-IT"/>
              </w:rPr>
              <w:t>(PX-866)</w:t>
            </w:r>
          </w:p>
        </w:tc>
      </w:tr>
      <w:tr w:rsidR="00A020ED" w:rsidRPr="00A020ED" w:rsidTr="00A020ED">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Phase</w:t>
            </w:r>
          </w:p>
        </w:tc>
        <w:tc>
          <w:tcPr>
            <w:tcW w:w="142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Treatment</w:t>
            </w:r>
          </w:p>
        </w:tc>
        <w:tc>
          <w:tcPr>
            <w:tcW w:w="148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Disease</w:t>
            </w:r>
          </w:p>
        </w:tc>
        <w:tc>
          <w:tcPr>
            <w:tcW w:w="28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Outcome</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ISP</w:t>
            </w:r>
          </w:p>
        </w:tc>
        <w:tc>
          <w:tcPr>
            <w:tcW w:w="56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Status</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FP</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RFP</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LUP</w:t>
            </w:r>
          </w:p>
        </w:tc>
        <w:tc>
          <w:tcPr>
            <w:tcW w:w="1280" w:type="dxa"/>
            <w:tcBorders>
              <w:top w:val="nil"/>
              <w:left w:val="nil"/>
              <w:bottom w:val="nil"/>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Sponsor</w:t>
            </w:r>
          </w:p>
        </w:tc>
        <w:tc>
          <w:tcPr>
            <w:tcW w:w="1280" w:type="dxa"/>
            <w:tcBorders>
              <w:top w:val="nil"/>
              <w:left w:val="nil"/>
              <w:bottom w:val="nil"/>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Collaborator</w:t>
            </w:r>
          </w:p>
        </w:tc>
        <w:tc>
          <w:tcPr>
            <w:tcW w:w="122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NCT Identifier</w:t>
            </w:r>
          </w:p>
        </w:tc>
        <w:tc>
          <w:tcPr>
            <w:tcW w:w="48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color w:val="000000"/>
                <w:sz w:val="18"/>
                <w:szCs w:val="18"/>
                <w:lang w:val="it-IT" w:eastAsia="it-IT"/>
              </w:rPr>
            </w:pPr>
            <w:r w:rsidRPr="00A020ED">
              <w:rPr>
                <w:rFonts w:ascii="Calibri" w:hAnsi="Calibri" w:cs="Calibri"/>
                <w:b/>
                <w:bCs/>
                <w:color w:val="000000"/>
                <w:sz w:val="18"/>
                <w:szCs w:val="18"/>
                <w:lang w:val="it-IT" w:eastAsia="it-IT"/>
              </w:rPr>
              <w:t>R</w:t>
            </w:r>
          </w:p>
        </w:tc>
      </w:tr>
      <w:tr w:rsidR="00A020ED" w:rsidRPr="00A020ED" w:rsidTr="00D91AF8">
        <w:trPr>
          <w:trHeight w:val="112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Sonolisib</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Advanced solid tumour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SD: 53% (continuous schedule), and SD: 22% (intermittent schedule). MTD: 8 mg/once daily (continuous schedule), and 12 mg/once daily (intermittent schedule)</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2008</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2018</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Cascadian Therapeutics, Inc</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NCT00726583</w:t>
            </w:r>
          </w:p>
        </w:tc>
        <w:tc>
          <w:tcPr>
            <w:tcW w:w="480" w:type="dxa"/>
            <w:tcBorders>
              <w:top w:val="nil"/>
              <w:left w:val="nil"/>
              <w:bottom w:val="single" w:sz="4" w:space="0" w:color="auto"/>
              <w:right w:val="single" w:sz="4" w:space="0" w:color="auto"/>
            </w:tcBorders>
            <w:shd w:val="clear" w:color="auto" w:fill="auto"/>
            <w:noWrap/>
            <w:vAlign w:val="center"/>
          </w:tcPr>
          <w:p w:rsidR="00A020ED" w:rsidRPr="00A020ED" w:rsidRDefault="00D91AF8" w:rsidP="00A020ED">
            <w:pPr>
              <w:suppressAutoHyphens w:val="0"/>
              <w:jc w:val="center"/>
              <w:rPr>
                <w:rFonts w:ascii="Calibri" w:hAnsi="Calibri" w:cs="Calibri"/>
                <w:color w:val="000000"/>
                <w:sz w:val="16"/>
                <w:szCs w:val="16"/>
                <w:lang w:val="it-IT" w:eastAsia="it-IT"/>
              </w:rPr>
            </w:pPr>
            <w:r>
              <w:rPr>
                <w:rFonts w:ascii="Calibri" w:hAnsi="Calibri" w:cs="Calibri"/>
                <w:color w:val="000000"/>
                <w:sz w:val="16"/>
                <w:szCs w:val="16"/>
                <w:lang w:val="it-IT" w:eastAsia="it-IT"/>
              </w:rPr>
              <w:t>72</w:t>
            </w:r>
          </w:p>
        </w:tc>
      </w:tr>
      <w:tr w:rsidR="00A020ED" w:rsidRPr="00A020ED" w:rsidTr="00D91AF8">
        <w:trPr>
          <w:trHeight w:val="67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Combination of sonolisib with docetaxel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Advanced solid tumour </w:t>
            </w:r>
          </w:p>
        </w:tc>
        <w:tc>
          <w:tcPr>
            <w:tcW w:w="28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PR: 4.6%</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2010</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2018</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Cascadian Therapeutics, Inc</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single" w:sz="4" w:space="0" w:color="auto"/>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NCT01204099</w:t>
            </w: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A020ED" w:rsidRPr="00A020ED" w:rsidRDefault="00D91AF8" w:rsidP="00A020ED">
            <w:pPr>
              <w:suppressAutoHyphens w:val="0"/>
              <w:jc w:val="center"/>
              <w:rPr>
                <w:rFonts w:ascii="Calibri" w:hAnsi="Calibri" w:cs="Calibri"/>
                <w:color w:val="000000"/>
                <w:sz w:val="16"/>
                <w:szCs w:val="16"/>
                <w:lang w:val="it-IT" w:eastAsia="it-IT"/>
              </w:rPr>
            </w:pPr>
            <w:r>
              <w:rPr>
                <w:rFonts w:ascii="Calibri" w:hAnsi="Calibri" w:cs="Calibri"/>
                <w:color w:val="000000"/>
                <w:sz w:val="16"/>
                <w:szCs w:val="16"/>
                <w:lang w:val="it-IT" w:eastAsia="it-IT"/>
              </w:rPr>
              <w:t>73</w:t>
            </w:r>
          </w:p>
        </w:tc>
      </w:tr>
      <w:tr w:rsidR="00A020ED" w:rsidRPr="00A020ED" w:rsidTr="00D91AF8">
        <w:trPr>
          <w:trHeight w:val="9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lastRenderedPageBreak/>
              <w:t>2</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Sonolisib</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Glioblastoma multiforme at time of first relapse or progression</w:t>
            </w:r>
          </w:p>
        </w:tc>
        <w:tc>
          <w:tcPr>
            <w:tcW w:w="28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SD: 21%; PFS: 17% at 6 months</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2010</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2020</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2020</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NCIC Clinical Trials Group</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Cascadian Therapeutics, Inc</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NCT01259869</w:t>
            </w: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A020ED" w:rsidRPr="00A020ED" w:rsidRDefault="00D91AF8" w:rsidP="00A020ED">
            <w:pPr>
              <w:suppressAutoHyphens w:val="0"/>
              <w:jc w:val="center"/>
              <w:rPr>
                <w:rFonts w:ascii="Calibri" w:hAnsi="Calibri" w:cs="Calibri"/>
                <w:color w:val="000000"/>
                <w:sz w:val="16"/>
                <w:szCs w:val="16"/>
                <w:lang w:val="it-IT" w:eastAsia="it-IT"/>
              </w:rPr>
            </w:pPr>
            <w:r>
              <w:rPr>
                <w:rFonts w:ascii="Calibri" w:hAnsi="Calibri" w:cs="Calibri"/>
                <w:color w:val="000000"/>
                <w:sz w:val="16"/>
                <w:szCs w:val="16"/>
                <w:lang w:val="it-IT" w:eastAsia="it-IT"/>
              </w:rPr>
              <w:t>74</w:t>
            </w:r>
          </w:p>
        </w:tc>
      </w:tr>
      <w:tr w:rsidR="00A020ED" w:rsidRPr="00A020ED" w:rsidTr="00A020ED">
        <w:trPr>
          <w:trHeight w:val="112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Sonolisib</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Recurrent or metastatic castration-resistant prostate cancer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PFS: 33% at 12 weeks; PR: 14.2%; confirmed prostate-specific antigen (PSA) response: 7.1%</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2011</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2020</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2020</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NCIC Clinical Trials Group</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Oncothyreon Canada, Inc</w:t>
            </w:r>
          </w:p>
        </w:tc>
        <w:tc>
          <w:tcPr>
            <w:tcW w:w="12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NCT01331083</w:t>
            </w:r>
          </w:p>
        </w:tc>
        <w:tc>
          <w:tcPr>
            <w:tcW w:w="480" w:type="dxa"/>
            <w:tcBorders>
              <w:top w:val="nil"/>
              <w:left w:val="nil"/>
              <w:bottom w:val="single" w:sz="4" w:space="0" w:color="auto"/>
              <w:right w:val="single" w:sz="4" w:space="0" w:color="auto"/>
            </w:tcBorders>
            <w:shd w:val="clear" w:color="auto" w:fill="auto"/>
            <w:noWrap/>
            <w:vAlign w:val="center"/>
            <w:hideMark/>
          </w:tcPr>
          <w:p w:rsidR="00A020ED" w:rsidRPr="00A020ED" w:rsidRDefault="00D91AF8" w:rsidP="00A020ED">
            <w:pPr>
              <w:suppressAutoHyphens w:val="0"/>
              <w:jc w:val="center"/>
              <w:rPr>
                <w:rFonts w:ascii="Calibri" w:hAnsi="Calibri" w:cs="Calibri"/>
                <w:color w:val="000000"/>
                <w:sz w:val="16"/>
                <w:szCs w:val="16"/>
                <w:lang w:val="it-IT" w:eastAsia="it-IT"/>
              </w:rPr>
            </w:pPr>
            <w:r>
              <w:rPr>
                <w:rFonts w:ascii="Calibri" w:hAnsi="Calibri" w:cs="Calibri"/>
                <w:color w:val="000000"/>
                <w:sz w:val="16"/>
                <w:szCs w:val="16"/>
                <w:lang w:val="it-IT" w:eastAsia="it-IT"/>
              </w:rPr>
              <w:t>75</w:t>
            </w:r>
          </w:p>
        </w:tc>
      </w:tr>
      <w:tr w:rsidR="00A020ED" w:rsidRPr="00A020ED" w:rsidTr="00A020ED">
        <w:trPr>
          <w:trHeight w:val="300"/>
        </w:trPr>
        <w:tc>
          <w:tcPr>
            <w:tcW w:w="13060" w:type="dxa"/>
            <w:gridSpan w:val="13"/>
            <w:tcBorders>
              <w:top w:val="single" w:sz="4" w:space="0" w:color="auto"/>
              <w:left w:val="single" w:sz="4" w:space="0" w:color="auto"/>
              <w:bottom w:val="single" w:sz="4" w:space="0" w:color="auto"/>
              <w:right w:val="single" w:sz="4" w:space="0" w:color="000000"/>
            </w:tcBorders>
            <w:shd w:val="clear" w:color="000000" w:fill="000000"/>
            <w:noWrap/>
            <w:vAlign w:val="center"/>
            <w:hideMark/>
          </w:tcPr>
          <w:p w:rsidR="00A020ED" w:rsidRPr="00A020ED" w:rsidRDefault="00A020ED" w:rsidP="00A020ED">
            <w:pPr>
              <w:suppressAutoHyphens w:val="0"/>
              <w:jc w:val="center"/>
              <w:rPr>
                <w:rFonts w:ascii="Calibri" w:hAnsi="Calibri" w:cs="Calibri"/>
                <w:b/>
                <w:bCs/>
                <w:color w:val="FFFFFF"/>
                <w:sz w:val="22"/>
                <w:szCs w:val="22"/>
                <w:lang w:val="it-IT" w:eastAsia="it-IT"/>
              </w:rPr>
            </w:pPr>
            <w:r w:rsidRPr="00A020ED">
              <w:rPr>
                <w:rFonts w:ascii="Calibri" w:hAnsi="Calibri" w:cs="Calibri"/>
                <w:b/>
                <w:bCs/>
                <w:color w:val="FFFFFF"/>
                <w:sz w:val="22"/>
                <w:szCs w:val="22"/>
                <w:lang w:val="it-IT" w:eastAsia="it-IT"/>
              </w:rPr>
              <w:t>ISOFORM SPECIFIC-PI3K INHIBITORS</w:t>
            </w:r>
          </w:p>
        </w:tc>
      </w:tr>
      <w:tr w:rsidR="00A020ED" w:rsidRPr="00A020ED" w:rsidTr="00A020ED">
        <w:trPr>
          <w:trHeight w:val="255"/>
        </w:trPr>
        <w:tc>
          <w:tcPr>
            <w:tcW w:w="13060" w:type="dxa"/>
            <w:gridSpan w:val="13"/>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A020ED" w:rsidRPr="00A020ED" w:rsidRDefault="00A020ED" w:rsidP="00A020ED">
            <w:pPr>
              <w:suppressAutoHyphens w:val="0"/>
              <w:jc w:val="center"/>
              <w:rPr>
                <w:rFonts w:ascii="Calibri" w:hAnsi="Calibri" w:cs="Calibri"/>
                <w:b/>
                <w:bCs/>
                <w:sz w:val="20"/>
                <w:szCs w:val="20"/>
                <w:lang w:val="it-IT" w:eastAsia="it-IT"/>
              </w:rPr>
            </w:pPr>
            <w:r w:rsidRPr="00A020ED">
              <w:rPr>
                <w:rFonts w:ascii="Calibri" w:hAnsi="Calibri" w:cs="Calibri"/>
                <w:b/>
                <w:bCs/>
                <w:sz w:val="20"/>
                <w:szCs w:val="20"/>
                <w:lang w:val="it-IT" w:eastAsia="it-IT"/>
              </w:rPr>
              <w:t xml:space="preserve">Alpelisib </w:t>
            </w:r>
            <w:r w:rsidRPr="00A020ED">
              <w:rPr>
                <w:rFonts w:ascii="Calibri" w:hAnsi="Calibri" w:cs="Calibri"/>
                <w:sz w:val="20"/>
                <w:szCs w:val="20"/>
                <w:lang w:val="it-IT" w:eastAsia="it-IT"/>
              </w:rPr>
              <w:t>(BYL719, Piqray) [PI3Kα Inhibitor]</w:t>
            </w:r>
          </w:p>
        </w:tc>
      </w:tr>
      <w:tr w:rsidR="00A020ED" w:rsidRPr="00A020ED" w:rsidTr="00A020ED">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Phase</w:t>
            </w:r>
          </w:p>
        </w:tc>
        <w:tc>
          <w:tcPr>
            <w:tcW w:w="142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Treatment</w:t>
            </w:r>
          </w:p>
        </w:tc>
        <w:tc>
          <w:tcPr>
            <w:tcW w:w="148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Disease</w:t>
            </w:r>
          </w:p>
        </w:tc>
        <w:tc>
          <w:tcPr>
            <w:tcW w:w="28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Outcome</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ISP</w:t>
            </w:r>
          </w:p>
        </w:tc>
        <w:tc>
          <w:tcPr>
            <w:tcW w:w="56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Status</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FP</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RFP</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LUP</w:t>
            </w:r>
          </w:p>
        </w:tc>
        <w:tc>
          <w:tcPr>
            <w:tcW w:w="1280" w:type="dxa"/>
            <w:tcBorders>
              <w:top w:val="nil"/>
              <w:left w:val="nil"/>
              <w:bottom w:val="nil"/>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Sponsor</w:t>
            </w:r>
          </w:p>
        </w:tc>
        <w:tc>
          <w:tcPr>
            <w:tcW w:w="1280" w:type="dxa"/>
            <w:tcBorders>
              <w:top w:val="nil"/>
              <w:left w:val="nil"/>
              <w:bottom w:val="nil"/>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Collaborator</w:t>
            </w:r>
          </w:p>
        </w:tc>
        <w:tc>
          <w:tcPr>
            <w:tcW w:w="122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NCT Identifier</w:t>
            </w:r>
          </w:p>
        </w:tc>
        <w:tc>
          <w:tcPr>
            <w:tcW w:w="48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color w:val="000000"/>
                <w:sz w:val="18"/>
                <w:szCs w:val="18"/>
                <w:lang w:val="it-IT" w:eastAsia="it-IT"/>
              </w:rPr>
            </w:pPr>
            <w:r w:rsidRPr="00A020ED">
              <w:rPr>
                <w:rFonts w:ascii="Calibri" w:hAnsi="Calibri" w:cs="Calibri"/>
                <w:b/>
                <w:bCs/>
                <w:color w:val="000000"/>
                <w:sz w:val="18"/>
                <w:szCs w:val="18"/>
                <w:lang w:val="it-IT" w:eastAsia="it-IT"/>
              </w:rPr>
              <w:t>R</w:t>
            </w:r>
          </w:p>
        </w:tc>
      </w:tr>
      <w:tr w:rsidR="00A020ED" w:rsidRPr="00A020ED" w:rsidTr="009A3FBC">
        <w:trPr>
          <w:trHeight w:val="67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Alpelisib </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PIK3CA-altered advanced solid tumor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SD: 52.2%; PR: 5.2%; CR: 0.7%. MTD: 400 mg/daily, and 150 mg/twice daily</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2010</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2020</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Novartis</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NCT01219699</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A020ED" w:rsidRDefault="00A72556" w:rsidP="00A020ED">
            <w:pPr>
              <w:suppressAutoHyphens w:val="0"/>
              <w:jc w:val="center"/>
              <w:rPr>
                <w:rFonts w:ascii="Calibri" w:hAnsi="Calibri" w:cs="Calibri"/>
                <w:color w:val="000000"/>
                <w:sz w:val="16"/>
                <w:szCs w:val="16"/>
                <w:lang w:val="it-IT" w:eastAsia="it-IT"/>
              </w:rPr>
            </w:pPr>
            <w:r>
              <w:rPr>
                <w:rFonts w:ascii="Calibri" w:hAnsi="Calibri" w:cs="Calibri"/>
                <w:color w:val="000000"/>
                <w:sz w:val="16"/>
                <w:szCs w:val="16"/>
                <w:lang w:val="it-IT" w:eastAsia="it-IT"/>
              </w:rPr>
              <w:t>85</w:t>
            </w:r>
          </w:p>
        </w:tc>
      </w:tr>
      <w:tr w:rsidR="00A020ED" w:rsidRPr="00A020ED" w:rsidTr="009A3FBC">
        <w:trPr>
          <w:trHeight w:val="9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Alpelisib </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Advanced solid tumor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ORR: 3%; DCR: 57.6%; PFS: 3.4 months. Reduction of pAKT, pS6 and p4EBP1 in skin biopsy. RP2D: 350 mg/daily</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2011</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2020</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Novartis</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NCT01387321</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A020ED" w:rsidRDefault="00A72556" w:rsidP="00A020ED">
            <w:pPr>
              <w:suppressAutoHyphens w:val="0"/>
              <w:jc w:val="center"/>
              <w:rPr>
                <w:rFonts w:ascii="Calibri" w:hAnsi="Calibri" w:cs="Calibri"/>
                <w:color w:val="000000"/>
                <w:sz w:val="16"/>
                <w:szCs w:val="16"/>
                <w:lang w:val="it-IT" w:eastAsia="it-IT"/>
              </w:rPr>
            </w:pPr>
            <w:r>
              <w:rPr>
                <w:rFonts w:ascii="Calibri" w:hAnsi="Calibri" w:cs="Calibri"/>
                <w:color w:val="000000"/>
                <w:sz w:val="16"/>
                <w:szCs w:val="16"/>
                <w:lang w:val="it-IT" w:eastAsia="it-IT"/>
              </w:rPr>
              <w:t>86</w:t>
            </w:r>
          </w:p>
        </w:tc>
      </w:tr>
      <w:tr w:rsidR="00A020ED" w:rsidRPr="00A020ED" w:rsidTr="009A3FBC">
        <w:trPr>
          <w:trHeight w:val="9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Combination of alpelisib with trastuzumab-emtansine</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HER2+ metastatic breast cancer after trastuzumab and taxane therapy</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PFS: 6 months; Median follow-up: 11.6 months. MTD: 250 mg/daily </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2014</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2020</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2020</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Northwestern University</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Novartis, and National Cancer Institute (NCI)</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NCT02038010</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A020ED" w:rsidRDefault="00A72556" w:rsidP="00A020ED">
            <w:pPr>
              <w:suppressAutoHyphens w:val="0"/>
              <w:jc w:val="center"/>
              <w:rPr>
                <w:rFonts w:ascii="Calibri" w:hAnsi="Calibri" w:cs="Calibri"/>
                <w:color w:val="000000"/>
                <w:sz w:val="16"/>
                <w:szCs w:val="16"/>
                <w:lang w:val="it-IT" w:eastAsia="it-IT"/>
              </w:rPr>
            </w:pPr>
            <w:r>
              <w:rPr>
                <w:rFonts w:ascii="Calibri" w:hAnsi="Calibri" w:cs="Calibri"/>
                <w:color w:val="000000"/>
                <w:sz w:val="16"/>
                <w:szCs w:val="16"/>
                <w:lang w:val="it-IT" w:eastAsia="it-IT"/>
              </w:rPr>
              <w:t>87</w:t>
            </w:r>
          </w:p>
        </w:tc>
      </w:tr>
      <w:tr w:rsidR="00A020ED" w:rsidRPr="00A020ED" w:rsidTr="009A3FBC">
        <w:trPr>
          <w:trHeight w:val="157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Triple combination of alpelisib with trastuzumab and LJM716</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PIK3CA-mutated HER2+ metastatic breast cancer</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PR: 5.8%, and SD: 82.3%. MTD: 350 mg (4 days on and 3 days off). </w:t>
            </w:r>
            <w:proofErr w:type="gramStart"/>
            <w:r w:rsidRPr="00A020ED">
              <w:rPr>
                <w:rFonts w:ascii="Calibri" w:hAnsi="Calibri" w:cs="Calibri"/>
                <w:sz w:val="16"/>
                <w:szCs w:val="16"/>
                <w:lang w:val="it-IT" w:eastAsia="it-IT"/>
              </w:rPr>
              <w:t>mRNA</w:t>
            </w:r>
            <w:proofErr w:type="gramEnd"/>
            <w:r w:rsidR="00583D8B">
              <w:rPr>
                <w:rFonts w:ascii="Calibri" w:hAnsi="Calibri" w:cs="Calibri"/>
                <w:sz w:val="16"/>
                <w:szCs w:val="16"/>
                <w:lang w:val="it-IT" w:eastAsia="it-IT"/>
              </w:rPr>
              <w:t xml:space="preserve"> </w:t>
            </w:r>
            <w:bookmarkStart w:id="0" w:name="_GoBack"/>
            <w:bookmarkEnd w:id="0"/>
            <w:r w:rsidRPr="00A020ED">
              <w:rPr>
                <w:rFonts w:ascii="Calibri" w:hAnsi="Calibri" w:cs="Calibri"/>
                <w:sz w:val="16"/>
                <w:szCs w:val="16"/>
                <w:lang w:val="it-IT" w:eastAsia="it-IT"/>
              </w:rPr>
              <w:t>profiling of pre- and on-treatment tissue demonstrated PIK3CA target engagement via induction of downstream signaling and feedback pathways</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2014</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2021</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Memorial Sloan Kettering Cancer Center</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Novartis</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NCT02167854</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A020ED" w:rsidRDefault="00A72556" w:rsidP="00A020ED">
            <w:pPr>
              <w:suppressAutoHyphens w:val="0"/>
              <w:jc w:val="center"/>
              <w:rPr>
                <w:rFonts w:ascii="Calibri" w:hAnsi="Calibri" w:cs="Calibri"/>
                <w:color w:val="000000"/>
                <w:sz w:val="16"/>
                <w:szCs w:val="16"/>
                <w:lang w:val="it-IT" w:eastAsia="it-IT"/>
              </w:rPr>
            </w:pPr>
            <w:r>
              <w:rPr>
                <w:rFonts w:ascii="Calibri" w:hAnsi="Calibri" w:cs="Calibri"/>
                <w:color w:val="000000"/>
                <w:sz w:val="16"/>
                <w:szCs w:val="16"/>
                <w:lang w:val="it-IT" w:eastAsia="it-IT"/>
              </w:rPr>
              <w:t>88</w:t>
            </w:r>
          </w:p>
        </w:tc>
      </w:tr>
      <w:tr w:rsidR="00A020ED" w:rsidRPr="00A020ED" w:rsidTr="009A3FBC">
        <w:trPr>
          <w:trHeight w:val="202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1b</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Combination of alpelisib with fulvestrant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Advanced ER+ breast cancer </w:t>
            </w:r>
          </w:p>
        </w:tc>
        <w:tc>
          <w:tcPr>
            <w:tcW w:w="28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PFS: 5.4 months. PFS with alpelisib (300 mg to 400 mg/once daily) + fulvestrant was prolonged in PIK3CA-mutated cancer (9.1 months) vs wild type cancer (4.7 months). ORR: 29% in the PIK3CA-mutated cancer vs no objective cancer responses in wild-type cancer. MTD: 400 mg/once daily. RP2D: 300 mg/once daily</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2010</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2020</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Novartis</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single" w:sz="4" w:space="0" w:color="auto"/>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NCT01219699</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20ED" w:rsidRPr="00A020ED" w:rsidRDefault="00A72556" w:rsidP="00A020ED">
            <w:pPr>
              <w:suppressAutoHyphens w:val="0"/>
              <w:jc w:val="center"/>
              <w:rPr>
                <w:rFonts w:ascii="Calibri" w:hAnsi="Calibri" w:cs="Calibri"/>
                <w:color w:val="000000"/>
                <w:sz w:val="16"/>
                <w:szCs w:val="16"/>
                <w:lang w:val="it-IT" w:eastAsia="it-IT"/>
              </w:rPr>
            </w:pPr>
            <w:r>
              <w:rPr>
                <w:rFonts w:ascii="Calibri" w:hAnsi="Calibri" w:cs="Calibri"/>
                <w:color w:val="000000"/>
                <w:sz w:val="16"/>
                <w:szCs w:val="16"/>
                <w:lang w:val="it-IT" w:eastAsia="it-IT"/>
              </w:rPr>
              <w:t>89</w:t>
            </w:r>
          </w:p>
        </w:tc>
      </w:tr>
      <w:tr w:rsidR="00A020ED" w:rsidRPr="00A020ED" w:rsidTr="009A3FBC">
        <w:trPr>
          <w:trHeight w:val="135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lastRenderedPageBreak/>
              <w:t>1b</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Combination of alpelisib with letrozole</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ER+, HER2- metastatic breast cancer resistant to endocrine therapy</w:t>
            </w:r>
          </w:p>
        </w:tc>
        <w:tc>
          <w:tcPr>
            <w:tcW w:w="28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Anticancer activity: 44% on PIK3CA-mutated cancer, and 20% in PIK3CA wild-type cancer. PR or SD lasting ≥6 m</w:t>
            </w:r>
            <w:r w:rsidR="00E938AF">
              <w:rPr>
                <w:rFonts w:ascii="Calibri" w:hAnsi="Calibri" w:cs="Calibri"/>
                <w:sz w:val="16"/>
                <w:szCs w:val="16"/>
                <w:lang w:val="it-IT" w:eastAsia="it-IT"/>
              </w:rPr>
              <w:t>onths in 80% of PIK3CA (H1047</w:t>
            </w:r>
            <w:proofErr w:type="gramStart"/>
            <w:r w:rsidR="00E938AF">
              <w:rPr>
                <w:rFonts w:ascii="Calibri" w:hAnsi="Calibri" w:cs="Calibri"/>
                <w:sz w:val="16"/>
                <w:szCs w:val="16"/>
                <w:lang w:val="it-IT" w:eastAsia="it-IT"/>
              </w:rPr>
              <w:t>R)-</w:t>
            </w:r>
            <w:proofErr w:type="gramEnd"/>
            <w:r w:rsidRPr="00A020ED">
              <w:rPr>
                <w:rFonts w:ascii="Calibri" w:hAnsi="Calibri" w:cs="Calibri"/>
                <w:sz w:val="16"/>
                <w:szCs w:val="16"/>
                <w:lang w:val="it-IT" w:eastAsia="it-IT"/>
              </w:rPr>
              <w:t>mutated cancers, and in 28% of PIK3CA exon 9-mutated cancer</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 NR</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2013</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Vanderbilt-Ingram Cancer Center</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National Cancer Institute (NCI)</w:t>
            </w:r>
          </w:p>
        </w:tc>
        <w:tc>
          <w:tcPr>
            <w:tcW w:w="1220" w:type="dxa"/>
            <w:tcBorders>
              <w:top w:val="single" w:sz="4" w:space="0" w:color="auto"/>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NCT01791478</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20ED" w:rsidRPr="00A020ED" w:rsidRDefault="00A72556" w:rsidP="00A020ED">
            <w:pPr>
              <w:suppressAutoHyphens w:val="0"/>
              <w:jc w:val="center"/>
              <w:rPr>
                <w:rFonts w:ascii="Calibri" w:hAnsi="Calibri" w:cs="Calibri"/>
                <w:color w:val="000000"/>
                <w:sz w:val="16"/>
                <w:szCs w:val="16"/>
                <w:lang w:val="it-IT" w:eastAsia="it-IT"/>
              </w:rPr>
            </w:pPr>
            <w:r>
              <w:rPr>
                <w:rFonts w:ascii="Calibri" w:hAnsi="Calibri" w:cs="Calibri"/>
                <w:color w:val="000000"/>
                <w:sz w:val="16"/>
                <w:szCs w:val="16"/>
                <w:lang w:val="it-IT" w:eastAsia="it-IT"/>
              </w:rPr>
              <w:t>90</w:t>
            </w:r>
          </w:p>
        </w:tc>
      </w:tr>
      <w:tr w:rsidR="00A020ED" w:rsidRPr="00A020ED" w:rsidTr="009A3FBC">
        <w:trPr>
          <w:trHeight w:val="67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1b</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Combination of alpelisib with olaparib </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Advanced triple-negative breast cancer</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ORR: 18%, and DOR: 7.4 months</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2012</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2021</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Dana-Farber Cancer Institute</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Novartis, and AstraZeneca</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NCT01623349</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A020ED" w:rsidRDefault="00A72556" w:rsidP="00A020ED">
            <w:pPr>
              <w:suppressAutoHyphens w:val="0"/>
              <w:jc w:val="center"/>
              <w:rPr>
                <w:rFonts w:ascii="Calibri" w:hAnsi="Calibri" w:cs="Calibri"/>
                <w:color w:val="000000"/>
                <w:sz w:val="16"/>
                <w:szCs w:val="16"/>
                <w:lang w:val="it-IT" w:eastAsia="it-IT"/>
              </w:rPr>
            </w:pPr>
            <w:r>
              <w:rPr>
                <w:rFonts w:ascii="Calibri" w:hAnsi="Calibri" w:cs="Calibri"/>
                <w:color w:val="000000"/>
                <w:sz w:val="16"/>
                <w:szCs w:val="16"/>
                <w:lang w:val="it-IT" w:eastAsia="it-IT"/>
              </w:rPr>
              <w:t>91</w:t>
            </w:r>
          </w:p>
        </w:tc>
      </w:tr>
      <w:tr w:rsidR="00A020ED" w:rsidRPr="00A020ED" w:rsidTr="009A3FBC">
        <w:trPr>
          <w:trHeight w:val="67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1b</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Combination of alpelisib with olaparib</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Epithelial ovarian cancer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PR: 36%; SD: 50%. MTD and RP2D: 200 mg/once daily </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2012</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2021</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Dana-Farber Cancer Institute</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Novartis, and AstraZeneca</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NCT01623349</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A020ED" w:rsidRDefault="00A72556" w:rsidP="00A020ED">
            <w:pPr>
              <w:suppressAutoHyphens w:val="0"/>
              <w:jc w:val="center"/>
              <w:rPr>
                <w:rFonts w:ascii="Calibri" w:hAnsi="Calibri" w:cs="Calibri"/>
                <w:color w:val="000000"/>
                <w:sz w:val="16"/>
                <w:szCs w:val="16"/>
                <w:lang w:val="it-IT" w:eastAsia="it-IT"/>
              </w:rPr>
            </w:pPr>
            <w:r>
              <w:rPr>
                <w:rFonts w:ascii="Calibri" w:hAnsi="Calibri" w:cs="Calibri"/>
                <w:color w:val="000000"/>
                <w:sz w:val="16"/>
                <w:szCs w:val="16"/>
                <w:lang w:val="it-IT" w:eastAsia="it-IT"/>
              </w:rPr>
              <w:t>92</w:t>
            </w:r>
          </w:p>
        </w:tc>
      </w:tr>
      <w:tr w:rsidR="00A020ED" w:rsidRPr="00A020ED" w:rsidTr="009A3FBC">
        <w:trPr>
          <w:trHeight w:val="9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1b</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Combination of alpelisib with imatinib</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Advanced gastrointestinal stromal tumor</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PR: 2.9%, and SD: 42.9%. PFS: 2 months. MTD: 350 mg/once daily for alpelisib when used in combination with 400 mg/once daily imatinib</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2012</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2020</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Novartis Pharmaceuticals</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NCT01735968</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A020ED" w:rsidRDefault="00A72556" w:rsidP="00A020ED">
            <w:pPr>
              <w:suppressAutoHyphens w:val="0"/>
              <w:jc w:val="center"/>
              <w:rPr>
                <w:rFonts w:ascii="Calibri" w:hAnsi="Calibri" w:cs="Calibri"/>
                <w:color w:val="000000"/>
                <w:sz w:val="16"/>
                <w:szCs w:val="16"/>
                <w:lang w:val="it-IT" w:eastAsia="it-IT"/>
              </w:rPr>
            </w:pPr>
            <w:r>
              <w:rPr>
                <w:rFonts w:ascii="Calibri" w:hAnsi="Calibri" w:cs="Calibri"/>
                <w:color w:val="000000"/>
                <w:sz w:val="16"/>
                <w:szCs w:val="16"/>
                <w:lang w:val="it-IT" w:eastAsia="it-IT"/>
              </w:rPr>
              <w:t>93</w:t>
            </w:r>
          </w:p>
        </w:tc>
      </w:tr>
      <w:tr w:rsidR="00A020ED" w:rsidRPr="00A020ED" w:rsidTr="009A3FBC">
        <w:trPr>
          <w:trHeight w:val="67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1b</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Combination of alpelisib with BGJ398 </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Advanced solid tumor with PIK3CA mutation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PR: 12.9%. MTD: 300 mg/day</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2013</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2020</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Novartis</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NCT01928459</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A020ED" w:rsidRDefault="00A72556" w:rsidP="00A020ED">
            <w:pPr>
              <w:suppressAutoHyphens w:val="0"/>
              <w:jc w:val="center"/>
              <w:rPr>
                <w:rFonts w:ascii="Calibri" w:hAnsi="Calibri" w:cs="Calibri"/>
                <w:color w:val="000000"/>
                <w:sz w:val="16"/>
                <w:szCs w:val="16"/>
                <w:lang w:val="it-IT" w:eastAsia="it-IT"/>
              </w:rPr>
            </w:pPr>
            <w:r>
              <w:rPr>
                <w:rFonts w:ascii="Calibri" w:hAnsi="Calibri" w:cs="Calibri"/>
                <w:color w:val="000000"/>
                <w:sz w:val="16"/>
                <w:szCs w:val="16"/>
                <w:lang w:val="it-IT" w:eastAsia="it-IT"/>
              </w:rPr>
              <w:t>94</w:t>
            </w:r>
          </w:p>
        </w:tc>
      </w:tr>
      <w:tr w:rsidR="00A020ED" w:rsidRPr="00A020ED" w:rsidTr="009A3FBC">
        <w:trPr>
          <w:trHeight w:val="67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1b</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Combination of alpelisib with binimetinib </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Advanced solid tumor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SD: 31% lasting over 6 weeks. PR: 75% in KRAS-mutated ovarian cancer. MTD: 200 mg/once daily.</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2011</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2017</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Array BioPharma</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NCT01449058</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A020ED" w:rsidRDefault="00A72556" w:rsidP="00A020ED">
            <w:pPr>
              <w:suppressAutoHyphens w:val="0"/>
              <w:jc w:val="center"/>
              <w:rPr>
                <w:rFonts w:ascii="Calibri" w:hAnsi="Calibri" w:cs="Calibri"/>
                <w:color w:val="000000"/>
                <w:sz w:val="16"/>
                <w:szCs w:val="16"/>
                <w:lang w:val="it-IT" w:eastAsia="it-IT"/>
              </w:rPr>
            </w:pPr>
            <w:r>
              <w:rPr>
                <w:rFonts w:ascii="Calibri" w:hAnsi="Calibri" w:cs="Calibri"/>
                <w:color w:val="000000"/>
                <w:sz w:val="16"/>
                <w:szCs w:val="16"/>
                <w:lang w:val="it-IT" w:eastAsia="it-IT"/>
              </w:rPr>
              <w:t>95</w:t>
            </w:r>
          </w:p>
        </w:tc>
      </w:tr>
      <w:tr w:rsidR="00A020ED" w:rsidRPr="00A020ED" w:rsidTr="009A3FBC">
        <w:trPr>
          <w:trHeight w:val="9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1b</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Combination of alpelisib with everolimus ± exemestane</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Advanced solid tumor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16-week PFS rate: 52.4% (renal cell carcinoma) (triplet). MTD: 200 mg/daily (triplet)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2014</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2020</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Novartis </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NCT02077933</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A020ED" w:rsidRDefault="00A72556" w:rsidP="00A020ED">
            <w:pPr>
              <w:suppressAutoHyphens w:val="0"/>
              <w:jc w:val="center"/>
              <w:rPr>
                <w:rFonts w:ascii="Calibri" w:hAnsi="Calibri" w:cs="Calibri"/>
                <w:color w:val="000000"/>
                <w:sz w:val="16"/>
                <w:szCs w:val="16"/>
                <w:lang w:val="it-IT" w:eastAsia="it-IT"/>
              </w:rPr>
            </w:pPr>
            <w:r>
              <w:rPr>
                <w:rFonts w:ascii="Calibri" w:hAnsi="Calibri" w:cs="Calibri"/>
                <w:color w:val="000000"/>
                <w:sz w:val="16"/>
                <w:szCs w:val="16"/>
                <w:lang w:val="it-IT" w:eastAsia="it-IT"/>
              </w:rPr>
              <w:t>96</w:t>
            </w:r>
          </w:p>
        </w:tc>
      </w:tr>
      <w:tr w:rsidR="00A020ED" w:rsidRPr="00A020ED" w:rsidTr="009A3FBC">
        <w:trPr>
          <w:trHeight w:val="157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1b</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Combination of alpelisib with cetuximab plus intensity modulated radiation therapy (IMRT)</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Stage III-IVB head and neck squamous cell carcinoma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CR: 100%, with 90.9% remaining disease-free. RP2D: 250 mg/daily</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2014</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2021</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Memorial Sloan Kettering Cancer Center</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Novartis</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NCT02282371</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A020ED" w:rsidRDefault="00A72556" w:rsidP="00A020ED">
            <w:pPr>
              <w:suppressAutoHyphens w:val="0"/>
              <w:jc w:val="center"/>
              <w:rPr>
                <w:rFonts w:ascii="Calibri" w:hAnsi="Calibri" w:cs="Calibri"/>
                <w:color w:val="000000"/>
                <w:sz w:val="16"/>
                <w:szCs w:val="16"/>
                <w:lang w:val="it-IT" w:eastAsia="it-IT"/>
              </w:rPr>
            </w:pPr>
            <w:r>
              <w:rPr>
                <w:rFonts w:ascii="Calibri" w:hAnsi="Calibri" w:cs="Calibri"/>
                <w:color w:val="000000"/>
                <w:sz w:val="16"/>
                <w:szCs w:val="16"/>
                <w:lang w:val="it-IT" w:eastAsia="it-IT"/>
              </w:rPr>
              <w:t>97</w:t>
            </w:r>
          </w:p>
        </w:tc>
      </w:tr>
      <w:tr w:rsidR="00A020ED" w:rsidRPr="00A020ED" w:rsidTr="009A3FBC">
        <w:trPr>
          <w:trHeight w:val="112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1b</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Triple combination of alpelisib with cetuximab and encorafenib</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Metastatic BRAF-mutant colorectal cancer </w:t>
            </w:r>
          </w:p>
        </w:tc>
        <w:tc>
          <w:tcPr>
            <w:tcW w:w="28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ORR: 18% </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2012</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2021</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Pfizer</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single" w:sz="4" w:space="0" w:color="auto"/>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NCT01719380</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20ED" w:rsidRPr="00A020ED" w:rsidRDefault="00A72556" w:rsidP="00A020ED">
            <w:pPr>
              <w:suppressAutoHyphens w:val="0"/>
              <w:jc w:val="center"/>
              <w:rPr>
                <w:rFonts w:ascii="Calibri" w:hAnsi="Calibri" w:cs="Calibri"/>
                <w:color w:val="000000"/>
                <w:sz w:val="16"/>
                <w:szCs w:val="16"/>
                <w:lang w:val="it-IT" w:eastAsia="it-IT"/>
              </w:rPr>
            </w:pPr>
            <w:r>
              <w:rPr>
                <w:rFonts w:ascii="Calibri" w:hAnsi="Calibri" w:cs="Calibri"/>
                <w:color w:val="000000"/>
                <w:sz w:val="16"/>
                <w:szCs w:val="16"/>
                <w:lang w:val="it-IT" w:eastAsia="it-IT"/>
              </w:rPr>
              <w:t>98</w:t>
            </w:r>
          </w:p>
        </w:tc>
      </w:tr>
      <w:tr w:rsidR="00A020ED" w:rsidRPr="00A020ED" w:rsidTr="009A3FBC">
        <w:trPr>
          <w:trHeight w:val="247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lastRenderedPageBreak/>
              <w:t>1, 2</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Combination of alpelisib with nab-paclitaxel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HER2- metastatic breast cancer </w:t>
            </w:r>
          </w:p>
        </w:tc>
        <w:tc>
          <w:tcPr>
            <w:tcW w:w="28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ORR: 59% (CR: 7% and PR: 52%), 21% of whom had response lasting &gt;12 months. PFS: 8.7 months. Patients with tumor/ctDNA mutation demonstrated better PFS (11.9 months) compared to those without mutation (7.5 months). Patients with normal metabolic status had longer PFS (12 months) compared to diabetic patients (7.5 months). RP2D: alpelisib 350 mg daily.</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2015</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2021</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University of Kansas Medical Center</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Novartis</w:t>
            </w:r>
          </w:p>
        </w:tc>
        <w:tc>
          <w:tcPr>
            <w:tcW w:w="1220" w:type="dxa"/>
            <w:tcBorders>
              <w:top w:val="single" w:sz="4" w:space="0" w:color="auto"/>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NCT02379247</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20ED" w:rsidRPr="00A020ED" w:rsidRDefault="00A72556" w:rsidP="00A020ED">
            <w:pPr>
              <w:suppressAutoHyphens w:val="0"/>
              <w:jc w:val="center"/>
              <w:rPr>
                <w:rFonts w:ascii="Calibri" w:hAnsi="Calibri" w:cs="Calibri"/>
                <w:color w:val="000000"/>
                <w:sz w:val="16"/>
                <w:szCs w:val="16"/>
                <w:lang w:val="it-IT" w:eastAsia="it-IT"/>
              </w:rPr>
            </w:pPr>
            <w:r>
              <w:rPr>
                <w:rFonts w:ascii="Calibri" w:hAnsi="Calibri" w:cs="Calibri"/>
                <w:color w:val="000000"/>
                <w:sz w:val="16"/>
                <w:szCs w:val="16"/>
                <w:lang w:val="it-IT" w:eastAsia="it-IT"/>
              </w:rPr>
              <w:t>99</w:t>
            </w:r>
          </w:p>
        </w:tc>
      </w:tr>
      <w:tr w:rsidR="00A020ED" w:rsidRPr="00A020ED" w:rsidTr="009A3FBC">
        <w:trPr>
          <w:trHeight w:val="9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1, 2</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Combination of alpelisib with letrozole or exemestane </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PIK3CA-mutated, HR+ metastatic breast cancer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ORR: 19.3%, PR: 16.1%, and CR: 3.2%. CBR: 52% </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2013</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2022</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Memorial Sloan Kettering Cancer Center</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Novartis</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NCT01870505</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A020ED" w:rsidRDefault="00A72556" w:rsidP="00A020ED">
            <w:pPr>
              <w:suppressAutoHyphens w:val="0"/>
              <w:jc w:val="center"/>
              <w:rPr>
                <w:rFonts w:ascii="Calibri" w:hAnsi="Calibri" w:cs="Calibri"/>
                <w:color w:val="000000"/>
                <w:sz w:val="16"/>
                <w:szCs w:val="16"/>
                <w:lang w:val="it-IT" w:eastAsia="it-IT"/>
              </w:rPr>
            </w:pPr>
            <w:r>
              <w:rPr>
                <w:rFonts w:ascii="Calibri" w:hAnsi="Calibri" w:cs="Calibri"/>
                <w:color w:val="000000"/>
                <w:sz w:val="16"/>
                <w:szCs w:val="16"/>
                <w:lang w:val="it-IT" w:eastAsia="it-IT"/>
              </w:rPr>
              <w:t>100</w:t>
            </w:r>
          </w:p>
        </w:tc>
      </w:tr>
      <w:tr w:rsidR="00A020ED" w:rsidRPr="00A020ED" w:rsidTr="009A3FBC">
        <w:trPr>
          <w:trHeight w:val="67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1b, 2</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Combination of alpelisib with letrozole </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Advanced ER+ breast cancer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SD: 40%</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 NR</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2013</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2022</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Novartis</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NCT01872260</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A020ED" w:rsidRDefault="00A72556" w:rsidP="00A020ED">
            <w:pPr>
              <w:suppressAutoHyphens w:val="0"/>
              <w:jc w:val="center"/>
              <w:rPr>
                <w:rFonts w:ascii="Calibri" w:hAnsi="Calibri" w:cs="Calibri"/>
                <w:color w:val="000000"/>
                <w:sz w:val="16"/>
                <w:szCs w:val="16"/>
                <w:lang w:val="it-IT" w:eastAsia="it-IT"/>
              </w:rPr>
            </w:pPr>
            <w:r>
              <w:rPr>
                <w:rFonts w:ascii="Calibri" w:hAnsi="Calibri" w:cs="Calibri"/>
                <w:color w:val="000000"/>
                <w:sz w:val="16"/>
                <w:szCs w:val="16"/>
                <w:lang w:val="it-IT" w:eastAsia="it-IT"/>
              </w:rPr>
              <w:t>101</w:t>
            </w:r>
          </w:p>
        </w:tc>
      </w:tr>
      <w:tr w:rsidR="00A020ED" w:rsidRPr="00A020ED" w:rsidTr="009A3FBC">
        <w:trPr>
          <w:trHeight w:val="13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Alpelisib </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PI3K-altered, pretreated advanced ER+ breast cancer</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ORR: 30%, and CBR: 36%. A reduction of PI3K pathway mutant circulating tumor DNA (ctDNA) levels (from baseline to week 8 while on therapy) was significantly associated with CBR, PR, and improved PFS</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2015</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2022</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Peter MacCallum Cancer Centre, Australia</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Novartis</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 NCT02506556</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A020ED" w:rsidRDefault="00A72556" w:rsidP="00A020ED">
            <w:pPr>
              <w:suppressAutoHyphens w:val="0"/>
              <w:jc w:val="center"/>
              <w:rPr>
                <w:rFonts w:ascii="Calibri" w:hAnsi="Calibri" w:cs="Calibri"/>
                <w:color w:val="000000"/>
                <w:sz w:val="16"/>
                <w:szCs w:val="16"/>
                <w:lang w:val="it-IT" w:eastAsia="it-IT"/>
              </w:rPr>
            </w:pPr>
            <w:r>
              <w:rPr>
                <w:rFonts w:ascii="Calibri" w:hAnsi="Calibri" w:cs="Calibri"/>
                <w:color w:val="000000"/>
                <w:sz w:val="16"/>
                <w:szCs w:val="16"/>
                <w:lang w:val="it-IT" w:eastAsia="it-IT"/>
              </w:rPr>
              <w:t>102</w:t>
            </w:r>
          </w:p>
        </w:tc>
      </w:tr>
      <w:tr w:rsidR="00A020ED" w:rsidRPr="00A020ED" w:rsidTr="009A3FBC">
        <w:trPr>
          <w:trHeight w:val="157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Combination of alpelisib with fulvestrant</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HR+, HER2-, PIK3CA-mutated breast cancer</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 PFS: 7.3 versus with alpelisib with fulvestrant vs PFS: 3.7 months in the real-world standard treatment cohort. 6-month PFS: 54.6% with alpelisib with fulvestrant vs 6-month PFS: 40.1% in the real-world standard treatment cohort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 NR</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2017</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2022</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Novartis</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NCT03056755</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A020ED" w:rsidRDefault="00A72556" w:rsidP="00A020ED">
            <w:pPr>
              <w:suppressAutoHyphens w:val="0"/>
              <w:jc w:val="center"/>
              <w:rPr>
                <w:rFonts w:ascii="Calibri" w:hAnsi="Calibri" w:cs="Calibri"/>
                <w:color w:val="000000"/>
                <w:sz w:val="16"/>
                <w:szCs w:val="16"/>
                <w:lang w:val="it-IT" w:eastAsia="it-IT"/>
              </w:rPr>
            </w:pPr>
            <w:r>
              <w:rPr>
                <w:rFonts w:ascii="Calibri" w:hAnsi="Calibri" w:cs="Calibri"/>
                <w:color w:val="000000"/>
                <w:sz w:val="16"/>
                <w:szCs w:val="16"/>
                <w:lang w:val="it-IT" w:eastAsia="it-IT"/>
              </w:rPr>
              <w:t>103</w:t>
            </w:r>
          </w:p>
        </w:tc>
      </w:tr>
      <w:tr w:rsidR="00A020ED" w:rsidRPr="00A020ED" w:rsidTr="009A3FBC">
        <w:trPr>
          <w:trHeight w:val="9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Combination of alpelisib with letrozole </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661DAD"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 xml:space="preserve">HR+, </w:t>
            </w:r>
            <w:r w:rsidR="00A020ED" w:rsidRPr="00A020ED">
              <w:rPr>
                <w:rFonts w:ascii="Calibri" w:hAnsi="Calibri" w:cs="Calibri"/>
                <w:sz w:val="16"/>
                <w:szCs w:val="16"/>
                <w:lang w:val="it-IT" w:eastAsia="it-IT"/>
              </w:rPr>
              <w:t>HER2- breast cancer</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Higher reduction in phosphorylated AKT in PIK3CA-mutant cancer with alpelisib + letrozole vs placebo + letrozole</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2013</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2018</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2018</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Novartis</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NCT01923168</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A020ED" w:rsidRDefault="00A72556" w:rsidP="00A020ED">
            <w:pPr>
              <w:suppressAutoHyphens w:val="0"/>
              <w:jc w:val="center"/>
              <w:rPr>
                <w:rFonts w:ascii="Calibri" w:hAnsi="Calibri" w:cs="Calibri"/>
                <w:color w:val="000000"/>
                <w:sz w:val="16"/>
                <w:szCs w:val="16"/>
                <w:lang w:val="it-IT" w:eastAsia="it-IT"/>
              </w:rPr>
            </w:pPr>
            <w:r>
              <w:rPr>
                <w:rFonts w:ascii="Calibri" w:hAnsi="Calibri" w:cs="Calibri"/>
                <w:color w:val="000000"/>
                <w:sz w:val="16"/>
                <w:szCs w:val="16"/>
                <w:lang w:val="it-IT" w:eastAsia="it-IT"/>
              </w:rPr>
              <w:t>104</w:t>
            </w:r>
          </w:p>
        </w:tc>
      </w:tr>
      <w:tr w:rsidR="00A020ED" w:rsidRPr="00A020ED" w:rsidTr="009A3FBC">
        <w:trPr>
          <w:trHeight w:val="157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Triple combination of alpelisib with cetuximab and encorafenib</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Advanced BRAF-mutant colorectal cancer</w:t>
            </w:r>
          </w:p>
        </w:tc>
        <w:tc>
          <w:tcPr>
            <w:tcW w:w="28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PFS: 5.4 months with alpelisib + cetuximab + encorafenib vs PFD: 4.2 months with cetuximab + encorafenib. ORR: 22%, and OS: 15.2 month with the triple combination. ORR: 27%, and OS: none with cetuximab + encorafenib</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2012</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2021</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Pfizer</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single" w:sz="4" w:space="0" w:color="auto"/>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NCT01719380</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20ED" w:rsidRPr="00A020ED" w:rsidRDefault="00A72556" w:rsidP="00A020ED">
            <w:pPr>
              <w:suppressAutoHyphens w:val="0"/>
              <w:jc w:val="center"/>
              <w:rPr>
                <w:rFonts w:ascii="Calibri" w:hAnsi="Calibri" w:cs="Calibri"/>
                <w:color w:val="000000"/>
                <w:sz w:val="16"/>
                <w:szCs w:val="16"/>
                <w:lang w:val="it-IT" w:eastAsia="it-IT"/>
              </w:rPr>
            </w:pPr>
            <w:r>
              <w:rPr>
                <w:rFonts w:ascii="Calibri" w:hAnsi="Calibri" w:cs="Calibri"/>
                <w:color w:val="000000"/>
                <w:sz w:val="16"/>
                <w:szCs w:val="16"/>
                <w:lang w:val="it-IT" w:eastAsia="it-IT"/>
              </w:rPr>
              <w:t>105</w:t>
            </w:r>
          </w:p>
        </w:tc>
      </w:tr>
      <w:tr w:rsidR="00A020ED" w:rsidRPr="00A020ED" w:rsidTr="009A3FBC">
        <w:trPr>
          <w:trHeight w:val="157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0ED" w:rsidRPr="003F1472" w:rsidRDefault="00A020ED" w:rsidP="00A020ED">
            <w:pPr>
              <w:suppressAutoHyphens w:val="0"/>
              <w:jc w:val="center"/>
              <w:rPr>
                <w:rFonts w:ascii="Calibri" w:hAnsi="Calibri" w:cs="Calibri"/>
                <w:sz w:val="16"/>
                <w:szCs w:val="16"/>
                <w:lang w:val="it-IT" w:eastAsia="it-IT"/>
              </w:rPr>
            </w:pPr>
            <w:r w:rsidRPr="003F1472">
              <w:rPr>
                <w:rFonts w:ascii="Calibri" w:hAnsi="Calibri" w:cs="Calibri"/>
                <w:sz w:val="16"/>
                <w:szCs w:val="16"/>
                <w:lang w:val="it-IT" w:eastAsia="it-IT"/>
              </w:rPr>
              <w:lastRenderedPageBreak/>
              <w:t>3</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A020ED" w:rsidRPr="003F1472" w:rsidRDefault="00A020ED" w:rsidP="00A020ED">
            <w:pPr>
              <w:suppressAutoHyphens w:val="0"/>
              <w:jc w:val="center"/>
              <w:rPr>
                <w:rFonts w:ascii="Calibri" w:hAnsi="Calibri" w:cs="Calibri"/>
                <w:sz w:val="16"/>
                <w:szCs w:val="16"/>
                <w:lang w:val="it-IT" w:eastAsia="it-IT"/>
              </w:rPr>
            </w:pPr>
            <w:r w:rsidRPr="003F1472">
              <w:rPr>
                <w:rFonts w:ascii="Calibri" w:hAnsi="Calibri" w:cs="Calibri"/>
                <w:sz w:val="16"/>
                <w:szCs w:val="16"/>
                <w:lang w:val="it-IT" w:eastAsia="it-IT"/>
              </w:rPr>
              <w:t xml:space="preserve">Combination of alpelisib with fulvestrant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020ED" w:rsidRPr="003F1472" w:rsidRDefault="00A020ED" w:rsidP="00A020ED">
            <w:pPr>
              <w:suppressAutoHyphens w:val="0"/>
              <w:jc w:val="center"/>
              <w:rPr>
                <w:rFonts w:ascii="Calibri" w:hAnsi="Calibri" w:cs="Calibri"/>
                <w:sz w:val="16"/>
                <w:szCs w:val="16"/>
                <w:lang w:val="it-IT" w:eastAsia="it-IT"/>
              </w:rPr>
            </w:pPr>
            <w:r w:rsidRPr="003F1472">
              <w:rPr>
                <w:rFonts w:ascii="Calibri" w:hAnsi="Calibri" w:cs="Calibri"/>
                <w:sz w:val="16"/>
                <w:szCs w:val="16"/>
                <w:lang w:val="it-IT" w:eastAsia="it-IT"/>
              </w:rPr>
              <w:t>HR+, HER2- advanced breast cancer previously treated with endocrine therapy</w:t>
            </w:r>
          </w:p>
        </w:tc>
        <w:tc>
          <w:tcPr>
            <w:tcW w:w="2800" w:type="dxa"/>
            <w:tcBorders>
              <w:top w:val="single" w:sz="4" w:space="0" w:color="auto"/>
              <w:left w:val="nil"/>
              <w:bottom w:val="single" w:sz="4" w:space="0" w:color="auto"/>
              <w:right w:val="single" w:sz="4" w:space="0" w:color="auto"/>
            </w:tcBorders>
            <w:shd w:val="clear" w:color="auto" w:fill="auto"/>
            <w:vAlign w:val="center"/>
            <w:hideMark/>
          </w:tcPr>
          <w:p w:rsidR="00A020ED" w:rsidRPr="003F1472" w:rsidRDefault="00A020ED" w:rsidP="00A020ED">
            <w:pPr>
              <w:suppressAutoHyphens w:val="0"/>
              <w:jc w:val="center"/>
              <w:rPr>
                <w:rFonts w:ascii="Calibri" w:hAnsi="Calibri" w:cs="Calibri"/>
                <w:sz w:val="16"/>
                <w:szCs w:val="16"/>
                <w:lang w:val="it-IT" w:eastAsia="it-IT"/>
              </w:rPr>
            </w:pPr>
            <w:r w:rsidRPr="003F1472">
              <w:rPr>
                <w:rFonts w:ascii="Calibri" w:hAnsi="Calibri" w:cs="Calibri"/>
                <w:sz w:val="16"/>
                <w:szCs w:val="16"/>
                <w:lang w:val="it-IT" w:eastAsia="it-IT"/>
              </w:rPr>
              <w:t>ORR: 26.6% with alpelisib + fulvestrant vs ORR: 12.8% with fulvestrant singularly. PFS at a median follow-up of 20 months: 11 months with alpelisib + fulvestrant vs 5.7 months with fulvestrant singularly in PIK3CA-mutated cancer</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3F1472" w:rsidRDefault="00A020ED" w:rsidP="00A020ED">
            <w:pPr>
              <w:suppressAutoHyphens w:val="0"/>
              <w:jc w:val="center"/>
              <w:rPr>
                <w:rFonts w:ascii="Calibri" w:hAnsi="Calibri" w:cs="Calibri"/>
                <w:sz w:val="16"/>
                <w:szCs w:val="16"/>
                <w:lang w:val="it-IT" w:eastAsia="it-IT"/>
              </w:rPr>
            </w:pPr>
            <w:r w:rsidRPr="003F1472">
              <w:rPr>
                <w:rFonts w:ascii="Calibri" w:hAnsi="Calibri" w:cs="Calibri"/>
                <w:sz w:val="16"/>
                <w:szCs w:val="16"/>
                <w:lang w:val="it-IT" w:eastAsia="it-IT"/>
              </w:rPr>
              <w:t>F</w:t>
            </w:r>
          </w:p>
        </w:tc>
        <w:tc>
          <w:tcPr>
            <w:tcW w:w="560" w:type="dxa"/>
            <w:tcBorders>
              <w:top w:val="single" w:sz="4" w:space="0" w:color="auto"/>
              <w:left w:val="nil"/>
              <w:bottom w:val="single" w:sz="4" w:space="0" w:color="auto"/>
              <w:right w:val="single" w:sz="4" w:space="0" w:color="auto"/>
            </w:tcBorders>
            <w:shd w:val="clear" w:color="auto" w:fill="auto"/>
            <w:vAlign w:val="center"/>
            <w:hideMark/>
          </w:tcPr>
          <w:p w:rsidR="00A020ED" w:rsidRPr="003F1472" w:rsidRDefault="00A020ED" w:rsidP="00A020ED">
            <w:pPr>
              <w:suppressAutoHyphens w:val="0"/>
              <w:jc w:val="center"/>
              <w:rPr>
                <w:rFonts w:ascii="Calibri" w:hAnsi="Calibri" w:cs="Calibri"/>
                <w:sz w:val="16"/>
                <w:szCs w:val="16"/>
                <w:lang w:val="it-IT" w:eastAsia="it-IT"/>
              </w:rPr>
            </w:pPr>
            <w:r w:rsidRPr="003F1472">
              <w:rPr>
                <w:rFonts w:ascii="Calibri" w:hAnsi="Calibri" w:cs="Calibri"/>
                <w:sz w:val="16"/>
                <w:szCs w:val="16"/>
                <w:lang w:val="it-IT" w:eastAsia="it-IT"/>
              </w:rPr>
              <w:t>A, NR</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3F1472" w:rsidRDefault="00A020ED" w:rsidP="00A020ED">
            <w:pPr>
              <w:suppressAutoHyphens w:val="0"/>
              <w:jc w:val="center"/>
              <w:rPr>
                <w:rFonts w:ascii="Calibri" w:hAnsi="Calibri" w:cs="Calibri"/>
                <w:sz w:val="16"/>
                <w:szCs w:val="16"/>
                <w:lang w:val="it-IT" w:eastAsia="it-IT"/>
              </w:rPr>
            </w:pPr>
            <w:r w:rsidRPr="003F1472">
              <w:rPr>
                <w:rFonts w:ascii="Calibri" w:hAnsi="Calibri" w:cs="Calibri"/>
                <w:sz w:val="16"/>
                <w:szCs w:val="16"/>
                <w:lang w:val="it-IT" w:eastAsia="it-IT"/>
              </w:rPr>
              <w:t>2015</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3F1472" w:rsidRDefault="00A020ED" w:rsidP="00A020ED">
            <w:pPr>
              <w:suppressAutoHyphens w:val="0"/>
              <w:jc w:val="center"/>
              <w:rPr>
                <w:rFonts w:ascii="Calibri" w:hAnsi="Calibri" w:cs="Calibri"/>
                <w:sz w:val="16"/>
                <w:szCs w:val="16"/>
                <w:lang w:val="it-IT" w:eastAsia="it-IT"/>
              </w:rPr>
            </w:pPr>
            <w:r w:rsidRPr="003F1472">
              <w:rPr>
                <w:rFonts w:ascii="Calibri" w:hAnsi="Calibri" w:cs="Calibri"/>
                <w:sz w:val="16"/>
                <w:szCs w:val="16"/>
                <w:lang w:val="it-IT" w:eastAsia="it-IT"/>
              </w:rPr>
              <w:t>2019</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3F1472" w:rsidRDefault="00A020ED" w:rsidP="00A020ED">
            <w:pPr>
              <w:suppressAutoHyphens w:val="0"/>
              <w:jc w:val="center"/>
              <w:rPr>
                <w:rFonts w:ascii="Calibri" w:hAnsi="Calibri" w:cs="Calibri"/>
                <w:sz w:val="16"/>
                <w:szCs w:val="16"/>
                <w:lang w:val="it-IT" w:eastAsia="it-IT"/>
              </w:rPr>
            </w:pPr>
            <w:r w:rsidRPr="003F1472">
              <w:rPr>
                <w:rFonts w:ascii="Calibri" w:hAnsi="Calibri" w:cs="Calibri"/>
                <w:sz w:val="16"/>
                <w:szCs w:val="16"/>
                <w:lang w:val="it-IT" w:eastAsia="it-IT"/>
              </w:rPr>
              <w:t>2022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3F1472" w:rsidRDefault="00A020ED" w:rsidP="00A020ED">
            <w:pPr>
              <w:suppressAutoHyphens w:val="0"/>
              <w:jc w:val="center"/>
              <w:rPr>
                <w:rFonts w:ascii="Calibri" w:hAnsi="Calibri" w:cs="Calibri"/>
                <w:sz w:val="16"/>
                <w:szCs w:val="16"/>
                <w:lang w:val="it-IT" w:eastAsia="it-IT"/>
              </w:rPr>
            </w:pPr>
            <w:r w:rsidRPr="003F1472">
              <w:rPr>
                <w:rFonts w:ascii="Calibri" w:hAnsi="Calibri" w:cs="Calibri"/>
                <w:sz w:val="16"/>
                <w:szCs w:val="16"/>
                <w:lang w:val="it-IT" w:eastAsia="it-IT"/>
              </w:rPr>
              <w:t>Novartis</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3F1472" w:rsidRDefault="00A020ED" w:rsidP="00A020ED">
            <w:pPr>
              <w:suppressAutoHyphens w:val="0"/>
              <w:jc w:val="center"/>
              <w:rPr>
                <w:rFonts w:ascii="Calibri" w:hAnsi="Calibri" w:cs="Calibri"/>
                <w:sz w:val="16"/>
                <w:szCs w:val="16"/>
                <w:lang w:val="it-IT" w:eastAsia="it-IT"/>
              </w:rPr>
            </w:pPr>
            <w:r w:rsidRPr="003F1472">
              <w:rPr>
                <w:rFonts w:ascii="Calibri" w:hAnsi="Calibri" w:cs="Calibri"/>
                <w:sz w:val="16"/>
                <w:szCs w:val="16"/>
                <w:lang w:val="it-IT" w:eastAsia="it-IT"/>
              </w:rPr>
              <w:t>*</w:t>
            </w:r>
          </w:p>
        </w:tc>
        <w:tc>
          <w:tcPr>
            <w:tcW w:w="1220" w:type="dxa"/>
            <w:tcBorders>
              <w:top w:val="single" w:sz="4" w:space="0" w:color="auto"/>
              <w:left w:val="nil"/>
              <w:bottom w:val="single" w:sz="4" w:space="0" w:color="auto"/>
              <w:right w:val="nil"/>
            </w:tcBorders>
            <w:shd w:val="clear" w:color="auto" w:fill="auto"/>
            <w:vAlign w:val="center"/>
            <w:hideMark/>
          </w:tcPr>
          <w:p w:rsidR="00A020ED" w:rsidRPr="003F1472" w:rsidRDefault="00A020ED" w:rsidP="00A020ED">
            <w:pPr>
              <w:suppressAutoHyphens w:val="0"/>
              <w:jc w:val="center"/>
              <w:rPr>
                <w:rFonts w:ascii="Calibri" w:hAnsi="Calibri" w:cs="Calibri"/>
                <w:sz w:val="16"/>
                <w:szCs w:val="16"/>
                <w:lang w:val="it-IT" w:eastAsia="it-IT"/>
              </w:rPr>
            </w:pPr>
            <w:r w:rsidRPr="003F1472">
              <w:rPr>
                <w:rFonts w:ascii="Calibri" w:hAnsi="Calibri" w:cs="Calibri"/>
                <w:sz w:val="16"/>
                <w:szCs w:val="16"/>
                <w:lang w:val="it-IT" w:eastAsia="it-IT"/>
              </w:rPr>
              <w:t>NCT02437318</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20ED" w:rsidRPr="003F1472" w:rsidRDefault="00A72556"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106</w:t>
            </w:r>
          </w:p>
        </w:tc>
      </w:tr>
      <w:tr w:rsidR="00A020ED" w:rsidRPr="00A020ED" w:rsidTr="009A3FBC">
        <w:trPr>
          <w:trHeight w:val="18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3F1472" w:rsidRDefault="00A020ED" w:rsidP="00A020ED">
            <w:pPr>
              <w:suppressAutoHyphens w:val="0"/>
              <w:jc w:val="center"/>
              <w:rPr>
                <w:rFonts w:ascii="Calibri" w:hAnsi="Calibri" w:cs="Calibri"/>
                <w:sz w:val="16"/>
                <w:szCs w:val="16"/>
                <w:lang w:val="it-IT" w:eastAsia="it-IT"/>
              </w:rPr>
            </w:pPr>
            <w:r w:rsidRPr="003F1472">
              <w:rPr>
                <w:rFonts w:ascii="Calibri" w:hAnsi="Calibri" w:cs="Calibri"/>
                <w:sz w:val="16"/>
                <w:szCs w:val="16"/>
                <w:lang w:val="it-IT" w:eastAsia="it-IT"/>
              </w:rPr>
              <w:t>3</w:t>
            </w:r>
          </w:p>
        </w:tc>
        <w:tc>
          <w:tcPr>
            <w:tcW w:w="1420" w:type="dxa"/>
            <w:tcBorders>
              <w:top w:val="nil"/>
              <w:left w:val="nil"/>
              <w:bottom w:val="single" w:sz="4" w:space="0" w:color="auto"/>
              <w:right w:val="single" w:sz="4" w:space="0" w:color="auto"/>
            </w:tcBorders>
            <w:shd w:val="clear" w:color="auto" w:fill="auto"/>
            <w:vAlign w:val="center"/>
            <w:hideMark/>
          </w:tcPr>
          <w:p w:rsidR="00A020ED" w:rsidRPr="003F1472" w:rsidRDefault="00A020ED" w:rsidP="00A020ED">
            <w:pPr>
              <w:suppressAutoHyphens w:val="0"/>
              <w:jc w:val="center"/>
              <w:rPr>
                <w:rFonts w:ascii="Calibri" w:hAnsi="Calibri" w:cs="Calibri"/>
                <w:sz w:val="16"/>
                <w:szCs w:val="16"/>
                <w:lang w:val="it-IT" w:eastAsia="it-IT"/>
              </w:rPr>
            </w:pPr>
            <w:r w:rsidRPr="003F1472">
              <w:rPr>
                <w:rFonts w:ascii="Calibri" w:hAnsi="Calibri" w:cs="Calibri"/>
                <w:sz w:val="16"/>
                <w:szCs w:val="16"/>
                <w:lang w:val="it-IT" w:eastAsia="it-IT"/>
              </w:rPr>
              <w:t xml:space="preserve">Combination of alpelisib with fulvestrant </w:t>
            </w:r>
          </w:p>
        </w:tc>
        <w:tc>
          <w:tcPr>
            <w:tcW w:w="1480" w:type="dxa"/>
            <w:tcBorders>
              <w:top w:val="nil"/>
              <w:left w:val="nil"/>
              <w:bottom w:val="single" w:sz="4" w:space="0" w:color="auto"/>
              <w:right w:val="single" w:sz="4" w:space="0" w:color="auto"/>
            </w:tcBorders>
            <w:shd w:val="clear" w:color="auto" w:fill="auto"/>
            <w:vAlign w:val="center"/>
            <w:hideMark/>
          </w:tcPr>
          <w:p w:rsidR="00A020ED" w:rsidRPr="003F1472" w:rsidRDefault="00A020ED" w:rsidP="00A020ED">
            <w:pPr>
              <w:suppressAutoHyphens w:val="0"/>
              <w:jc w:val="center"/>
              <w:rPr>
                <w:rFonts w:ascii="Calibri" w:hAnsi="Calibri" w:cs="Calibri"/>
                <w:sz w:val="16"/>
                <w:szCs w:val="16"/>
                <w:lang w:val="it-IT" w:eastAsia="it-IT"/>
              </w:rPr>
            </w:pPr>
            <w:r w:rsidRPr="003F1472">
              <w:rPr>
                <w:rFonts w:ascii="Calibri" w:hAnsi="Calibri" w:cs="Calibri"/>
                <w:sz w:val="16"/>
                <w:szCs w:val="16"/>
                <w:lang w:val="it-IT" w:eastAsia="it-IT"/>
              </w:rPr>
              <w:t>PIK3CA-mutated, HR+, HER2- advanced breast cancer that progressed on or after aromatase Inhibitor treatment</w:t>
            </w:r>
          </w:p>
        </w:tc>
        <w:tc>
          <w:tcPr>
            <w:tcW w:w="2800" w:type="dxa"/>
            <w:tcBorders>
              <w:top w:val="nil"/>
              <w:left w:val="nil"/>
              <w:bottom w:val="single" w:sz="4" w:space="0" w:color="auto"/>
              <w:right w:val="single" w:sz="4" w:space="0" w:color="auto"/>
            </w:tcBorders>
            <w:shd w:val="clear" w:color="auto" w:fill="auto"/>
            <w:vAlign w:val="center"/>
            <w:hideMark/>
          </w:tcPr>
          <w:p w:rsidR="00A020ED" w:rsidRPr="003F1472" w:rsidRDefault="00A020ED" w:rsidP="00A020ED">
            <w:pPr>
              <w:suppressAutoHyphens w:val="0"/>
              <w:jc w:val="center"/>
              <w:rPr>
                <w:rFonts w:ascii="Calibri" w:hAnsi="Calibri" w:cs="Calibri"/>
                <w:sz w:val="16"/>
                <w:szCs w:val="16"/>
                <w:lang w:val="it-IT" w:eastAsia="it-IT"/>
              </w:rPr>
            </w:pPr>
            <w:r w:rsidRPr="003F1472">
              <w:rPr>
                <w:rFonts w:ascii="Calibri" w:hAnsi="Calibri" w:cs="Calibri"/>
                <w:sz w:val="16"/>
                <w:szCs w:val="16"/>
                <w:lang w:val="it-IT" w:eastAsia="it-IT"/>
              </w:rPr>
              <w:t>OS: 39.3 months with alpelisib + fulvestrant vs OS: 31.4 months with placebo + fulvestrant</w:t>
            </w:r>
          </w:p>
        </w:tc>
        <w:tc>
          <w:tcPr>
            <w:tcW w:w="500" w:type="dxa"/>
            <w:tcBorders>
              <w:top w:val="nil"/>
              <w:left w:val="nil"/>
              <w:bottom w:val="single" w:sz="4" w:space="0" w:color="auto"/>
              <w:right w:val="single" w:sz="4" w:space="0" w:color="auto"/>
            </w:tcBorders>
            <w:shd w:val="clear" w:color="auto" w:fill="auto"/>
            <w:vAlign w:val="center"/>
            <w:hideMark/>
          </w:tcPr>
          <w:p w:rsidR="00A020ED" w:rsidRPr="003F1472" w:rsidRDefault="00A020ED" w:rsidP="00A020ED">
            <w:pPr>
              <w:suppressAutoHyphens w:val="0"/>
              <w:jc w:val="center"/>
              <w:rPr>
                <w:rFonts w:ascii="Calibri" w:hAnsi="Calibri" w:cs="Calibri"/>
                <w:sz w:val="16"/>
                <w:szCs w:val="16"/>
                <w:lang w:val="it-IT" w:eastAsia="it-IT"/>
              </w:rPr>
            </w:pPr>
            <w:r w:rsidRPr="003F1472">
              <w:rPr>
                <w:rFonts w:ascii="Calibri" w:hAnsi="Calibri" w:cs="Calibri"/>
                <w:sz w:val="16"/>
                <w:szCs w:val="16"/>
                <w:lang w:val="it-IT" w:eastAsia="it-IT"/>
              </w:rPr>
              <w:t>F</w:t>
            </w:r>
          </w:p>
        </w:tc>
        <w:tc>
          <w:tcPr>
            <w:tcW w:w="560" w:type="dxa"/>
            <w:tcBorders>
              <w:top w:val="nil"/>
              <w:left w:val="nil"/>
              <w:bottom w:val="single" w:sz="4" w:space="0" w:color="auto"/>
              <w:right w:val="single" w:sz="4" w:space="0" w:color="auto"/>
            </w:tcBorders>
            <w:shd w:val="clear" w:color="auto" w:fill="auto"/>
            <w:vAlign w:val="center"/>
            <w:hideMark/>
          </w:tcPr>
          <w:p w:rsidR="00A020ED" w:rsidRPr="003F1472" w:rsidRDefault="00A020ED" w:rsidP="00A020ED">
            <w:pPr>
              <w:suppressAutoHyphens w:val="0"/>
              <w:jc w:val="center"/>
              <w:rPr>
                <w:rFonts w:ascii="Calibri" w:hAnsi="Calibri" w:cs="Calibri"/>
                <w:sz w:val="16"/>
                <w:szCs w:val="16"/>
                <w:lang w:val="it-IT" w:eastAsia="it-IT"/>
              </w:rPr>
            </w:pPr>
            <w:r w:rsidRPr="003F1472">
              <w:rPr>
                <w:rFonts w:ascii="Calibri" w:hAnsi="Calibri" w:cs="Calibri"/>
                <w:sz w:val="16"/>
                <w:szCs w:val="16"/>
                <w:lang w:val="it-IT" w:eastAsia="it-IT"/>
              </w:rPr>
              <w:t>A, NR</w:t>
            </w:r>
          </w:p>
        </w:tc>
        <w:tc>
          <w:tcPr>
            <w:tcW w:w="500" w:type="dxa"/>
            <w:tcBorders>
              <w:top w:val="nil"/>
              <w:left w:val="nil"/>
              <w:bottom w:val="single" w:sz="4" w:space="0" w:color="auto"/>
              <w:right w:val="single" w:sz="4" w:space="0" w:color="auto"/>
            </w:tcBorders>
            <w:shd w:val="clear" w:color="auto" w:fill="auto"/>
            <w:vAlign w:val="center"/>
            <w:hideMark/>
          </w:tcPr>
          <w:p w:rsidR="00A020ED" w:rsidRPr="003F1472" w:rsidRDefault="00A020ED" w:rsidP="00A020ED">
            <w:pPr>
              <w:suppressAutoHyphens w:val="0"/>
              <w:jc w:val="center"/>
              <w:rPr>
                <w:rFonts w:ascii="Calibri" w:hAnsi="Calibri" w:cs="Calibri"/>
                <w:sz w:val="16"/>
                <w:szCs w:val="16"/>
                <w:lang w:val="it-IT" w:eastAsia="it-IT"/>
              </w:rPr>
            </w:pPr>
            <w:r w:rsidRPr="003F1472">
              <w:rPr>
                <w:rFonts w:ascii="Calibri" w:hAnsi="Calibri" w:cs="Calibri"/>
                <w:sz w:val="16"/>
                <w:szCs w:val="16"/>
                <w:lang w:val="it-IT" w:eastAsia="it-IT"/>
              </w:rPr>
              <w:t>2015</w:t>
            </w:r>
          </w:p>
        </w:tc>
        <w:tc>
          <w:tcPr>
            <w:tcW w:w="500" w:type="dxa"/>
            <w:tcBorders>
              <w:top w:val="nil"/>
              <w:left w:val="nil"/>
              <w:bottom w:val="single" w:sz="4" w:space="0" w:color="auto"/>
              <w:right w:val="single" w:sz="4" w:space="0" w:color="auto"/>
            </w:tcBorders>
            <w:shd w:val="clear" w:color="auto" w:fill="auto"/>
            <w:vAlign w:val="center"/>
            <w:hideMark/>
          </w:tcPr>
          <w:p w:rsidR="00A020ED" w:rsidRPr="003F1472" w:rsidRDefault="00A020ED" w:rsidP="00A020ED">
            <w:pPr>
              <w:suppressAutoHyphens w:val="0"/>
              <w:jc w:val="center"/>
              <w:rPr>
                <w:rFonts w:ascii="Calibri" w:hAnsi="Calibri" w:cs="Calibri"/>
                <w:sz w:val="16"/>
                <w:szCs w:val="16"/>
                <w:lang w:val="it-IT" w:eastAsia="it-IT"/>
              </w:rPr>
            </w:pPr>
            <w:r w:rsidRPr="003F1472">
              <w:rPr>
                <w:rFonts w:ascii="Calibri" w:hAnsi="Calibri" w:cs="Calibri"/>
                <w:sz w:val="16"/>
                <w:szCs w:val="16"/>
                <w:lang w:val="it-IT" w:eastAsia="it-IT"/>
              </w:rPr>
              <w:t>2019</w:t>
            </w:r>
          </w:p>
        </w:tc>
        <w:tc>
          <w:tcPr>
            <w:tcW w:w="500" w:type="dxa"/>
            <w:tcBorders>
              <w:top w:val="nil"/>
              <w:left w:val="nil"/>
              <w:bottom w:val="single" w:sz="4" w:space="0" w:color="auto"/>
              <w:right w:val="single" w:sz="4" w:space="0" w:color="auto"/>
            </w:tcBorders>
            <w:shd w:val="clear" w:color="auto" w:fill="auto"/>
            <w:vAlign w:val="center"/>
            <w:hideMark/>
          </w:tcPr>
          <w:p w:rsidR="00A020ED" w:rsidRPr="003F1472" w:rsidRDefault="00A020ED" w:rsidP="00A020ED">
            <w:pPr>
              <w:suppressAutoHyphens w:val="0"/>
              <w:jc w:val="center"/>
              <w:rPr>
                <w:rFonts w:ascii="Calibri" w:hAnsi="Calibri" w:cs="Calibri"/>
                <w:sz w:val="16"/>
                <w:szCs w:val="16"/>
                <w:lang w:val="it-IT" w:eastAsia="it-IT"/>
              </w:rPr>
            </w:pPr>
            <w:r w:rsidRPr="003F1472">
              <w:rPr>
                <w:rFonts w:ascii="Calibri" w:hAnsi="Calibri" w:cs="Calibri"/>
                <w:sz w:val="16"/>
                <w:szCs w:val="16"/>
                <w:lang w:val="it-IT" w:eastAsia="it-IT"/>
              </w:rPr>
              <w:t>2021</w:t>
            </w:r>
          </w:p>
        </w:tc>
        <w:tc>
          <w:tcPr>
            <w:tcW w:w="1280" w:type="dxa"/>
            <w:tcBorders>
              <w:top w:val="nil"/>
              <w:left w:val="nil"/>
              <w:bottom w:val="single" w:sz="4" w:space="0" w:color="auto"/>
              <w:right w:val="single" w:sz="4" w:space="0" w:color="auto"/>
            </w:tcBorders>
            <w:shd w:val="clear" w:color="auto" w:fill="auto"/>
            <w:vAlign w:val="center"/>
            <w:hideMark/>
          </w:tcPr>
          <w:p w:rsidR="00A020ED" w:rsidRPr="003F1472" w:rsidRDefault="00A020ED" w:rsidP="00A020ED">
            <w:pPr>
              <w:suppressAutoHyphens w:val="0"/>
              <w:jc w:val="center"/>
              <w:rPr>
                <w:rFonts w:ascii="Calibri" w:hAnsi="Calibri" w:cs="Calibri"/>
                <w:sz w:val="16"/>
                <w:szCs w:val="16"/>
                <w:lang w:val="it-IT" w:eastAsia="it-IT"/>
              </w:rPr>
            </w:pPr>
            <w:r w:rsidRPr="003F1472">
              <w:rPr>
                <w:rFonts w:ascii="Calibri" w:hAnsi="Calibri" w:cs="Calibri"/>
                <w:sz w:val="16"/>
                <w:szCs w:val="16"/>
                <w:lang w:val="it-IT" w:eastAsia="it-IT"/>
              </w:rPr>
              <w:t>Novartis</w:t>
            </w:r>
          </w:p>
        </w:tc>
        <w:tc>
          <w:tcPr>
            <w:tcW w:w="1280" w:type="dxa"/>
            <w:tcBorders>
              <w:top w:val="nil"/>
              <w:left w:val="nil"/>
              <w:bottom w:val="single" w:sz="4" w:space="0" w:color="auto"/>
              <w:right w:val="single" w:sz="4" w:space="0" w:color="auto"/>
            </w:tcBorders>
            <w:shd w:val="clear" w:color="auto" w:fill="auto"/>
            <w:vAlign w:val="center"/>
            <w:hideMark/>
          </w:tcPr>
          <w:p w:rsidR="00A020ED" w:rsidRPr="003F1472" w:rsidRDefault="00A020ED" w:rsidP="00A020ED">
            <w:pPr>
              <w:suppressAutoHyphens w:val="0"/>
              <w:jc w:val="center"/>
              <w:rPr>
                <w:rFonts w:ascii="Calibri" w:hAnsi="Calibri" w:cs="Calibri"/>
                <w:sz w:val="16"/>
                <w:szCs w:val="16"/>
                <w:lang w:val="it-IT" w:eastAsia="it-IT"/>
              </w:rPr>
            </w:pPr>
            <w:r w:rsidRPr="003F1472">
              <w:rPr>
                <w:rFonts w:ascii="Calibri" w:hAnsi="Calibri" w:cs="Calibri"/>
                <w:sz w:val="16"/>
                <w:szCs w:val="16"/>
                <w:lang w:val="it-IT" w:eastAsia="it-IT"/>
              </w:rPr>
              <w:t>*</w:t>
            </w:r>
          </w:p>
        </w:tc>
        <w:tc>
          <w:tcPr>
            <w:tcW w:w="1220" w:type="dxa"/>
            <w:tcBorders>
              <w:top w:val="nil"/>
              <w:left w:val="nil"/>
              <w:bottom w:val="single" w:sz="4" w:space="0" w:color="auto"/>
              <w:right w:val="single" w:sz="4" w:space="0" w:color="auto"/>
            </w:tcBorders>
            <w:shd w:val="clear" w:color="auto" w:fill="auto"/>
            <w:vAlign w:val="center"/>
            <w:hideMark/>
          </w:tcPr>
          <w:p w:rsidR="00A020ED" w:rsidRPr="003F1472" w:rsidRDefault="00A020ED" w:rsidP="00A020ED">
            <w:pPr>
              <w:suppressAutoHyphens w:val="0"/>
              <w:jc w:val="center"/>
              <w:rPr>
                <w:rFonts w:ascii="Calibri" w:hAnsi="Calibri" w:cs="Calibri"/>
                <w:sz w:val="16"/>
                <w:szCs w:val="16"/>
                <w:lang w:val="it-IT" w:eastAsia="it-IT"/>
              </w:rPr>
            </w:pPr>
            <w:r w:rsidRPr="003F1472">
              <w:rPr>
                <w:rFonts w:ascii="Calibri" w:hAnsi="Calibri" w:cs="Calibri"/>
                <w:sz w:val="16"/>
                <w:szCs w:val="16"/>
                <w:lang w:val="it-IT" w:eastAsia="it-IT"/>
              </w:rPr>
              <w:t>NCT02437318</w:t>
            </w:r>
          </w:p>
        </w:tc>
        <w:tc>
          <w:tcPr>
            <w:tcW w:w="480" w:type="dxa"/>
            <w:tcBorders>
              <w:top w:val="nil"/>
              <w:left w:val="nil"/>
              <w:bottom w:val="single" w:sz="4" w:space="0" w:color="auto"/>
              <w:right w:val="single" w:sz="4" w:space="0" w:color="auto"/>
            </w:tcBorders>
            <w:shd w:val="clear" w:color="auto" w:fill="auto"/>
            <w:noWrap/>
            <w:vAlign w:val="center"/>
          </w:tcPr>
          <w:p w:rsidR="00A020ED" w:rsidRPr="003F1472" w:rsidRDefault="00A72556"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107</w:t>
            </w:r>
          </w:p>
        </w:tc>
      </w:tr>
      <w:tr w:rsidR="00A020ED" w:rsidRPr="00A020ED" w:rsidTr="00A020ED">
        <w:trPr>
          <w:trHeight w:val="255"/>
        </w:trPr>
        <w:tc>
          <w:tcPr>
            <w:tcW w:w="13060" w:type="dxa"/>
            <w:gridSpan w:val="13"/>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A020ED" w:rsidRPr="00A020ED" w:rsidRDefault="00A020ED" w:rsidP="00A020ED">
            <w:pPr>
              <w:suppressAutoHyphens w:val="0"/>
              <w:jc w:val="center"/>
              <w:rPr>
                <w:rFonts w:ascii="Calibri" w:hAnsi="Calibri" w:cs="Calibri"/>
                <w:b/>
                <w:bCs/>
                <w:sz w:val="20"/>
                <w:szCs w:val="20"/>
                <w:lang w:val="it-IT" w:eastAsia="it-IT"/>
              </w:rPr>
            </w:pPr>
            <w:r w:rsidRPr="00A020ED">
              <w:rPr>
                <w:rFonts w:ascii="Calibri" w:hAnsi="Calibri" w:cs="Calibri"/>
                <w:b/>
                <w:bCs/>
                <w:sz w:val="20"/>
                <w:szCs w:val="20"/>
                <w:lang w:val="it-IT" w:eastAsia="it-IT"/>
              </w:rPr>
              <w:t xml:space="preserve">Serabelisib </w:t>
            </w:r>
            <w:r w:rsidRPr="00A020ED">
              <w:rPr>
                <w:rFonts w:ascii="Calibri" w:hAnsi="Calibri" w:cs="Calibri"/>
                <w:sz w:val="20"/>
                <w:szCs w:val="20"/>
                <w:lang w:val="it-IT" w:eastAsia="it-IT"/>
              </w:rPr>
              <w:t>(TAK-117, MLN1117, INK1117) [PI3Kα Inhibitor]</w:t>
            </w:r>
          </w:p>
        </w:tc>
      </w:tr>
      <w:tr w:rsidR="00A020ED" w:rsidRPr="00A020ED" w:rsidTr="00A020ED">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Phase</w:t>
            </w:r>
          </w:p>
        </w:tc>
        <w:tc>
          <w:tcPr>
            <w:tcW w:w="142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Treatment</w:t>
            </w:r>
          </w:p>
        </w:tc>
        <w:tc>
          <w:tcPr>
            <w:tcW w:w="148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Disease</w:t>
            </w:r>
          </w:p>
        </w:tc>
        <w:tc>
          <w:tcPr>
            <w:tcW w:w="28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Outcome</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ISP</w:t>
            </w:r>
          </w:p>
        </w:tc>
        <w:tc>
          <w:tcPr>
            <w:tcW w:w="56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Status</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FP</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RFP</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LUP</w:t>
            </w:r>
          </w:p>
        </w:tc>
        <w:tc>
          <w:tcPr>
            <w:tcW w:w="1280" w:type="dxa"/>
            <w:tcBorders>
              <w:top w:val="nil"/>
              <w:left w:val="nil"/>
              <w:bottom w:val="nil"/>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Sponsor</w:t>
            </w:r>
          </w:p>
        </w:tc>
        <w:tc>
          <w:tcPr>
            <w:tcW w:w="1280" w:type="dxa"/>
            <w:tcBorders>
              <w:top w:val="nil"/>
              <w:left w:val="nil"/>
              <w:bottom w:val="nil"/>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Collaborator</w:t>
            </w:r>
          </w:p>
        </w:tc>
        <w:tc>
          <w:tcPr>
            <w:tcW w:w="122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NCT Identifier</w:t>
            </w:r>
          </w:p>
        </w:tc>
        <w:tc>
          <w:tcPr>
            <w:tcW w:w="48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color w:val="000000"/>
                <w:sz w:val="18"/>
                <w:szCs w:val="18"/>
                <w:lang w:val="it-IT" w:eastAsia="it-IT"/>
              </w:rPr>
            </w:pPr>
            <w:r w:rsidRPr="00A020ED">
              <w:rPr>
                <w:rFonts w:ascii="Calibri" w:hAnsi="Calibri" w:cs="Calibri"/>
                <w:b/>
                <w:bCs/>
                <w:color w:val="000000"/>
                <w:sz w:val="18"/>
                <w:szCs w:val="18"/>
                <w:lang w:val="it-IT" w:eastAsia="it-IT"/>
              </w:rPr>
              <w:t>R</w:t>
            </w:r>
          </w:p>
        </w:tc>
      </w:tr>
      <w:tr w:rsidR="00A020ED" w:rsidRPr="00A020ED" w:rsidTr="006E76FD">
        <w:trPr>
          <w:trHeight w:val="202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Serabelisib </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Advanced solid tumor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MTD: 150 mg for daily dosing schedule, and 900 mg for intermittent dosing schedules. Higher off-target toxicity with daily dosing schedule (21%) vs intermittent dosing schedules (10%). Lower on-target toxicity with daily dosing schedule (0%) vs intermittent dosing schedules (11%)</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2011</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2017</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2017</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Millennium Pharmaceuticals Inc</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NCT01449370</w:t>
            </w:r>
          </w:p>
        </w:tc>
        <w:tc>
          <w:tcPr>
            <w:tcW w:w="480" w:type="dxa"/>
            <w:tcBorders>
              <w:top w:val="nil"/>
              <w:left w:val="nil"/>
              <w:bottom w:val="single" w:sz="4" w:space="0" w:color="auto"/>
              <w:right w:val="single" w:sz="4" w:space="0" w:color="auto"/>
            </w:tcBorders>
            <w:shd w:val="clear" w:color="auto" w:fill="auto"/>
            <w:noWrap/>
            <w:vAlign w:val="center"/>
          </w:tcPr>
          <w:p w:rsidR="00A020ED" w:rsidRPr="00A020ED" w:rsidRDefault="006E76FD"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113</w:t>
            </w:r>
          </w:p>
        </w:tc>
      </w:tr>
      <w:tr w:rsidR="00A020ED" w:rsidRPr="00A020ED" w:rsidTr="006E76FD">
        <w:trPr>
          <w:trHeight w:val="112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1b</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Triple combination of serabelisib with sapanisertib and paclitaxel</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Advanced solid tumor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ORR: 47%, CBR: 73%, and PFS: 11 months. RP2D: 200 mg on days 2-4, 9-11, 16-18 and 23-25</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 NR</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2017</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2021</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Avera McKennan Hospital &amp; University Health Center</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NCT03154294</w:t>
            </w:r>
          </w:p>
        </w:tc>
        <w:tc>
          <w:tcPr>
            <w:tcW w:w="480" w:type="dxa"/>
            <w:tcBorders>
              <w:top w:val="nil"/>
              <w:left w:val="nil"/>
              <w:bottom w:val="single" w:sz="4" w:space="0" w:color="auto"/>
              <w:right w:val="single" w:sz="4" w:space="0" w:color="auto"/>
            </w:tcBorders>
            <w:shd w:val="clear" w:color="auto" w:fill="auto"/>
            <w:noWrap/>
            <w:vAlign w:val="center"/>
          </w:tcPr>
          <w:p w:rsidR="00A020ED" w:rsidRPr="00A020ED" w:rsidRDefault="006E76FD"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114</w:t>
            </w:r>
          </w:p>
        </w:tc>
      </w:tr>
      <w:tr w:rsidR="00A020ED" w:rsidRPr="00A020ED" w:rsidTr="00A020ED">
        <w:trPr>
          <w:trHeight w:val="255"/>
        </w:trPr>
        <w:tc>
          <w:tcPr>
            <w:tcW w:w="13060" w:type="dxa"/>
            <w:gridSpan w:val="13"/>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A020ED" w:rsidRPr="00A020ED" w:rsidRDefault="00A020ED" w:rsidP="00A020ED">
            <w:pPr>
              <w:suppressAutoHyphens w:val="0"/>
              <w:jc w:val="center"/>
              <w:rPr>
                <w:rFonts w:ascii="Calibri" w:hAnsi="Calibri" w:cs="Calibri"/>
                <w:b/>
                <w:bCs/>
                <w:sz w:val="20"/>
                <w:szCs w:val="20"/>
                <w:lang w:val="it-IT" w:eastAsia="it-IT"/>
              </w:rPr>
            </w:pPr>
            <w:r w:rsidRPr="00907FCD">
              <w:rPr>
                <w:rFonts w:ascii="Calibri" w:hAnsi="Calibri" w:cs="Calibri"/>
                <w:b/>
                <w:bCs/>
                <w:sz w:val="20"/>
                <w:szCs w:val="20"/>
                <w:lang w:val="it-IT" w:eastAsia="it-IT"/>
              </w:rPr>
              <w:t xml:space="preserve">Taselisib </w:t>
            </w:r>
            <w:r w:rsidRPr="00907FCD">
              <w:rPr>
                <w:rFonts w:ascii="Calibri" w:hAnsi="Calibri" w:cs="Calibri"/>
                <w:sz w:val="20"/>
                <w:szCs w:val="20"/>
                <w:lang w:val="it-IT" w:eastAsia="it-IT"/>
              </w:rPr>
              <w:t>(GDC</w:t>
            </w:r>
            <w:r w:rsidRPr="00A020ED">
              <w:rPr>
                <w:rFonts w:ascii="Calibri" w:hAnsi="Calibri" w:cs="Calibri"/>
                <w:sz w:val="20"/>
                <w:szCs w:val="20"/>
                <w:lang w:val="it-IT" w:eastAsia="it-IT"/>
              </w:rPr>
              <w:t>-0032, RG7604) [PI3Kα Inhibitor]</w:t>
            </w:r>
          </w:p>
        </w:tc>
      </w:tr>
      <w:tr w:rsidR="00A020ED" w:rsidRPr="00A020ED" w:rsidTr="00A020ED">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Phase</w:t>
            </w:r>
          </w:p>
        </w:tc>
        <w:tc>
          <w:tcPr>
            <w:tcW w:w="142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Treatment</w:t>
            </w:r>
          </w:p>
        </w:tc>
        <w:tc>
          <w:tcPr>
            <w:tcW w:w="148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Disease</w:t>
            </w:r>
          </w:p>
        </w:tc>
        <w:tc>
          <w:tcPr>
            <w:tcW w:w="28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Outcome</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ISP</w:t>
            </w:r>
          </w:p>
        </w:tc>
        <w:tc>
          <w:tcPr>
            <w:tcW w:w="56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Status</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FP</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RFP</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LUP</w:t>
            </w:r>
          </w:p>
        </w:tc>
        <w:tc>
          <w:tcPr>
            <w:tcW w:w="1280" w:type="dxa"/>
            <w:tcBorders>
              <w:top w:val="nil"/>
              <w:left w:val="nil"/>
              <w:bottom w:val="nil"/>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Sponsor</w:t>
            </w:r>
          </w:p>
        </w:tc>
        <w:tc>
          <w:tcPr>
            <w:tcW w:w="1280" w:type="dxa"/>
            <w:tcBorders>
              <w:top w:val="nil"/>
              <w:left w:val="nil"/>
              <w:bottom w:val="nil"/>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Collaborator</w:t>
            </w:r>
          </w:p>
        </w:tc>
        <w:tc>
          <w:tcPr>
            <w:tcW w:w="122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NCT Identifier</w:t>
            </w:r>
          </w:p>
        </w:tc>
        <w:tc>
          <w:tcPr>
            <w:tcW w:w="48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color w:val="000000"/>
                <w:sz w:val="18"/>
                <w:szCs w:val="18"/>
                <w:lang w:val="it-IT" w:eastAsia="it-IT"/>
              </w:rPr>
            </w:pPr>
            <w:r w:rsidRPr="00A020ED">
              <w:rPr>
                <w:rFonts w:ascii="Calibri" w:hAnsi="Calibri" w:cs="Calibri"/>
                <w:b/>
                <w:bCs/>
                <w:color w:val="000000"/>
                <w:sz w:val="18"/>
                <w:szCs w:val="18"/>
                <w:lang w:val="it-IT" w:eastAsia="it-IT"/>
              </w:rPr>
              <w:t>R</w:t>
            </w:r>
          </w:p>
        </w:tc>
      </w:tr>
      <w:tr w:rsidR="00A020ED" w:rsidRPr="00A020ED" w:rsidTr="001B29AE">
        <w:trPr>
          <w:trHeight w:val="45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w:t>
            </w:r>
          </w:p>
        </w:tc>
        <w:tc>
          <w:tcPr>
            <w:tcW w:w="142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Taselisib </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PIK3CA-mutated cancer</w:t>
            </w:r>
          </w:p>
        </w:tc>
        <w:tc>
          <w:tcPr>
            <w:tcW w:w="28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ORR: 9%</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2011</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2021</w:t>
            </w:r>
          </w:p>
        </w:tc>
        <w:tc>
          <w:tcPr>
            <w:tcW w:w="1280" w:type="dxa"/>
            <w:tcBorders>
              <w:top w:val="single" w:sz="4" w:space="0" w:color="auto"/>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Genentech, Inc</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noWrap/>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NCT01296555</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A020ED" w:rsidRDefault="00774009" w:rsidP="00A020ED">
            <w:pPr>
              <w:suppressAutoHyphens w:val="0"/>
              <w:jc w:val="center"/>
              <w:rPr>
                <w:rFonts w:ascii="Calibri" w:hAnsi="Calibri" w:cs="Calibri"/>
                <w:color w:val="000000"/>
                <w:sz w:val="16"/>
                <w:szCs w:val="16"/>
                <w:lang w:val="it-IT" w:eastAsia="it-IT"/>
              </w:rPr>
            </w:pPr>
            <w:r>
              <w:rPr>
                <w:rFonts w:ascii="Calibri" w:hAnsi="Calibri" w:cs="Calibri"/>
                <w:color w:val="000000"/>
                <w:sz w:val="16"/>
                <w:szCs w:val="16"/>
                <w:lang w:val="it-IT" w:eastAsia="it-IT"/>
              </w:rPr>
              <w:t>115</w:t>
            </w:r>
          </w:p>
        </w:tc>
      </w:tr>
      <w:tr w:rsidR="00A020ED" w:rsidRPr="00A020ED" w:rsidTr="001B29AE">
        <w:trPr>
          <w:trHeight w:val="9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1b</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Combination of taselisib with trastuzumab emtansine</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Advanced HER2+ breast cancer </w:t>
            </w:r>
          </w:p>
        </w:tc>
        <w:tc>
          <w:tcPr>
            <w:tcW w:w="28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PFS: 7.6 months; CR: 4%; PR: 29%; SD: 50% </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 NR</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2015</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Dana-Farber Cancer Institute</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Genentech Inc</w:t>
            </w:r>
          </w:p>
        </w:tc>
        <w:tc>
          <w:tcPr>
            <w:tcW w:w="1220" w:type="dxa"/>
            <w:tcBorders>
              <w:top w:val="single" w:sz="4" w:space="0" w:color="auto"/>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NCT02390427</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20ED" w:rsidRPr="00A020ED" w:rsidRDefault="00774009" w:rsidP="00A020ED">
            <w:pPr>
              <w:suppressAutoHyphens w:val="0"/>
              <w:jc w:val="center"/>
              <w:rPr>
                <w:rFonts w:ascii="Calibri" w:hAnsi="Calibri" w:cs="Calibri"/>
                <w:color w:val="000000"/>
                <w:sz w:val="16"/>
                <w:szCs w:val="16"/>
                <w:lang w:val="it-IT" w:eastAsia="it-IT"/>
              </w:rPr>
            </w:pPr>
            <w:r>
              <w:rPr>
                <w:rFonts w:ascii="Calibri" w:hAnsi="Calibri" w:cs="Calibri"/>
                <w:color w:val="000000"/>
                <w:sz w:val="16"/>
                <w:szCs w:val="16"/>
                <w:lang w:val="it-IT" w:eastAsia="it-IT"/>
              </w:rPr>
              <w:t>116</w:t>
            </w:r>
          </w:p>
        </w:tc>
      </w:tr>
      <w:tr w:rsidR="00A020ED" w:rsidRPr="00A020ED" w:rsidTr="001B29AE">
        <w:trPr>
          <w:trHeight w:val="112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lastRenderedPageBreak/>
              <w:t>1b</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Combination of taselisib with tamoxifen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Wild type and PIK3CA-mutated HR+ metastatic breast cancer </w:t>
            </w:r>
          </w:p>
        </w:tc>
        <w:tc>
          <w:tcPr>
            <w:tcW w:w="28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ORR: 24%; median time to disease progression: 3.7 months; disease control for at least 6 months: 40%. RP2D: 4 mg/once daily in a continuous schedule</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T</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2014</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The Netherlands Cancer Institute</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Genentech Inc, </w:t>
            </w:r>
            <w:r w:rsidRPr="00A020ED">
              <w:rPr>
                <w:rFonts w:ascii="Calibri" w:hAnsi="Calibri" w:cs="Calibri"/>
                <w:sz w:val="16"/>
                <w:szCs w:val="16"/>
                <w:lang w:val="it-IT" w:eastAsia="it-IT"/>
              </w:rPr>
              <w:br/>
              <w:t xml:space="preserve">EurocanPlatform, and </w:t>
            </w:r>
            <w:r w:rsidRPr="00A020ED">
              <w:rPr>
                <w:rFonts w:ascii="Calibri" w:hAnsi="Calibri" w:cs="Calibri"/>
                <w:sz w:val="16"/>
                <w:szCs w:val="16"/>
                <w:lang w:val="it-IT" w:eastAsia="it-IT"/>
              </w:rPr>
              <w:br/>
              <w:t>RATHER</w:t>
            </w:r>
          </w:p>
        </w:tc>
        <w:tc>
          <w:tcPr>
            <w:tcW w:w="1220" w:type="dxa"/>
            <w:tcBorders>
              <w:top w:val="single" w:sz="4" w:space="0" w:color="auto"/>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NCT02285179</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20ED" w:rsidRPr="00A020ED" w:rsidRDefault="00774009" w:rsidP="00A020ED">
            <w:pPr>
              <w:suppressAutoHyphens w:val="0"/>
              <w:jc w:val="center"/>
              <w:rPr>
                <w:rFonts w:ascii="Calibri" w:hAnsi="Calibri" w:cs="Calibri"/>
                <w:color w:val="000000"/>
                <w:sz w:val="16"/>
                <w:szCs w:val="16"/>
                <w:lang w:val="it-IT" w:eastAsia="it-IT"/>
              </w:rPr>
            </w:pPr>
            <w:r>
              <w:rPr>
                <w:rFonts w:ascii="Calibri" w:hAnsi="Calibri" w:cs="Calibri"/>
                <w:color w:val="000000"/>
                <w:sz w:val="16"/>
                <w:szCs w:val="16"/>
                <w:lang w:val="it-IT" w:eastAsia="it-IT"/>
              </w:rPr>
              <w:t>117</w:t>
            </w:r>
          </w:p>
        </w:tc>
      </w:tr>
      <w:tr w:rsidR="00A020ED" w:rsidRPr="00A020ED" w:rsidTr="001B29AE">
        <w:trPr>
          <w:trHeight w:val="13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1b</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Combination of taselisib with palbociclib </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Advanced solid tumor</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Reduction of pAKT, pGSK3β, and pRb in platelet rich plasma. R2PD: 2 mg/once daily</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U</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2015</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2019</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Royal Marsden NHS Foundation Trust</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Institute of Cancer Research United Kingdom, </w:t>
            </w:r>
            <w:r w:rsidRPr="00A020ED">
              <w:rPr>
                <w:rFonts w:ascii="Calibri" w:hAnsi="Calibri" w:cs="Calibri"/>
                <w:sz w:val="16"/>
                <w:szCs w:val="16"/>
                <w:lang w:val="it-IT" w:eastAsia="it-IT"/>
              </w:rPr>
              <w:br/>
              <w:t>Roche Pharma AG, and Pfizer</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NCT02389842</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A020ED" w:rsidRDefault="00774009" w:rsidP="00A020ED">
            <w:pPr>
              <w:suppressAutoHyphens w:val="0"/>
              <w:jc w:val="center"/>
              <w:rPr>
                <w:rFonts w:ascii="Calibri" w:hAnsi="Calibri" w:cs="Calibri"/>
                <w:color w:val="000000"/>
                <w:sz w:val="16"/>
                <w:szCs w:val="16"/>
                <w:lang w:val="it-IT" w:eastAsia="it-IT"/>
              </w:rPr>
            </w:pPr>
            <w:r>
              <w:rPr>
                <w:rFonts w:ascii="Calibri" w:hAnsi="Calibri" w:cs="Calibri"/>
                <w:color w:val="000000"/>
                <w:sz w:val="16"/>
                <w:szCs w:val="16"/>
                <w:lang w:val="it-IT" w:eastAsia="it-IT"/>
              </w:rPr>
              <w:t>118</w:t>
            </w:r>
          </w:p>
        </w:tc>
      </w:tr>
      <w:tr w:rsidR="00A020ED" w:rsidRPr="00A020ED" w:rsidTr="001B29AE">
        <w:trPr>
          <w:trHeight w:val="13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1b</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Triple combination of taselisib with palbociclib and fulvestrant </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Heavily pretreated PIK3CA-mutant, </w:t>
            </w:r>
            <w:r w:rsidR="00AB19C4">
              <w:rPr>
                <w:rFonts w:ascii="Calibri" w:hAnsi="Calibri" w:cs="Calibri"/>
                <w:sz w:val="16"/>
                <w:szCs w:val="16"/>
                <w:lang w:val="it-IT" w:eastAsia="it-IT"/>
              </w:rPr>
              <w:t xml:space="preserve">ER+, HER2- </w:t>
            </w:r>
            <w:r w:rsidRPr="00A020ED">
              <w:rPr>
                <w:rFonts w:ascii="Calibri" w:hAnsi="Calibri" w:cs="Calibri"/>
                <w:sz w:val="16"/>
                <w:szCs w:val="16"/>
                <w:lang w:val="it-IT" w:eastAsia="it-IT"/>
              </w:rPr>
              <w:t xml:space="preserve">advanced breast cancer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ORR: 37.5%</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U</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2015</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2019</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Royal Marsden NHS Foundation Trust</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Institute of Cancer Research UK, </w:t>
            </w:r>
            <w:r w:rsidRPr="00A020ED">
              <w:rPr>
                <w:rFonts w:ascii="Calibri" w:hAnsi="Calibri" w:cs="Calibri"/>
                <w:sz w:val="16"/>
                <w:szCs w:val="16"/>
                <w:lang w:val="it-IT" w:eastAsia="it-IT"/>
              </w:rPr>
              <w:br/>
              <w:t>Roche Pharma AG, and Pfizer</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NCT02389842</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A020ED" w:rsidRDefault="00774009" w:rsidP="00A020ED">
            <w:pPr>
              <w:suppressAutoHyphens w:val="0"/>
              <w:jc w:val="center"/>
              <w:rPr>
                <w:rFonts w:ascii="Calibri" w:hAnsi="Calibri" w:cs="Calibri"/>
                <w:color w:val="000000"/>
                <w:sz w:val="16"/>
                <w:szCs w:val="16"/>
                <w:lang w:val="it-IT" w:eastAsia="it-IT"/>
              </w:rPr>
            </w:pPr>
            <w:r>
              <w:rPr>
                <w:rFonts w:ascii="Calibri" w:hAnsi="Calibri" w:cs="Calibri"/>
                <w:color w:val="000000"/>
                <w:sz w:val="16"/>
                <w:szCs w:val="16"/>
                <w:lang w:val="it-IT" w:eastAsia="it-IT"/>
              </w:rPr>
              <w:t>119</w:t>
            </w:r>
          </w:p>
        </w:tc>
      </w:tr>
      <w:tr w:rsidR="00A020ED" w:rsidRPr="00A020ED" w:rsidTr="001B29AE">
        <w:trPr>
          <w:trHeight w:val="112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Taselisib </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PIK3CA-mutated solid tumor, except breast cancer, squamous lung cancer</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6-month PFS: 19.9%, and median PFS: 3.1 months. 6-month OS: 60.7%, and median OS: 7.2 months</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 R</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2015</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2022</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National Cancer Institute (NCI)</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NCT02465060</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A020ED" w:rsidRDefault="00774009" w:rsidP="00A020ED">
            <w:pPr>
              <w:suppressAutoHyphens w:val="0"/>
              <w:jc w:val="center"/>
              <w:rPr>
                <w:rFonts w:ascii="Calibri" w:hAnsi="Calibri" w:cs="Calibri"/>
                <w:color w:val="000000"/>
                <w:sz w:val="16"/>
                <w:szCs w:val="16"/>
                <w:lang w:val="it-IT" w:eastAsia="it-IT"/>
              </w:rPr>
            </w:pPr>
            <w:r>
              <w:rPr>
                <w:rFonts w:ascii="Calibri" w:hAnsi="Calibri" w:cs="Calibri"/>
                <w:color w:val="000000"/>
                <w:sz w:val="16"/>
                <w:szCs w:val="16"/>
                <w:lang w:val="it-IT" w:eastAsia="it-IT"/>
              </w:rPr>
              <w:t>120</w:t>
            </w:r>
          </w:p>
        </w:tc>
      </w:tr>
      <w:tr w:rsidR="00A020ED" w:rsidRPr="00A020ED" w:rsidTr="001B29AE">
        <w:trPr>
          <w:trHeight w:val="202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Combination of taselisib with letrozole </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HR+, HER2- early stage breast cancer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In PIK3CA wild type cancer (ORR: 50% with taselisib + letrozole vs ORR: 39% with letrozole + placebo). In PIK3CA-mutated cancer (ORR: 56% with the combination vs ORR: 38% with letrozole + placebo)</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2014</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2018</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2018</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Genentech, Inc</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SOLTI Breast Cancer Research Group, </w:t>
            </w:r>
            <w:r w:rsidRPr="00A020ED">
              <w:rPr>
                <w:rFonts w:ascii="Calibri" w:hAnsi="Calibri" w:cs="Calibri"/>
                <w:sz w:val="16"/>
                <w:szCs w:val="16"/>
                <w:lang w:val="it-IT" w:eastAsia="it-IT"/>
              </w:rPr>
              <w:br/>
              <w:t>Breast International Group, and</w:t>
            </w:r>
            <w:r w:rsidRPr="00A020ED">
              <w:rPr>
                <w:rFonts w:ascii="Calibri" w:hAnsi="Calibri" w:cs="Calibri"/>
                <w:sz w:val="16"/>
                <w:szCs w:val="16"/>
                <w:lang w:val="it-IT" w:eastAsia="it-IT"/>
              </w:rPr>
              <w:br/>
              <w:t>Austrian Breast and Colorectal Cancer Group</w:t>
            </w:r>
          </w:p>
        </w:tc>
        <w:tc>
          <w:tcPr>
            <w:tcW w:w="12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NCT02273973</w:t>
            </w:r>
          </w:p>
        </w:tc>
        <w:tc>
          <w:tcPr>
            <w:tcW w:w="480" w:type="dxa"/>
            <w:tcBorders>
              <w:top w:val="nil"/>
              <w:left w:val="nil"/>
              <w:bottom w:val="single" w:sz="4" w:space="0" w:color="auto"/>
              <w:right w:val="single" w:sz="4" w:space="0" w:color="auto"/>
            </w:tcBorders>
            <w:shd w:val="clear" w:color="auto" w:fill="auto"/>
            <w:noWrap/>
            <w:vAlign w:val="center"/>
          </w:tcPr>
          <w:p w:rsidR="00A020ED" w:rsidRPr="00A020ED" w:rsidRDefault="00774009" w:rsidP="00A020ED">
            <w:pPr>
              <w:suppressAutoHyphens w:val="0"/>
              <w:jc w:val="center"/>
              <w:rPr>
                <w:rFonts w:ascii="Calibri" w:hAnsi="Calibri" w:cs="Calibri"/>
                <w:color w:val="000000"/>
                <w:sz w:val="16"/>
                <w:szCs w:val="16"/>
                <w:lang w:val="it-IT" w:eastAsia="it-IT"/>
              </w:rPr>
            </w:pPr>
            <w:r>
              <w:rPr>
                <w:rFonts w:ascii="Calibri" w:hAnsi="Calibri" w:cs="Calibri"/>
                <w:color w:val="000000"/>
                <w:sz w:val="16"/>
                <w:szCs w:val="16"/>
                <w:lang w:val="it-IT" w:eastAsia="it-IT"/>
              </w:rPr>
              <w:t>121</w:t>
            </w:r>
          </w:p>
        </w:tc>
      </w:tr>
      <w:tr w:rsidR="00A020ED" w:rsidRPr="00A020ED" w:rsidTr="000B1AB4">
        <w:trPr>
          <w:trHeight w:val="135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Combination of taselisib with fulvestrant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HR+, HER2- advanced breast cancer</w:t>
            </w:r>
          </w:p>
        </w:tc>
        <w:tc>
          <w:tcPr>
            <w:tcW w:w="28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ORR: 38.5%, and CBR: 38.5% (tumor with PIK3CA-mutations). ORR: 14.3%, and CBR: 23.8% (tumor without PIK3CA mutations). ORR: 20%, and CBR: 30% (tumor with un</w:t>
            </w:r>
            <w:r w:rsidR="009A40FF">
              <w:rPr>
                <w:rFonts w:ascii="Calibri" w:hAnsi="Calibri" w:cs="Calibri"/>
                <w:sz w:val="16"/>
                <w:szCs w:val="16"/>
                <w:lang w:val="it-IT" w:eastAsia="it-IT"/>
              </w:rPr>
              <w:t>known PIK3CA-mutation status)</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2011</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2021</w:t>
            </w:r>
          </w:p>
        </w:tc>
        <w:tc>
          <w:tcPr>
            <w:tcW w:w="1280" w:type="dxa"/>
            <w:tcBorders>
              <w:top w:val="single" w:sz="4" w:space="0" w:color="auto"/>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Genentech, Inc</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single" w:sz="4" w:space="0" w:color="auto"/>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NCT01296555</w:t>
            </w:r>
          </w:p>
        </w:tc>
        <w:tc>
          <w:tcPr>
            <w:tcW w:w="480" w:type="dxa"/>
            <w:tcBorders>
              <w:top w:val="single" w:sz="4" w:space="0" w:color="auto"/>
              <w:left w:val="nil"/>
              <w:bottom w:val="single" w:sz="4" w:space="0" w:color="auto"/>
              <w:right w:val="single" w:sz="4" w:space="0" w:color="auto"/>
            </w:tcBorders>
            <w:shd w:val="clear" w:color="auto" w:fill="auto"/>
            <w:noWrap/>
            <w:vAlign w:val="center"/>
            <w:hideMark/>
          </w:tcPr>
          <w:p w:rsidR="00A020ED" w:rsidRPr="00A020ED" w:rsidRDefault="00774009" w:rsidP="00A020ED">
            <w:pPr>
              <w:suppressAutoHyphens w:val="0"/>
              <w:jc w:val="center"/>
              <w:rPr>
                <w:rFonts w:ascii="Calibri" w:hAnsi="Calibri" w:cs="Calibri"/>
                <w:color w:val="000000"/>
                <w:sz w:val="16"/>
                <w:szCs w:val="16"/>
                <w:lang w:val="it-IT" w:eastAsia="it-IT"/>
              </w:rPr>
            </w:pPr>
            <w:r>
              <w:rPr>
                <w:rFonts w:ascii="Calibri" w:hAnsi="Calibri" w:cs="Calibri"/>
                <w:color w:val="000000"/>
                <w:sz w:val="16"/>
                <w:szCs w:val="16"/>
                <w:lang w:val="it-IT" w:eastAsia="it-IT"/>
              </w:rPr>
              <w:t>122</w:t>
            </w:r>
          </w:p>
        </w:tc>
      </w:tr>
      <w:tr w:rsidR="00A020ED" w:rsidRPr="00A020ED" w:rsidTr="000B1AB4">
        <w:trPr>
          <w:trHeight w:val="157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lastRenderedPageBreak/>
              <w:t>3</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9A40FF"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 xml:space="preserve">Combination of taselisib </w:t>
            </w:r>
            <w:r w:rsidR="00A020ED" w:rsidRPr="00A020ED">
              <w:rPr>
                <w:rFonts w:ascii="Calibri" w:hAnsi="Calibri" w:cs="Calibri"/>
                <w:sz w:val="16"/>
                <w:szCs w:val="16"/>
                <w:lang w:val="it-IT" w:eastAsia="it-IT"/>
              </w:rPr>
              <w:t>with fulvestrant</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ER+, PIK3CA-mutant, HER2-, advanced breast cancer</w:t>
            </w:r>
          </w:p>
        </w:tc>
        <w:tc>
          <w:tcPr>
            <w:tcW w:w="28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PFS: 7.4 months with taselisib + fulvestrant vs PFS: 5.4 months with placebo + fulvestrant (investigator assessed). ORR: 28%, CBR: 51.5%, and DOR: 8.7% with taselisib + fulvestrant vs ORR: 11.9%, CBR: 37.3%, and DOR: 7.2% with placebo + fulvestrant </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T</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2015</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2019</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Hoffmann-La Roche</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NCT02340221</w:t>
            </w:r>
          </w:p>
        </w:tc>
        <w:tc>
          <w:tcPr>
            <w:tcW w:w="4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774009" w:rsidP="00A020ED">
            <w:pPr>
              <w:suppressAutoHyphens w:val="0"/>
              <w:jc w:val="center"/>
              <w:rPr>
                <w:rFonts w:ascii="Calibri" w:hAnsi="Calibri" w:cs="Calibri"/>
                <w:color w:val="000000"/>
                <w:sz w:val="16"/>
                <w:szCs w:val="16"/>
                <w:lang w:val="it-IT" w:eastAsia="it-IT"/>
              </w:rPr>
            </w:pPr>
            <w:r>
              <w:rPr>
                <w:rFonts w:ascii="Calibri" w:hAnsi="Calibri" w:cs="Calibri"/>
                <w:color w:val="000000"/>
                <w:sz w:val="16"/>
                <w:szCs w:val="16"/>
                <w:lang w:val="it-IT" w:eastAsia="it-IT"/>
              </w:rPr>
              <w:t>123</w:t>
            </w:r>
          </w:p>
        </w:tc>
      </w:tr>
      <w:tr w:rsidR="00A020ED" w:rsidRPr="00A020ED" w:rsidTr="00A020ED">
        <w:trPr>
          <w:trHeight w:val="255"/>
        </w:trPr>
        <w:tc>
          <w:tcPr>
            <w:tcW w:w="13060" w:type="dxa"/>
            <w:gridSpan w:val="13"/>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A020ED" w:rsidRPr="00A020ED" w:rsidRDefault="00A020ED" w:rsidP="00A020ED">
            <w:pPr>
              <w:suppressAutoHyphens w:val="0"/>
              <w:jc w:val="center"/>
              <w:rPr>
                <w:rFonts w:ascii="Calibri" w:hAnsi="Calibri" w:cs="Calibri"/>
                <w:b/>
                <w:bCs/>
                <w:sz w:val="20"/>
                <w:szCs w:val="20"/>
                <w:lang w:val="it-IT" w:eastAsia="it-IT"/>
              </w:rPr>
            </w:pPr>
            <w:r w:rsidRPr="00A020ED">
              <w:rPr>
                <w:rFonts w:ascii="Calibri" w:hAnsi="Calibri" w:cs="Calibri"/>
                <w:b/>
                <w:bCs/>
                <w:sz w:val="20"/>
                <w:szCs w:val="20"/>
                <w:lang w:val="it-IT" w:eastAsia="it-IT"/>
              </w:rPr>
              <w:t xml:space="preserve">Acalisib </w:t>
            </w:r>
            <w:r w:rsidRPr="00A020ED">
              <w:rPr>
                <w:rFonts w:ascii="Calibri" w:hAnsi="Calibri" w:cs="Calibri"/>
                <w:sz w:val="20"/>
                <w:szCs w:val="20"/>
                <w:lang w:val="it-IT" w:eastAsia="it-IT"/>
              </w:rPr>
              <w:t>(CAL-120, GS-9820) [PI3Kβ/δ Inhibitor]</w:t>
            </w:r>
          </w:p>
        </w:tc>
      </w:tr>
      <w:tr w:rsidR="00A020ED" w:rsidRPr="00A020ED" w:rsidTr="00A020ED">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Phase</w:t>
            </w:r>
          </w:p>
        </w:tc>
        <w:tc>
          <w:tcPr>
            <w:tcW w:w="142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Treatment</w:t>
            </w:r>
          </w:p>
        </w:tc>
        <w:tc>
          <w:tcPr>
            <w:tcW w:w="148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Disease</w:t>
            </w:r>
          </w:p>
        </w:tc>
        <w:tc>
          <w:tcPr>
            <w:tcW w:w="28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Outcome</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ISP</w:t>
            </w:r>
          </w:p>
        </w:tc>
        <w:tc>
          <w:tcPr>
            <w:tcW w:w="56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Status</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FP</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RFP</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LUP</w:t>
            </w:r>
          </w:p>
        </w:tc>
        <w:tc>
          <w:tcPr>
            <w:tcW w:w="1280" w:type="dxa"/>
            <w:tcBorders>
              <w:top w:val="nil"/>
              <w:left w:val="nil"/>
              <w:bottom w:val="nil"/>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Sponsor</w:t>
            </w:r>
          </w:p>
        </w:tc>
        <w:tc>
          <w:tcPr>
            <w:tcW w:w="1280" w:type="dxa"/>
            <w:tcBorders>
              <w:top w:val="nil"/>
              <w:left w:val="nil"/>
              <w:bottom w:val="nil"/>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Collaborator</w:t>
            </w:r>
          </w:p>
        </w:tc>
        <w:tc>
          <w:tcPr>
            <w:tcW w:w="122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NCT Identifier</w:t>
            </w:r>
          </w:p>
        </w:tc>
        <w:tc>
          <w:tcPr>
            <w:tcW w:w="48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color w:val="000000"/>
                <w:sz w:val="18"/>
                <w:szCs w:val="18"/>
                <w:lang w:val="it-IT" w:eastAsia="it-IT"/>
              </w:rPr>
            </w:pPr>
            <w:r w:rsidRPr="00A020ED">
              <w:rPr>
                <w:rFonts w:ascii="Calibri" w:hAnsi="Calibri" w:cs="Calibri"/>
                <w:b/>
                <w:bCs/>
                <w:color w:val="000000"/>
                <w:sz w:val="18"/>
                <w:szCs w:val="18"/>
                <w:lang w:val="it-IT" w:eastAsia="it-IT"/>
              </w:rPr>
              <w:t>R</w:t>
            </w:r>
          </w:p>
        </w:tc>
      </w:tr>
      <w:tr w:rsidR="00A020ED" w:rsidRPr="00A020ED" w:rsidTr="00A020ED">
        <w:trPr>
          <w:trHeight w:val="112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1b</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Acalisib</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Relapsed or refractory lymphoid malignancies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ORR: 42.1%, and PFS: 8.2 months. ORR: 53.3%, and PFS: 16.6 (chronic lymphocytic leukemia). ORR: 28.6%, and PFS: 4.0 months (non-Hodgkin’s lymphoma and Hodgkin’s lymphoma)</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2012</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2016</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Gilead Sciences</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NCT01705847</w:t>
            </w:r>
          </w:p>
        </w:tc>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w:t>
            </w:r>
            <w:r w:rsidR="00CC6E52">
              <w:rPr>
                <w:rFonts w:ascii="Calibri" w:hAnsi="Calibri" w:cs="Calibri"/>
                <w:sz w:val="16"/>
                <w:szCs w:val="16"/>
                <w:lang w:val="it-IT" w:eastAsia="it-IT"/>
              </w:rPr>
              <w:t>124</w:t>
            </w:r>
          </w:p>
        </w:tc>
      </w:tr>
      <w:tr w:rsidR="00A020ED" w:rsidRPr="00A020ED" w:rsidTr="00A020ED">
        <w:trPr>
          <w:trHeight w:val="255"/>
        </w:trPr>
        <w:tc>
          <w:tcPr>
            <w:tcW w:w="13060" w:type="dxa"/>
            <w:gridSpan w:val="13"/>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A020ED" w:rsidRPr="00A020ED" w:rsidRDefault="00A020ED" w:rsidP="00A020ED">
            <w:pPr>
              <w:suppressAutoHyphens w:val="0"/>
              <w:jc w:val="center"/>
              <w:rPr>
                <w:rFonts w:ascii="Calibri" w:hAnsi="Calibri" w:cs="Calibri"/>
                <w:b/>
                <w:bCs/>
                <w:sz w:val="20"/>
                <w:szCs w:val="20"/>
                <w:lang w:val="it-IT" w:eastAsia="it-IT"/>
              </w:rPr>
            </w:pPr>
            <w:r w:rsidRPr="009E7F1C">
              <w:rPr>
                <w:rFonts w:ascii="Calibri" w:hAnsi="Calibri" w:cs="Calibri"/>
                <w:b/>
                <w:bCs/>
                <w:sz w:val="20"/>
                <w:szCs w:val="20"/>
                <w:lang w:val="it-IT" w:eastAsia="it-IT"/>
              </w:rPr>
              <w:t xml:space="preserve">AZD8186 </w:t>
            </w:r>
            <w:r w:rsidRPr="009E7F1C">
              <w:rPr>
                <w:rFonts w:ascii="Calibri" w:hAnsi="Calibri" w:cs="Calibri"/>
                <w:sz w:val="20"/>
                <w:szCs w:val="20"/>
                <w:lang w:val="it-IT" w:eastAsia="it-IT"/>
              </w:rPr>
              <w:t>(1627494-13-6) [PI3Kβ Inhibitor]</w:t>
            </w:r>
          </w:p>
        </w:tc>
      </w:tr>
      <w:tr w:rsidR="00A020ED" w:rsidRPr="00A020ED" w:rsidTr="00A020ED">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Phase</w:t>
            </w:r>
          </w:p>
        </w:tc>
        <w:tc>
          <w:tcPr>
            <w:tcW w:w="142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Treatment</w:t>
            </w:r>
          </w:p>
        </w:tc>
        <w:tc>
          <w:tcPr>
            <w:tcW w:w="148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Disease</w:t>
            </w:r>
          </w:p>
        </w:tc>
        <w:tc>
          <w:tcPr>
            <w:tcW w:w="28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Outcome</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ISP</w:t>
            </w:r>
          </w:p>
        </w:tc>
        <w:tc>
          <w:tcPr>
            <w:tcW w:w="56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Status</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FP</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RFP</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LUP</w:t>
            </w:r>
          </w:p>
        </w:tc>
        <w:tc>
          <w:tcPr>
            <w:tcW w:w="1280" w:type="dxa"/>
            <w:tcBorders>
              <w:top w:val="nil"/>
              <w:left w:val="nil"/>
              <w:bottom w:val="nil"/>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Sponsor</w:t>
            </w:r>
          </w:p>
        </w:tc>
        <w:tc>
          <w:tcPr>
            <w:tcW w:w="1280" w:type="dxa"/>
            <w:tcBorders>
              <w:top w:val="nil"/>
              <w:left w:val="nil"/>
              <w:bottom w:val="nil"/>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Collaborator</w:t>
            </w:r>
          </w:p>
        </w:tc>
        <w:tc>
          <w:tcPr>
            <w:tcW w:w="122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NCT Identifier</w:t>
            </w:r>
          </w:p>
        </w:tc>
        <w:tc>
          <w:tcPr>
            <w:tcW w:w="48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color w:val="000000"/>
                <w:sz w:val="18"/>
                <w:szCs w:val="18"/>
                <w:lang w:val="it-IT" w:eastAsia="it-IT"/>
              </w:rPr>
            </w:pPr>
            <w:r w:rsidRPr="00A020ED">
              <w:rPr>
                <w:rFonts w:ascii="Calibri" w:hAnsi="Calibri" w:cs="Calibri"/>
                <w:b/>
                <w:bCs/>
                <w:color w:val="000000"/>
                <w:sz w:val="18"/>
                <w:szCs w:val="18"/>
                <w:lang w:val="it-IT" w:eastAsia="it-IT"/>
              </w:rPr>
              <w:t>R</w:t>
            </w:r>
          </w:p>
        </w:tc>
      </w:tr>
      <w:tr w:rsidR="00A020ED" w:rsidRPr="00A020ED" w:rsidTr="00A0575E">
        <w:trPr>
          <w:trHeight w:val="13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AZD8186</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Advanced Solid Tumor</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PR: 2.9%, and SD: 38.2%. RP2D: 60 mg/twice daily (5 days on and 2 days off). However, doses of 120 mg/twice daily (continuous, and 5 days on and 2 days off) were also considered tolerable</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2013</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2020</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AstraZeneca</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NCT01884285</w:t>
            </w:r>
          </w:p>
        </w:tc>
        <w:tc>
          <w:tcPr>
            <w:tcW w:w="480" w:type="dxa"/>
            <w:tcBorders>
              <w:top w:val="nil"/>
              <w:left w:val="nil"/>
              <w:bottom w:val="single" w:sz="4" w:space="0" w:color="auto"/>
              <w:right w:val="single" w:sz="4" w:space="0" w:color="auto"/>
            </w:tcBorders>
            <w:shd w:val="clear" w:color="auto" w:fill="auto"/>
            <w:noWrap/>
            <w:vAlign w:val="center"/>
          </w:tcPr>
          <w:p w:rsidR="00A020ED" w:rsidRPr="00A020ED" w:rsidRDefault="00A0575E"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128</w:t>
            </w:r>
          </w:p>
        </w:tc>
      </w:tr>
      <w:tr w:rsidR="00A020ED" w:rsidRPr="00A020ED" w:rsidTr="00A0575E">
        <w:trPr>
          <w:trHeight w:val="9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Combination of AZD8186 with abiraterone acetate</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Metastatic castrate-resistant prostate cancer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PR: 1.9%; SD: 19.2%. 17.3% of patients showed a &gt;30% decrease in prostate-specific antigen (PSA)</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2013</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2020</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AstraZeneca</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NCT01884285</w:t>
            </w:r>
          </w:p>
        </w:tc>
        <w:tc>
          <w:tcPr>
            <w:tcW w:w="480" w:type="dxa"/>
            <w:tcBorders>
              <w:top w:val="nil"/>
              <w:left w:val="nil"/>
              <w:bottom w:val="single" w:sz="4" w:space="0" w:color="auto"/>
              <w:right w:val="single" w:sz="4" w:space="0" w:color="auto"/>
            </w:tcBorders>
            <w:shd w:val="clear" w:color="auto" w:fill="auto"/>
            <w:noWrap/>
            <w:vAlign w:val="center"/>
          </w:tcPr>
          <w:p w:rsidR="00A020ED" w:rsidRPr="00A020ED" w:rsidRDefault="00A0575E"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129</w:t>
            </w:r>
          </w:p>
        </w:tc>
      </w:tr>
      <w:tr w:rsidR="00A020ED" w:rsidRPr="00A020ED" w:rsidTr="00A020ED">
        <w:trPr>
          <w:trHeight w:val="255"/>
        </w:trPr>
        <w:tc>
          <w:tcPr>
            <w:tcW w:w="13060" w:type="dxa"/>
            <w:gridSpan w:val="13"/>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A020ED" w:rsidRPr="00A020ED" w:rsidRDefault="00A020ED" w:rsidP="00A020ED">
            <w:pPr>
              <w:suppressAutoHyphens w:val="0"/>
              <w:jc w:val="center"/>
              <w:rPr>
                <w:rFonts w:ascii="Calibri" w:hAnsi="Calibri" w:cs="Calibri"/>
                <w:b/>
                <w:bCs/>
                <w:sz w:val="20"/>
                <w:szCs w:val="20"/>
                <w:lang w:val="it-IT" w:eastAsia="it-IT"/>
              </w:rPr>
            </w:pPr>
            <w:r w:rsidRPr="00A020ED">
              <w:rPr>
                <w:rFonts w:ascii="Calibri" w:hAnsi="Calibri" w:cs="Calibri"/>
                <w:b/>
                <w:bCs/>
                <w:sz w:val="20"/>
                <w:szCs w:val="20"/>
                <w:lang w:val="it-IT" w:eastAsia="it-IT"/>
              </w:rPr>
              <w:t xml:space="preserve">GSK2636771 </w:t>
            </w:r>
            <w:r w:rsidRPr="00A020ED">
              <w:rPr>
                <w:rFonts w:ascii="Calibri" w:hAnsi="Calibri" w:cs="Calibri"/>
                <w:sz w:val="20"/>
                <w:szCs w:val="20"/>
                <w:lang w:val="it-IT" w:eastAsia="it-IT"/>
              </w:rPr>
              <w:t>(GSK-2636771) [PI3Kβ Inhibitor]</w:t>
            </w:r>
          </w:p>
        </w:tc>
      </w:tr>
      <w:tr w:rsidR="00A020ED" w:rsidRPr="00A020ED" w:rsidTr="00A020ED">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Phase</w:t>
            </w:r>
          </w:p>
        </w:tc>
        <w:tc>
          <w:tcPr>
            <w:tcW w:w="142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Treatment</w:t>
            </w:r>
          </w:p>
        </w:tc>
        <w:tc>
          <w:tcPr>
            <w:tcW w:w="148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Disease</w:t>
            </w:r>
          </w:p>
        </w:tc>
        <w:tc>
          <w:tcPr>
            <w:tcW w:w="28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Outcome</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ISP</w:t>
            </w:r>
          </w:p>
        </w:tc>
        <w:tc>
          <w:tcPr>
            <w:tcW w:w="56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Status</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FP</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RFP</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LUP</w:t>
            </w:r>
          </w:p>
        </w:tc>
        <w:tc>
          <w:tcPr>
            <w:tcW w:w="1280" w:type="dxa"/>
            <w:tcBorders>
              <w:top w:val="nil"/>
              <w:left w:val="nil"/>
              <w:bottom w:val="nil"/>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Sponsor</w:t>
            </w:r>
          </w:p>
        </w:tc>
        <w:tc>
          <w:tcPr>
            <w:tcW w:w="1280" w:type="dxa"/>
            <w:tcBorders>
              <w:top w:val="nil"/>
              <w:left w:val="nil"/>
              <w:bottom w:val="nil"/>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Collaborator</w:t>
            </w:r>
          </w:p>
        </w:tc>
        <w:tc>
          <w:tcPr>
            <w:tcW w:w="122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NCT Identifier</w:t>
            </w:r>
          </w:p>
        </w:tc>
        <w:tc>
          <w:tcPr>
            <w:tcW w:w="48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color w:val="000000"/>
                <w:sz w:val="18"/>
                <w:szCs w:val="18"/>
                <w:lang w:val="it-IT" w:eastAsia="it-IT"/>
              </w:rPr>
            </w:pPr>
            <w:r w:rsidRPr="00A020ED">
              <w:rPr>
                <w:rFonts w:ascii="Calibri" w:hAnsi="Calibri" w:cs="Calibri"/>
                <w:b/>
                <w:bCs/>
                <w:color w:val="000000"/>
                <w:sz w:val="18"/>
                <w:szCs w:val="18"/>
                <w:lang w:val="it-IT" w:eastAsia="it-IT"/>
              </w:rPr>
              <w:t>R</w:t>
            </w:r>
          </w:p>
        </w:tc>
      </w:tr>
      <w:tr w:rsidR="00A020ED" w:rsidRPr="00A020ED" w:rsidTr="003B13CD">
        <w:trPr>
          <w:trHeight w:val="112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Combination of GSK2636771 with enzalutamide </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PTEN-deficient metastatic castration-resistant prostate cancer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12-week non-progressive disease rate: 50%; radiogr</w:t>
            </w:r>
            <w:r w:rsidR="00FC65CE">
              <w:rPr>
                <w:rFonts w:ascii="Calibri" w:hAnsi="Calibri" w:cs="Calibri"/>
                <w:sz w:val="16"/>
                <w:szCs w:val="16"/>
                <w:lang w:val="it-IT" w:eastAsia="it-IT"/>
              </w:rPr>
              <w:t xml:space="preserve">aphic PR lasting 36 weeks: 3%; </w:t>
            </w:r>
            <w:r w:rsidRPr="00A020ED">
              <w:rPr>
                <w:rFonts w:ascii="Calibri" w:hAnsi="Calibri" w:cs="Calibri"/>
                <w:sz w:val="16"/>
                <w:szCs w:val="16"/>
                <w:lang w:val="it-IT" w:eastAsia="it-IT"/>
              </w:rPr>
              <w:t xml:space="preserve">prostate-specific antigen (PSA) reduction of ≥50%: 12% </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2014</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2020</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2020</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GlaxoSmithKline</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NCT02215096</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A020ED" w:rsidRDefault="0023300A" w:rsidP="00A020ED">
            <w:pPr>
              <w:suppressAutoHyphens w:val="0"/>
              <w:jc w:val="center"/>
              <w:rPr>
                <w:rFonts w:ascii="Calibri" w:hAnsi="Calibri" w:cs="Calibri"/>
                <w:color w:val="000000"/>
                <w:sz w:val="16"/>
                <w:szCs w:val="16"/>
                <w:lang w:val="it-IT" w:eastAsia="it-IT"/>
              </w:rPr>
            </w:pPr>
            <w:r>
              <w:rPr>
                <w:rFonts w:ascii="Calibri" w:hAnsi="Calibri" w:cs="Calibri"/>
                <w:color w:val="000000"/>
                <w:sz w:val="16"/>
                <w:szCs w:val="16"/>
                <w:lang w:val="it-IT" w:eastAsia="it-IT"/>
              </w:rPr>
              <w:t>132</w:t>
            </w:r>
          </w:p>
        </w:tc>
      </w:tr>
      <w:tr w:rsidR="00A020ED" w:rsidRPr="00A020ED" w:rsidTr="003B13CD">
        <w:trPr>
          <w:trHeight w:val="67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1, 2</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GSK2636771</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Advanced solid tumor with PTEN deficiency</w:t>
            </w:r>
          </w:p>
        </w:tc>
        <w:tc>
          <w:tcPr>
            <w:tcW w:w="28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SD: 24.5%; PR: 1.8%; reduction of pAKT: 33.9%. MTD and RP2D: 400 mg/once daily</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2011</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2018</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GlaxoSmithKline</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NCT01458067</w:t>
            </w: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A020ED" w:rsidRPr="00A020ED" w:rsidRDefault="0023300A"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133</w:t>
            </w:r>
          </w:p>
        </w:tc>
      </w:tr>
      <w:tr w:rsidR="00A020ED" w:rsidRPr="00A020ED" w:rsidTr="003B13CD">
        <w:trPr>
          <w:trHeight w:val="112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lastRenderedPageBreak/>
              <w:t>1, 2</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Combination of GSK2636771 with pembrolizumab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Metastatic castration-resistant prostate cancer with PTEN deficiency</w:t>
            </w:r>
          </w:p>
        </w:tc>
        <w:tc>
          <w:tcPr>
            <w:tcW w:w="28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PR: 18.1%. PFS (&gt; 12 months): 18.8 months. Prostate-specific antigen (PSA) &gt; 50% reduction as compared to baseline. RP2D: 200 mg/once daily</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2011</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2018</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GlaxoSmithKline</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NCT01458067</w:t>
            </w: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A020ED" w:rsidRPr="00A020ED" w:rsidRDefault="0023300A"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134</w:t>
            </w:r>
          </w:p>
        </w:tc>
      </w:tr>
      <w:tr w:rsidR="00A020ED" w:rsidRPr="00A020ED" w:rsidTr="003B13CD">
        <w:trPr>
          <w:trHeight w:val="9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1b, 2</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Combination of GSK2636771 with paclitaxel</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Advanced gastric cancer with alterations in PI3K pathway</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PFS: 12.1 weeks, OS: 33.4 weeks, ORR: 17.9%, and DCR: 67.9%. RP2D: 200 mg/once daily </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2015</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2021</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Yonsei University</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NCT02615730</w:t>
            </w:r>
          </w:p>
        </w:tc>
        <w:tc>
          <w:tcPr>
            <w:tcW w:w="480" w:type="dxa"/>
            <w:tcBorders>
              <w:top w:val="nil"/>
              <w:left w:val="nil"/>
              <w:bottom w:val="single" w:sz="4" w:space="0" w:color="auto"/>
              <w:right w:val="single" w:sz="4" w:space="0" w:color="auto"/>
            </w:tcBorders>
            <w:shd w:val="clear" w:color="auto" w:fill="auto"/>
            <w:vAlign w:val="center"/>
          </w:tcPr>
          <w:p w:rsidR="00A020ED" w:rsidRPr="00A020ED" w:rsidRDefault="0023300A"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135</w:t>
            </w:r>
          </w:p>
        </w:tc>
      </w:tr>
      <w:tr w:rsidR="00A020ED" w:rsidRPr="00A020ED" w:rsidTr="00A020ED">
        <w:trPr>
          <w:trHeight w:val="255"/>
        </w:trPr>
        <w:tc>
          <w:tcPr>
            <w:tcW w:w="13060" w:type="dxa"/>
            <w:gridSpan w:val="13"/>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A020ED" w:rsidRPr="00A020ED" w:rsidRDefault="00A020ED" w:rsidP="00A020ED">
            <w:pPr>
              <w:suppressAutoHyphens w:val="0"/>
              <w:jc w:val="center"/>
              <w:rPr>
                <w:rFonts w:ascii="Calibri" w:hAnsi="Calibri" w:cs="Calibri"/>
                <w:b/>
                <w:bCs/>
                <w:sz w:val="20"/>
                <w:szCs w:val="20"/>
                <w:lang w:val="it-IT" w:eastAsia="it-IT"/>
              </w:rPr>
            </w:pPr>
            <w:r w:rsidRPr="00A020ED">
              <w:rPr>
                <w:rFonts w:ascii="Calibri" w:hAnsi="Calibri" w:cs="Calibri"/>
                <w:b/>
                <w:bCs/>
                <w:sz w:val="20"/>
                <w:szCs w:val="20"/>
                <w:lang w:val="it-IT" w:eastAsia="it-IT"/>
              </w:rPr>
              <w:t xml:space="preserve">Duvelisib </w:t>
            </w:r>
            <w:r w:rsidRPr="00A020ED">
              <w:rPr>
                <w:rFonts w:ascii="Calibri" w:hAnsi="Calibri" w:cs="Calibri"/>
                <w:sz w:val="20"/>
                <w:szCs w:val="20"/>
                <w:lang w:val="it-IT" w:eastAsia="it-IT"/>
              </w:rPr>
              <w:t>(IPI-145, INK-1197) [PI3Kγ/δ Inhibitor]</w:t>
            </w:r>
          </w:p>
        </w:tc>
      </w:tr>
      <w:tr w:rsidR="00A020ED" w:rsidRPr="00A020ED" w:rsidTr="00A020ED">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Phase</w:t>
            </w:r>
          </w:p>
        </w:tc>
        <w:tc>
          <w:tcPr>
            <w:tcW w:w="142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Treatment</w:t>
            </w:r>
          </w:p>
        </w:tc>
        <w:tc>
          <w:tcPr>
            <w:tcW w:w="148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Disease</w:t>
            </w:r>
          </w:p>
        </w:tc>
        <w:tc>
          <w:tcPr>
            <w:tcW w:w="28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Outcome</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ISP</w:t>
            </w:r>
          </w:p>
        </w:tc>
        <w:tc>
          <w:tcPr>
            <w:tcW w:w="56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Status</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FP</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RFP</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LUP</w:t>
            </w:r>
          </w:p>
        </w:tc>
        <w:tc>
          <w:tcPr>
            <w:tcW w:w="1280" w:type="dxa"/>
            <w:tcBorders>
              <w:top w:val="nil"/>
              <w:left w:val="nil"/>
              <w:bottom w:val="nil"/>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Sponsor</w:t>
            </w:r>
          </w:p>
        </w:tc>
        <w:tc>
          <w:tcPr>
            <w:tcW w:w="1280" w:type="dxa"/>
            <w:tcBorders>
              <w:top w:val="nil"/>
              <w:left w:val="nil"/>
              <w:bottom w:val="nil"/>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Collaborator</w:t>
            </w:r>
          </w:p>
        </w:tc>
        <w:tc>
          <w:tcPr>
            <w:tcW w:w="122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NCT Identifier</w:t>
            </w:r>
          </w:p>
        </w:tc>
        <w:tc>
          <w:tcPr>
            <w:tcW w:w="48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color w:val="000000"/>
                <w:sz w:val="18"/>
                <w:szCs w:val="18"/>
                <w:lang w:val="it-IT" w:eastAsia="it-IT"/>
              </w:rPr>
            </w:pPr>
            <w:r w:rsidRPr="00A020ED">
              <w:rPr>
                <w:rFonts w:ascii="Calibri" w:hAnsi="Calibri" w:cs="Calibri"/>
                <w:b/>
                <w:bCs/>
                <w:color w:val="000000"/>
                <w:sz w:val="18"/>
                <w:szCs w:val="18"/>
                <w:lang w:val="it-IT" w:eastAsia="it-IT"/>
              </w:rPr>
              <w:t>R</w:t>
            </w:r>
          </w:p>
        </w:tc>
      </w:tr>
      <w:tr w:rsidR="00A020ED" w:rsidRPr="00A020ED" w:rsidTr="00091A8E">
        <w:trPr>
          <w:trHeight w:val="112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Duvelisib</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Relapsed peripheral T-cell lymphoma, and cutaneous T-cell lymphoma</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ORR: 50% (relapsed peripheral T-cell lymphoma). ORR: 31.6% (cutaneous T-cell lymphoma)</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2011</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SecuraBio</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NCT01476657</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A020ED" w:rsidRDefault="00091A8E"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141</w:t>
            </w:r>
          </w:p>
        </w:tc>
      </w:tr>
      <w:tr w:rsidR="00A020ED" w:rsidRPr="00A020ED" w:rsidTr="00091A8E">
        <w:trPr>
          <w:trHeight w:val="67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Duvelisib</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Relapsed or refractory lymphoma</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ORR: 71.4%; CR: 14.2%; PR: 85.8% </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2015</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2017</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AbbVie</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Infinity Pharmaceuticals Inc</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NCT02598570</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A020ED" w:rsidRDefault="00091A8E"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142</w:t>
            </w:r>
          </w:p>
        </w:tc>
      </w:tr>
      <w:tr w:rsidR="00A020ED" w:rsidRPr="00A020ED" w:rsidTr="00091A8E">
        <w:trPr>
          <w:trHeight w:val="13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Duvelisib</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Advanced hematologic malignancies</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ORR: 58% (indolent non-Hodgkin lymphoma). ORR: 56% (relapsed or refractory chronic lymphocytic leukemia). ORR: 50% (peripheral T-cell lymphoma). ORR: 32% (cutaneous T-cell lymphoma)</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2011</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2021</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SecuraBio</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NCT01476657</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A020ED" w:rsidRDefault="00091A8E"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143</w:t>
            </w:r>
          </w:p>
        </w:tc>
      </w:tr>
      <w:tr w:rsidR="00A020ED" w:rsidRPr="00A020ED" w:rsidTr="00091A8E">
        <w:trPr>
          <w:trHeight w:val="112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Triple combination of duvelisib with rituximab and bendamustine</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Non-Hodgkin lymphoma and chronic lymphocytic leukemia</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ORR: 71.8%; PFS: 13.7 months; 30-month OS probability: 62%</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2013</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2016</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SCRI Development Innovations, LLC</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Infinity Pharmaceuticals Inc</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NCT01871675</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A020ED" w:rsidRDefault="00091A8E"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144</w:t>
            </w:r>
          </w:p>
        </w:tc>
      </w:tr>
      <w:tr w:rsidR="00A020ED" w:rsidRPr="00A020ED" w:rsidTr="00091A8E">
        <w:trPr>
          <w:trHeight w:val="112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1b, 2</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Tetra combination of duvelisib with fludarabine, cyclophosphamide, and rituximab</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Chronic lymphocytic leukemia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3-year PFS: 73%; 3-year OS: 93%; ORR by intention-to-treat analysis: 88% </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 NR</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2014</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2018</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2022</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Dana-Farber Cancer Institute</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Verastem, Inc</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NCT02158091</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A020ED" w:rsidRDefault="00091A8E"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145</w:t>
            </w:r>
          </w:p>
        </w:tc>
      </w:tr>
      <w:tr w:rsidR="00A020ED" w:rsidRPr="00A020ED" w:rsidTr="00091A8E">
        <w:trPr>
          <w:trHeight w:val="112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Duvelisib</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Relapsed or refractory follicular lymphoma</w:t>
            </w:r>
          </w:p>
        </w:tc>
        <w:tc>
          <w:tcPr>
            <w:tcW w:w="28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 ORR: 83% (independent review committees assessment), CR: 26%, and PR: 56.5%. ORR: 78% (investigator assessment), and PR: 78.2%</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U</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2021</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CSPC ZhongQi Pharmaceutical Technology Co., Ltd</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single" w:sz="4" w:space="0" w:color="auto"/>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NCT04707079</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20ED" w:rsidRPr="00A020ED" w:rsidRDefault="00091A8E"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146</w:t>
            </w:r>
          </w:p>
        </w:tc>
      </w:tr>
      <w:tr w:rsidR="00A020ED" w:rsidRPr="00A020ED" w:rsidTr="00091A8E">
        <w:trPr>
          <w:trHeight w:val="112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lastRenderedPageBreak/>
              <w:t>2</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Duvelisib</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Heavily pretreated, double-refractory indolent non-Hodgkin lymphoma </w:t>
            </w:r>
          </w:p>
        </w:tc>
        <w:tc>
          <w:tcPr>
            <w:tcW w:w="28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ORR: 47.3%; PFS: 9.5 months; DOR: 10 months; OS: 28.9 months; median time to response: 1.87 months </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 NR</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2013</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2018</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SecuraBio</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single" w:sz="4" w:space="0" w:color="auto"/>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NCT01882803</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20ED" w:rsidRPr="00A020ED" w:rsidRDefault="00091A8E"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147</w:t>
            </w:r>
          </w:p>
        </w:tc>
      </w:tr>
      <w:tr w:rsidR="00A020ED" w:rsidRPr="00A020ED" w:rsidTr="00091A8E">
        <w:trPr>
          <w:trHeight w:val="13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3F1472" w:rsidRDefault="00A020ED" w:rsidP="00A020ED">
            <w:pPr>
              <w:suppressAutoHyphens w:val="0"/>
              <w:jc w:val="center"/>
              <w:rPr>
                <w:rFonts w:ascii="Calibri" w:hAnsi="Calibri" w:cs="Calibri"/>
                <w:sz w:val="16"/>
                <w:szCs w:val="16"/>
                <w:lang w:val="it-IT" w:eastAsia="it-IT"/>
              </w:rPr>
            </w:pPr>
            <w:r w:rsidRPr="003F1472">
              <w:rPr>
                <w:rFonts w:ascii="Calibri" w:hAnsi="Calibri" w:cs="Calibri"/>
                <w:sz w:val="16"/>
                <w:szCs w:val="16"/>
                <w:lang w:val="it-IT" w:eastAsia="it-IT"/>
              </w:rPr>
              <w:t>3</w:t>
            </w:r>
          </w:p>
        </w:tc>
        <w:tc>
          <w:tcPr>
            <w:tcW w:w="1420" w:type="dxa"/>
            <w:tcBorders>
              <w:top w:val="nil"/>
              <w:left w:val="nil"/>
              <w:bottom w:val="single" w:sz="4" w:space="0" w:color="auto"/>
              <w:right w:val="single" w:sz="4" w:space="0" w:color="auto"/>
            </w:tcBorders>
            <w:shd w:val="clear" w:color="auto" w:fill="auto"/>
            <w:vAlign w:val="center"/>
            <w:hideMark/>
          </w:tcPr>
          <w:p w:rsidR="00A020ED" w:rsidRPr="003F1472" w:rsidRDefault="00A020ED" w:rsidP="00A020ED">
            <w:pPr>
              <w:suppressAutoHyphens w:val="0"/>
              <w:jc w:val="center"/>
              <w:rPr>
                <w:rFonts w:ascii="Calibri" w:hAnsi="Calibri" w:cs="Calibri"/>
                <w:sz w:val="16"/>
                <w:szCs w:val="16"/>
                <w:lang w:val="it-IT" w:eastAsia="it-IT"/>
              </w:rPr>
            </w:pPr>
            <w:r w:rsidRPr="003F1472">
              <w:rPr>
                <w:rFonts w:ascii="Calibri" w:hAnsi="Calibri" w:cs="Calibri"/>
                <w:sz w:val="16"/>
                <w:szCs w:val="16"/>
                <w:lang w:val="it-IT" w:eastAsia="it-IT"/>
              </w:rPr>
              <w:t>Duvelisib</w:t>
            </w:r>
          </w:p>
        </w:tc>
        <w:tc>
          <w:tcPr>
            <w:tcW w:w="1480" w:type="dxa"/>
            <w:tcBorders>
              <w:top w:val="nil"/>
              <w:left w:val="nil"/>
              <w:bottom w:val="single" w:sz="4" w:space="0" w:color="auto"/>
              <w:right w:val="single" w:sz="4" w:space="0" w:color="auto"/>
            </w:tcBorders>
            <w:shd w:val="clear" w:color="auto" w:fill="auto"/>
            <w:vAlign w:val="center"/>
            <w:hideMark/>
          </w:tcPr>
          <w:p w:rsidR="00A020ED" w:rsidRPr="003F1472" w:rsidRDefault="00A020ED" w:rsidP="00A020ED">
            <w:pPr>
              <w:suppressAutoHyphens w:val="0"/>
              <w:jc w:val="center"/>
              <w:rPr>
                <w:rFonts w:ascii="Calibri" w:hAnsi="Calibri" w:cs="Calibri"/>
                <w:sz w:val="16"/>
                <w:szCs w:val="16"/>
                <w:lang w:val="it-IT" w:eastAsia="it-IT"/>
              </w:rPr>
            </w:pPr>
            <w:r w:rsidRPr="003F1472">
              <w:rPr>
                <w:rFonts w:ascii="Calibri" w:hAnsi="Calibri" w:cs="Calibri"/>
                <w:sz w:val="16"/>
                <w:szCs w:val="16"/>
                <w:lang w:val="it-IT" w:eastAsia="it-IT"/>
              </w:rPr>
              <w:t xml:space="preserve">Relapsed chronic lymphocytic leukemia, and relapsed small lymphocytic lymphoma </w:t>
            </w:r>
          </w:p>
        </w:tc>
        <w:tc>
          <w:tcPr>
            <w:tcW w:w="2800" w:type="dxa"/>
            <w:tcBorders>
              <w:top w:val="nil"/>
              <w:left w:val="nil"/>
              <w:bottom w:val="single" w:sz="4" w:space="0" w:color="auto"/>
              <w:right w:val="single" w:sz="4" w:space="0" w:color="auto"/>
            </w:tcBorders>
            <w:shd w:val="clear" w:color="auto" w:fill="auto"/>
            <w:vAlign w:val="center"/>
            <w:hideMark/>
          </w:tcPr>
          <w:p w:rsidR="00A020ED" w:rsidRPr="003F1472" w:rsidRDefault="00A020ED" w:rsidP="00A020ED">
            <w:pPr>
              <w:suppressAutoHyphens w:val="0"/>
              <w:jc w:val="center"/>
              <w:rPr>
                <w:rFonts w:ascii="Calibri" w:hAnsi="Calibri" w:cs="Calibri"/>
                <w:sz w:val="16"/>
                <w:szCs w:val="16"/>
                <w:lang w:val="it-IT" w:eastAsia="it-IT"/>
              </w:rPr>
            </w:pPr>
            <w:r w:rsidRPr="003F1472">
              <w:rPr>
                <w:rFonts w:ascii="Calibri" w:hAnsi="Calibri" w:cs="Calibri"/>
                <w:sz w:val="16"/>
                <w:szCs w:val="16"/>
                <w:lang w:val="it-IT" w:eastAsia="it-IT"/>
              </w:rPr>
              <w:t xml:space="preserve">PFS: 13.3 months, ORR: 74%, PR: 72.5%, and CR: 0.6% with duvelisib. PFS: 9.9 months, ORR: 45%, PR: 44.7%, and CR: 0.6% with ofatumumab </w:t>
            </w:r>
          </w:p>
        </w:tc>
        <w:tc>
          <w:tcPr>
            <w:tcW w:w="500" w:type="dxa"/>
            <w:tcBorders>
              <w:top w:val="nil"/>
              <w:left w:val="nil"/>
              <w:bottom w:val="single" w:sz="4" w:space="0" w:color="auto"/>
              <w:right w:val="single" w:sz="4" w:space="0" w:color="auto"/>
            </w:tcBorders>
            <w:shd w:val="clear" w:color="auto" w:fill="auto"/>
            <w:vAlign w:val="center"/>
            <w:hideMark/>
          </w:tcPr>
          <w:p w:rsidR="00A020ED" w:rsidRPr="003F1472" w:rsidRDefault="00A020ED" w:rsidP="00A020ED">
            <w:pPr>
              <w:suppressAutoHyphens w:val="0"/>
              <w:jc w:val="center"/>
              <w:rPr>
                <w:rFonts w:ascii="Calibri" w:hAnsi="Calibri" w:cs="Calibri"/>
                <w:sz w:val="16"/>
                <w:szCs w:val="16"/>
                <w:lang w:val="it-IT" w:eastAsia="it-IT"/>
              </w:rPr>
            </w:pPr>
            <w:r w:rsidRPr="003F1472">
              <w:rPr>
                <w:rFonts w:ascii="Calibri" w:hAnsi="Calibri" w:cs="Calibri"/>
                <w:sz w:val="16"/>
                <w:szCs w:val="16"/>
                <w:lang w:val="it-IT" w:eastAsia="it-IT"/>
              </w:rPr>
              <w:t>F</w:t>
            </w:r>
          </w:p>
        </w:tc>
        <w:tc>
          <w:tcPr>
            <w:tcW w:w="560" w:type="dxa"/>
            <w:tcBorders>
              <w:top w:val="nil"/>
              <w:left w:val="nil"/>
              <w:bottom w:val="single" w:sz="4" w:space="0" w:color="auto"/>
              <w:right w:val="single" w:sz="4" w:space="0" w:color="auto"/>
            </w:tcBorders>
            <w:shd w:val="clear" w:color="auto" w:fill="auto"/>
            <w:vAlign w:val="center"/>
            <w:hideMark/>
          </w:tcPr>
          <w:p w:rsidR="00A020ED" w:rsidRPr="003F1472" w:rsidRDefault="00A020ED" w:rsidP="00A020ED">
            <w:pPr>
              <w:suppressAutoHyphens w:val="0"/>
              <w:jc w:val="center"/>
              <w:rPr>
                <w:rFonts w:ascii="Calibri" w:hAnsi="Calibri" w:cs="Calibri"/>
                <w:sz w:val="16"/>
                <w:szCs w:val="16"/>
                <w:lang w:val="it-IT" w:eastAsia="it-IT"/>
              </w:rPr>
            </w:pPr>
            <w:r w:rsidRPr="003F1472">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3F1472" w:rsidRDefault="00A020ED" w:rsidP="00A020ED">
            <w:pPr>
              <w:suppressAutoHyphens w:val="0"/>
              <w:jc w:val="center"/>
              <w:rPr>
                <w:rFonts w:ascii="Calibri" w:hAnsi="Calibri" w:cs="Calibri"/>
                <w:sz w:val="16"/>
                <w:szCs w:val="16"/>
                <w:lang w:val="it-IT" w:eastAsia="it-IT"/>
              </w:rPr>
            </w:pPr>
            <w:r w:rsidRPr="003F1472">
              <w:rPr>
                <w:rFonts w:ascii="Calibri" w:hAnsi="Calibri" w:cs="Calibri"/>
                <w:sz w:val="16"/>
                <w:szCs w:val="16"/>
                <w:lang w:val="it-IT" w:eastAsia="it-IT"/>
              </w:rPr>
              <w:t>2013</w:t>
            </w:r>
          </w:p>
        </w:tc>
        <w:tc>
          <w:tcPr>
            <w:tcW w:w="500" w:type="dxa"/>
            <w:tcBorders>
              <w:top w:val="nil"/>
              <w:left w:val="nil"/>
              <w:bottom w:val="single" w:sz="4" w:space="0" w:color="auto"/>
              <w:right w:val="single" w:sz="4" w:space="0" w:color="auto"/>
            </w:tcBorders>
            <w:shd w:val="clear" w:color="auto" w:fill="auto"/>
            <w:vAlign w:val="center"/>
            <w:hideMark/>
          </w:tcPr>
          <w:p w:rsidR="00A020ED" w:rsidRPr="003F1472" w:rsidRDefault="00A020ED" w:rsidP="00A020ED">
            <w:pPr>
              <w:suppressAutoHyphens w:val="0"/>
              <w:jc w:val="center"/>
              <w:rPr>
                <w:rFonts w:ascii="Calibri" w:hAnsi="Calibri" w:cs="Calibri"/>
                <w:sz w:val="16"/>
                <w:szCs w:val="16"/>
                <w:lang w:val="it-IT" w:eastAsia="it-IT"/>
              </w:rPr>
            </w:pPr>
            <w:r w:rsidRPr="003F1472">
              <w:rPr>
                <w:rFonts w:ascii="Calibri" w:hAnsi="Calibri" w:cs="Calibri"/>
                <w:sz w:val="16"/>
                <w:szCs w:val="16"/>
                <w:lang w:val="it-IT" w:eastAsia="it-IT"/>
              </w:rPr>
              <w:t>2019</w:t>
            </w:r>
          </w:p>
        </w:tc>
        <w:tc>
          <w:tcPr>
            <w:tcW w:w="500" w:type="dxa"/>
            <w:tcBorders>
              <w:top w:val="nil"/>
              <w:left w:val="nil"/>
              <w:bottom w:val="single" w:sz="4" w:space="0" w:color="auto"/>
              <w:right w:val="single" w:sz="4" w:space="0" w:color="auto"/>
            </w:tcBorders>
            <w:shd w:val="clear" w:color="auto" w:fill="auto"/>
            <w:vAlign w:val="center"/>
            <w:hideMark/>
          </w:tcPr>
          <w:p w:rsidR="00A020ED" w:rsidRPr="003F1472" w:rsidRDefault="00A020ED" w:rsidP="00A020ED">
            <w:pPr>
              <w:suppressAutoHyphens w:val="0"/>
              <w:jc w:val="center"/>
              <w:rPr>
                <w:rFonts w:ascii="Calibri" w:hAnsi="Calibri" w:cs="Calibri"/>
                <w:sz w:val="16"/>
                <w:szCs w:val="16"/>
                <w:lang w:val="it-IT" w:eastAsia="it-IT"/>
              </w:rPr>
            </w:pPr>
            <w:r w:rsidRPr="003F1472">
              <w:rPr>
                <w:rFonts w:ascii="Calibri" w:hAnsi="Calibri" w:cs="Calibri"/>
                <w:sz w:val="16"/>
                <w:szCs w:val="16"/>
                <w:lang w:val="it-IT" w:eastAsia="it-IT"/>
              </w:rPr>
              <w:t>2022</w:t>
            </w:r>
          </w:p>
        </w:tc>
        <w:tc>
          <w:tcPr>
            <w:tcW w:w="1280" w:type="dxa"/>
            <w:tcBorders>
              <w:top w:val="nil"/>
              <w:left w:val="nil"/>
              <w:bottom w:val="single" w:sz="4" w:space="0" w:color="auto"/>
              <w:right w:val="single" w:sz="4" w:space="0" w:color="auto"/>
            </w:tcBorders>
            <w:shd w:val="clear" w:color="auto" w:fill="auto"/>
            <w:vAlign w:val="center"/>
            <w:hideMark/>
          </w:tcPr>
          <w:p w:rsidR="00A020ED" w:rsidRPr="003F1472" w:rsidRDefault="00A020ED" w:rsidP="00A020ED">
            <w:pPr>
              <w:suppressAutoHyphens w:val="0"/>
              <w:jc w:val="center"/>
              <w:rPr>
                <w:rFonts w:ascii="Calibri" w:hAnsi="Calibri" w:cs="Calibri"/>
                <w:sz w:val="16"/>
                <w:szCs w:val="16"/>
                <w:lang w:val="it-IT" w:eastAsia="it-IT"/>
              </w:rPr>
            </w:pPr>
            <w:r w:rsidRPr="003F1472">
              <w:rPr>
                <w:rFonts w:ascii="Calibri" w:hAnsi="Calibri" w:cs="Calibri"/>
                <w:sz w:val="16"/>
                <w:szCs w:val="16"/>
                <w:lang w:val="it-IT" w:eastAsia="it-IT"/>
              </w:rPr>
              <w:t>SecuraBio</w:t>
            </w:r>
          </w:p>
        </w:tc>
        <w:tc>
          <w:tcPr>
            <w:tcW w:w="1280" w:type="dxa"/>
            <w:tcBorders>
              <w:top w:val="nil"/>
              <w:left w:val="nil"/>
              <w:bottom w:val="single" w:sz="4" w:space="0" w:color="auto"/>
              <w:right w:val="single" w:sz="4" w:space="0" w:color="auto"/>
            </w:tcBorders>
            <w:shd w:val="clear" w:color="auto" w:fill="auto"/>
            <w:vAlign w:val="center"/>
            <w:hideMark/>
          </w:tcPr>
          <w:p w:rsidR="00A020ED" w:rsidRPr="003F1472" w:rsidRDefault="00A020ED" w:rsidP="00A020ED">
            <w:pPr>
              <w:suppressAutoHyphens w:val="0"/>
              <w:jc w:val="center"/>
              <w:rPr>
                <w:rFonts w:ascii="Calibri" w:hAnsi="Calibri" w:cs="Calibri"/>
                <w:sz w:val="16"/>
                <w:szCs w:val="16"/>
                <w:lang w:val="it-IT" w:eastAsia="it-IT"/>
              </w:rPr>
            </w:pPr>
            <w:r w:rsidRPr="003F1472">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3F1472" w:rsidRDefault="00A020ED" w:rsidP="00A020ED">
            <w:pPr>
              <w:suppressAutoHyphens w:val="0"/>
              <w:jc w:val="center"/>
              <w:rPr>
                <w:rFonts w:ascii="Calibri" w:hAnsi="Calibri" w:cs="Calibri"/>
                <w:sz w:val="16"/>
                <w:szCs w:val="16"/>
                <w:lang w:val="it-IT" w:eastAsia="it-IT"/>
              </w:rPr>
            </w:pPr>
            <w:r w:rsidRPr="003F1472">
              <w:rPr>
                <w:rFonts w:ascii="Calibri" w:hAnsi="Calibri" w:cs="Calibri"/>
                <w:sz w:val="16"/>
                <w:szCs w:val="16"/>
                <w:lang w:val="it-IT" w:eastAsia="it-IT"/>
              </w:rPr>
              <w:t>NCT02004522</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3F1472" w:rsidRDefault="00091A8E"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148</w:t>
            </w:r>
          </w:p>
        </w:tc>
      </w:tr>
      <w:tr w:rsidR="00A020ED" w:rsidRPr="00A020ED" w:rsidTr="00091A8E">
        <w:trPr>
          <w:trHeight w:val="18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3</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Duvelisib</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Relapsed or refractory chronic lymphocytic leukemia and small lymphocytic lymphoma that progressed on ofatumumab</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ORR: 77%, DOR: 14.9 months, and PFS: 15.7 months with duvelisib (after the crossover) vs ORR: 29%, DOR: 10.4 months, and PFS: 9.4 months with ofatumumab (prior to the crossover) </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2014</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2021</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SecuraBio</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NCT02049515</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A020ED" w:rsidRDefault="00091A8E"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149</w:t>
            </w:r>
          </w:p>
        </w:tc>
      </w:tr>
      <w:tr w:rsidR="00A020ED" w:rsidRPr="00A020ED" w:rsidTr="00A020ED">
        <w:trPr>
          <w:trHeight w:val="300"/>
        </w:trPr>
        <w:tc>
          <w:tcPr>
            <w:tcW w:w="13060" w:type="dxa"/>
            <w:gridSpan w:val="13"/>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A020ED" w:rsidRPr="00A020ED" w:rsidRDefault="00A020ED" w:rsidP="00A020ED">
            <w:pPr>
              <w:suppressAutoHyphens w:val="0"/>
              <w:jc w:val="center"/>
              <w:rPr>
                <w:rFonts w:ascii="Calibri" w:hAnsi="Calibri" w:cs="Calibri"/>
                <w:b/>
                <w:bCs/>
                <w:sz w:val="20"/>
                <w:szCs w:val="20"/>
                <w:lang w:val="it-IT" w:eastAsia="it-IT"/>
              </w:rPr>
            </w:pPr>
            <w:r w:rsidRPr="00A020ED">
              <w:rPr>
                <w:rFonts w:ascii="Calibri" w:hAnsi="Calibri" w:cs="Calibri"/>
                <w:b/>
                <w:bCs/>
                <w:sz w:val="20"/>
                <w:szCs w:val="20"/>
                <w:lang w:val="it-IT" w:eastAsia="it-IT"/>
              </w:rPr>
              <w:t xml:space="preserve">Eganelisib </w:t>
            </w:r>
            <w:r w:rsidRPr="00A020ED">
              <w:rPr>
                <w:rFonts w:ascii="Calibri" w:hAnsi="Calibri" w:cs="Calibri"/>
                <w:sz w:val="20"/>
                <w:szCs w:val="20"/>
                <w:lang w:val="it-IT" w:eastAsia="it-IT"/>
              </w:rPr>
              <w:t>(IPI-549) [PI3Kγ Inhibitor]</w:t>
            </w:r>
          </w:p>
        </w:tc>
      </w:tr>
      <w:tr w:rsidR="00A020ED" w:rsidRPr="00A020ED" w:rsidTr="00A020ED">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Phase</w:t>
            </w:r>
          </w:p>
        </w:tc>
        <w:tc>
          <w:tcPr>
            <w:tcW w:w="142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Treatment</w:t>
            </w:r>
          </w:p>
        </w:tc>
        <w:tc>
          <w:tcPr>
            <w:tcW w:w="148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Disease</w:t>
            </w:r>
          </w:p>
        </w:tc>
        <w:tc>
          <w:tcPr>
            <w:tcW w:w="28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Outcome</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ISP</w:t>
            </w:r>
          </w:p>
        </w:tc>
        <w:tc>
          <w:tcPr>
            <w:tcW w:w="56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Status</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FP</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RFP</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LUP</w:t>
            </w:r>
          </w:p>
        </w:tc>
        <w:tc>
          <w:tcPr>
            <w:tcW w:w="1280" w:type="dxa"/>
            <w:tcBorders>
              <w:top w:val="nil"/>
              <w:left w:val="nil"/>
              <w:bottom w:val="nil"/>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Sponsor</w:t>
            </w:r>
          </w:p>
        </w:tc>
        <w:tc>
          <w:tcPr>
            <w:tcW w:w="1280" w:type="dxa"/>
            <w:tcBorders>
              <w:top w:val="nil"/>
              <w:left w:val="nil"/>
              <w:bottom w:val="nil"/>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Collaborator</w:t>
            </w:r>
          </w:p>
        </w:tc>
        <w:tc>
          <w:tcPr>
            <w:tcW w:w="122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NCT Identifier</w:t>
            </w:r>
          </w:p>
        </w:tc>
        <w:tc>
          <w:tcPr>
            <w:tcW w:w="48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color w:val="000000"/>
                <w:sz w:val="18"/>
                <w:szCs w:val="18"/>
                <w:lang w:val="it-IT" w:eastAsia="it-IT"/>
              </w:rPr>
            </w:pPr>
            <w:r w:rsidRPr="00A020ED">
              <w:rPr>
                <w:rFonts w:ascii="Calibri" w:hAnsi="Calibri" w:cs="Calibri"/>
                <w:b/>
                <w:bCs/>
                <w:color w:val="000000"/>
                <w:sz w:val="18"/>
                <w:szCs w:val="18"/>
                <w:lang w:val="it-IT" w:eastAsia="it-IT"/>
              </w:rPr>
              <w:t>R</w:t>
            </w:r>
          </w:p>
        </w:tc>
      </w:tr>
      <w:tr w:rsidR="00A020ED" w:rsidRPr="00A020ED" w:rsidTr="00F52F7E">
        <w:trPr>
          <w:trHeight w:val="67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Combination of eganelisib with nivolumab</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Advanced solid tumor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color w:val="0070C0"/>
                <w:sz w:val="16"/>
                <w:szCs w:val="16"/>
                <w:lang w:val="it-IT" w:eastAsia="it-IT"/>
              </w:rPr>
            </w:pPr>
            <w:r w:rsidRPr="00FC65CE">
              <w:rPr>
                <w:rFonts w:ascii="Calibri" w:hAnsi="Calibri" w:cs="Calibri"/>
                <w:sz w:val="16"/>
                <w:szCs w:val="16"/>
                <w:lang w:val="it-IT" w:eastAsia="it-IT"/>
              </w:rPr>
              <w:t xml:space="preserve">PR: </w:t>
            </w:r>
            <w:r w:rsidR="00FC65CE">
              <w:rPr>
                <w:rFonts w:ascii="Calibri" w:hAnsi="Calibri" w:cs="Calibri"/>
                <w:sz w:val="16"/>
                <w:szCs w:val="16"/>
                <w:lang w:val="it-IT" w:eastAsia="it-IT"/>
              </w:rPr>
              <w:t xml:space="preserve">6.4% after a 8-week assessment. </w:t>
            </w:r>
            <w:r w:rsidRPr="00FC65CE">
              <w:rPr>
                <w:rFonts w:ascii="Calibri" w:hAnsi="Calibri" w:cs="Calibri"/>
                <w:sz w:val="16"/>
                <w:szCs w:val="16"/>
                <w:lang w:val="it-IT" w:eastAsia="it-IT"/>
              </w:rPr>
              <w:t>RP2D: 40 mg/once daily</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 NR</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2015</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Infinity Pharmaceuticals Inc</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NCT02637531</w:t>
            </w:r>
          </w:p>
        </w:tc>
        <w:tc>
          <w:tcPr>
            <w:tcW w:w="480" w:type="dxa"/>
            <w:tcBorders>
              <w:top w:val="nil"/>
              <w:left w:val="nil"/>
              <w:bottom w:val="single" w:sz="4" w:space="0" w:color="auto"/>
              <w:right w:val="single" w:sz="4" w:space="0" w:color="auto"/>
            </w:tcBorders>
            <w:shd w:val="clear" w:color="auto" w:fill="auto"/>
            <w:noWrap/>
            <w:vAlign w:val="center"/>
          </w:tcPr>
          <w:p w:rsidR="00A020ED" w:rsidRPr="00A020ED" w:rsidRDefault="00F52F7E" w:rsidP="00A020ED">
            <w:pPr>
              <w:suppressAutoHyphens w:val="0"/>
              <w:jc w:val="center"/>
              <w:rPr>
                <w:rFonts w:ascii="Calibri" w:hAnsi="Calibri" w:cs="Calibri"/>
                <w:color w:val="000000"/>
                <w:sz w:val="16"/>
                <w:szCs w:val="16"/>
                <w:lang w:val="it-IT" w:eastAsia="it-IT"/>
              </w:rPr>
            </w:pPr>
            <w:r>
              <w:rPr>
                <w:rFonts w:ascii="Calibri" w:hAnsi="Calibri" w:cs="Calibri"/>
                <w:color w:val="000000"/>
                <w:sz w:val="16"/>
                <w:szCs w:val="16"/>
                <w:lang w:val="it-IT" w:eastAsia="it-IT"/>
              </w:rPr>
              <w:t>153</w:t>
            </w:r>
          </w:p>
        </w:tc>
      </w:tr>
      <w:tr w:rsidR="00A020ED" w:rsidRPr="00A020ED" w:rsidTr="00F52F7E">
        <w:trPr>
          <w:trHeight w:val="112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Combination of eganelisib with nivolumab</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Advanced urothelial carcinoma</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ORR: 30.3% with eganelisib + nivolumab vs 25% with placebo + nivolumab. PFS: 9.1 months with eganelisib + nivolumab vs 8 months with placebo + nivolumab</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 NR</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2019</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2022</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Infinity Pharmaceuticals Inc</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Bristol-Myers Squibb</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NCT03980041</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A020ED" w:rsidRDefault="00F52F7E"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154</w:t>
            </w:r>
          </w:p>
        </w:tc>
      </w:tr>
      <w:tr w:rsidR="00A020ED" w:rsidRPr="00A020ED" w:rsidTr="00A020ED">
        <w:trPr>
          <w:trHeight w:val="255"/>
        </w:trPr>
        <w:tc>
          <w:tcPr>
            <w:tcW w:w="13060" w:type="dxa"/>
            <w:gridSpan w:val="13"/>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A020ED" w:rsidRPr="00A020ED" w:rsidRDefault="00A020ED" w:rsidP="00A020ED">
            <w:pPr>
              <w:suppressAutoHyphens w:val="0"/>
              <w:jc w:val="center"/>
              <w:rPr>
                <w:rFonts w:ascii="Calibri" w:hAnsi="Calibri" w:cs="Calibri"/>
                <w:b/>
                <w:bCs/>
                <w:sz w:val="20"/>
                <w:szCs w:val="20"/>
                <w:lang w:val="it-IT" w:eastAsia="it-IT"/>
              </w:rPr>
            </w:pPr>
            <w:r w:rsidRPr="00A020ED">
              <w:rPr>
                <w:rFonts w:ascii="Calibri" w:hAnsi="Calibri" w:cs="Calibri"/>
                <w:b/>
                <w:bCs/>
                <w:sz w:val="20"/>
                <w:szCs w:val="20"/>
                <w:lang w:val="it-IT" w:eastAsia="it-IT"/>
              </w:rPr>
              <w:t xml:space="preserve">Tenalisib </w:t>
            </w:r>
            <w:r w:rsidRPr="00A020ED">
              <w:rPr>
                <w:rFonts w:ascii="Calibri" w:hAnsi="Calibri" w:cs="Calibri"/>
                <w:sz w:val="20"/>
                <w:szCs w:val="20"/>
                <w:lang w:val="it-IT" w:eastAsia="it-IT"/>
              </w:rPr>
              <w:t>(RP-6530) [PI3Kγ/δ Inhibitor]</w:t>
            </w:r>
          </w:p>
        </w:tc>
      </w:tr>
      <w:tr w:rsidR="00A020ED" w:rsidRPr="00A020ED" w:rsidTr="00A020ED">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Phase</w:t>
            </w:r>
          </w:p>
        </w:tc>
        <w:tc>
          <w:tcPr>
            <w:tcW w:w="142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Treatment</w:t>
            </w:r>
          </w:p>
        </w:tc>
        <w:tc>
          <w:tcPr>
            <w:tcW w:w="148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Disease</w:t>
            </w:r>
          </w:p>
        </w:tc>
        <w:tc>
          <w:tcPr>
            <w:tcW w:w="28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Outcome</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ISP</w:t>
            </w:r>
          </w:p>
        </w:tc>
        <w:tc>
          <w:tcPr>
            <w:tcW w:w="56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Status</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FP</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RFP</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LUP</w:t>
            </w:r>
          </w:p>
        </w:tc>
        <w:tc>
          <w:tcPr>
            <w:tcW w:w="1280" w:type="dxa"/>
            <w:tcBorders>
              <w:top w:val="nil"/>
              <w:left w:val="nil"/>
              <w:bottom w:val="nil"/>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Sponsor</w:t>
            </w:r>
          </w:p>
        </w:tc>
        <w:tc>
          <w:tcPr>
            <w:tcW w:w="1280" w:type="dxa"/>
            <w:tcBorders>
              <w:top w:val="nil"/>
              <w:left w:val="nil"/>
              <w:bottom w:val="nil"/>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Collaborator</w:t>
            </w:r>
          </w:p>
        </w:tc>
        <w:tc>
          <w:tcPr>
            <w:tcW w:w="122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NCT Identifier</w:t>
            </w:r>
          </w:p>
        </w:tc>
        <w:tc>
          <w:tcPr>
            <w:tcW w:w="48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color w:val="000000"/>
                <w:sz w:val="18"/>
                <w:szCs w:val="18"/>
                <w:lang w:val="it-IT" w:eastAsia="it-IT"/>
              </w:rPr>
            </w:pPr>
            <w:r w:rsidRPr="00A020ED">
              <w:rPr>
                <w:rFonts w:ascii="Calibri" w:hAnsi="Calibri" w:cs="Calibri"/>
                <w:b/>
                <w:bCs/>
                <w:color w:val="000000"/>
                <w:sz w:val="18"/>
                <w:szCs w:val="18"/>
                <w:lang w:val="it-IT" w:eastAsia="it-IT"/>
              </w:rPr>
              <w:t>R</w:t>
            </w:r>
          </w:p>
        </w:tc>
      </w:tr>
      <w:tr w:rsidR="00A020ED" w:rsidRPr="00A020ED" w:rsidTr="002C3649">
        <w:trPr>
          <w:trHeight w:val="112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 1b</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Tenalisib</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Relapsed or refractory peripheral and cutaneous T-cell lymphoma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ORR: 45.7%; CR: 9%; PR: 37%; DOR: 4.9 months. MTD: 800 mg/twice daily</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2015</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2020</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2020</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Rhizen Pharmaceuticals SA</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NCT02567656</w:t>
            </w:r>
          </w:p>
        </w:tc>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A020ED" w:rsidRPr="00A020ED" w:rsidRDefault="00A71C1E"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156</w:t>
            </w:r>
          </w:p>
        </w:tc>
      </w:tr>
      <w:tr w:rsidR="00A020ED" w:rsidRPr="00A020ED" w:rsidTr="002C3649">
        <w:trPr>
          <w:trHeight w:val="255"/>
        </w:trPr>
        <w:tc>
          <w:tcPr>
            <w:tcW w:w="13060" w:type="dxa"/>
            <w:gridSpan w:val="13"/>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A020ED" w:rsidRPr="00A020ED" w:rsidRDefault="00A020ED" w:rsidP="00A020ED">
            <w:pPr>
              <w:suppressAutoHyphens w:val="0"/>
              <w:jc w:val="center"/>
              <w:rPr>
                <w:rFonts w:ascii="Calibri" w:hAnsi="Calibri" w:cs="Calibri"/>
                <w:b/>
                <w:bCs/>
                <w:sz w:val="20"/>
                <w:szCs w:val="20"/>
                <w:lang w:val="it-IT" w:eastAsia="it-IT"/>
              </w:rPr>
            </w:pPr>
            <w:r w:rsidRPr="00A020ED">
              <w:rPr>
                <w:rFonts w:ascii="Calibri" w:hAnsi="Calibri" w:cs="Calibri"/>
                <w:b/>
                <w:bCs/>
                <w:sz w:val="20"/>
                <w:szCs w:val="20"/>
                <w:lang w:val="it-IT" w:eastAsia="it-IT"/>
              </w:rPr>
              <w:t xml:space="preserve">Idelalisib </w:t>
            </w:r>
            <w:r w:rsidRPr="00A020ED">
              <w:rPr>
                <w:rFonts w:ascii="Calibri" w:hAnsi="Calibri" w:cs="Calibri"/>
                <w:sz w:val="20"/>
                <w:szCs w:val="20"/>
                <w:lang w:val="it-IT" w:eastAsia="it-IT"/>
              </w:rPr>
              <w:t>(GS-1101, CAL-101) [PI3Kδ Inhibitor]</w:t>
            </w:r>
          </w:p>
        </w:tc>
      </w:tr>
      <w:tr w:rsidR="00A020ED" w:rsidRPr="00A020ED" w:rsidTr="002C3649">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Phase</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Treatment</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Disease</w:t>
            </w:r>
          </w:p>
        </w:tc>
        <w:tc>
          <w:tcPr>
            <w:tcW w:w="2800" w:type="dxa"/>
            <w:tcBorders>
              <w:top w:val="single" w:sz="4" w:space="0" w:color="auto"/>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Outcome</w:t>
            </w:r>
          </w:p>
        </w:tc>
        <w:tc>
          <w:tcPr>
            <w:tcW w:w="500" w:type="dxa"/>
            <w:tcBorders>
              <w:top w:val="single" w:sz="4" w:space="0" w:color="auto"/>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ISP</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Status</w:t>
            </w:r>
          </w:p>
        </w:tc>
        <w:tc>
          <w:tcPr>
            <w:tcW w:w="500" w:type="dxa"/>
            <w:tcBorders>
              <w:top w:val="single" w:sz="4" w:space="0" w:color="auto"/>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FP</w:t>
            </w:r>
          </w:p>
        </w:tc>
        <w:tc>
          <w:tcPr>
            <w:tcW w:w="500" w:type="dxa"/>
            <w:tcBorders>
              <w:top w:val="single" w:sz="4" w:space="0" w:color="auto"/>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RFP</w:t>
            </w:r>
          </w:p>
        </w:tc>
        <w:tc>
          <w:tcPr>
            <w:tcW w:w="500" w:type="dxa"/>
            <w:tcBorders>
              <w:top w:val="single" w:sz="4" w:space="0" w:color="auto"/>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LUP</w:t>
            </w:r>
          </w:p>
        </w:tc>
        <w:tc>
          <w:tcPr>
            <w:tcW w:w="1280" w:type="dxa"/>
            <w:tcBorders>
              <w:top w:val="single" w:sz="4" w:space="0" w:color="auto"/>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Sponsor</w:t>
            </w:r>
          </w:p>
        </w:tc>
        <w:tc>
          <w:tcPr>
            <w:tcW w:w="1280" w:type="dxa"/>
            <w:tcBorders>
              <w:top w:val="single" w:sz="4" w:space="0" w:color="auto"/>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Collaborator</w:t>
            </w:r>
          </w:p>
        </w:tc>
        <w:tc>
          <w:tcPr>
            <w:tcW w:w="1220" w:type="dxa"/>
            <w:tcBorders>
              <w:top w:val="single" w:sz="4" w:space="0" w:color="auto"/>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NCT Identifier</w:t>
            </w:r>
          </w:p>
        </w:tc>
        <w:tc>
          <w:tcPr>
            <w:tcW w:w="480" w:type="dxa"/>
            <w:tcBorders>
              <w:top w:val="single" w:sz="4" w:space="0" w:color="auto"/>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color w:val="000000"/>
                <w:sz w:val="18"/>
                <w:szCs w:val="18"/>
                <w:lang w:val="it-IT" w:eastAsia="it-IT"/>
              </w:rPr>
            </w:pPr>
            <w:r w:rsidRPr="00A020ED">
              <w:rPr>
                <w:rFonts w:ascii="Calibri" w:hAnsi="Calibri" w:cs="Calibri"/>
                <w:b/>
                <w:bCs/>
                <w:color w:val="000000"/>
                <w:sz w:val="18"/>
                <w:szCs w:val="18"/>
                <w:lang w:val="it-IT" w:eastAsia="it-IT"/>
              </w:rPr>
              <w:t>R</w:t>
            </w:r>
          </w:p>
        </w:tc>
      </w:tr>
      <w:tr w:rsidR="000F0968" w:rsidRPr="000F0968" w:rsidTr="00F85CBF">
        <w:trPr>
          <w:trHeight w:val="135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0ED" w:rsidRPr="000F0968" w:rsidRDefault="00A020ED" w:rsidP="00A020ED">
            <w:pPr>
              <w:suppressAutoHyphens w:val="0"/>
              <w:jc w:val="center"/>
              <w:rPr>
                <w:rFonts w:ascii="Calibri" w:hAnsi="Calibri" w:cs="Calibri"/>
                <w:sz w:val="16"/>
                <w:szCs w:val="16"/>
                <w:lang w:val="it-IT" w:eastAsia="it-IT"/>
              </w:rPr>
            </w:pPr>
            <w:r w:rsidRPr="000F0968">
              <w:rPr>
                <w:rFonts w:ascii="Calibri" w:hAnsi="Calibri" w:cs="Calibri"/>
                <w:sz w:val="16"/>
                <w:szCs w:val="16"/>
                <w:lang w:val="it-IT" w:eastAsia="it-IT"/>
              </w:rPr>
              <w:lastRenderedPageBreak/>
              <w:t>1</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A020ED" w:rsidRPr="000F0968" w:rsidRDefault="00A020ED" w:rsidP="00A020ED">
            <w:pPr>
              <w:suppressAutoHyphens w:val="0"/>
              <w:jc w:val="center"/>
              <w:rPr>
                <w:rFonts w:ascii="Calibri" w:hAnsi="Calibri" w:cs="Calibri"/>
                <w:sz w:val="16"/>
                <w:szCs w:val="16"/>
                <w:lang w:val="it-IT" w:eastAsia="it-IT"/>
              </w:rPr>
            </w:pPr>
            <w:r w:rsidRPr="000F0968">
              <w:rPr>
                <w:rFonts w:ascii="Calibri" w:hAnsi="Calibri" w:cs="Calibri"/>
                <w:sz w:val="16"/>
                <w:szCs w:val="16"/>
                <w:lang w:val="it-IT" w:eastAsia="it-IT"/>
              </w:rPr>
              <w:t>Idelalisib</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020ED" w:rsidRPr="000F0968" w:rsidRDefault="00A020ED" w:rsidP="00A020ED">
            <w:pPr>
              <w:suppressAutoHyphens w:val="0"/>
              <w:jc w:val="center"/>
              <w:rPr>
                <w:rFonts w:ascii="Calibri" w:hAnsi="Calibri" w:cs="Calibri"/>
                <w:sz w:val="16"/>
                <w:szCs w:val="16"/>
                <w:lang w:val="it-IT" w:eastAsia="it-IT"/>
              </w:rPr>
            </w:pPr>
            <w:r w:rsidRPr="000F0968">
              <w:rPr>
                <w:rFonts w:ascii="Calibri" w:hAnsi="Calibri" w:cs="Calibri"/>
                <w:sz w:val="16"/>
                <w:szCs w:val="16"/>
                <w:lang w:val="it-IT" w:eastAsia="it-IT"/>
              </w:rPr>
              <w:t xml:space="preserve">Relapsed or refractory chronic lymphocytic leukemia </w:t>
            </w:r>
          </w:p>
        </w:tc>
        <w:tc>
          <w:tcPr>
            <w:tcW w:w="2800" w:type="dxa"/>
            <w:tcBorders>
              <w:top w:val="single" w:sz="4" w:space="0" w:color="auto"/>
              <w:left w:val="nil"/>
              <w:bottom w:val="single" w:sz="4" w:space="0" w:color="auto"/>
              <w:right w:val="single" w:sz="4" w:space="0" w:color="auto"/>
            </w:tcBorders>
            <w:shd w:val="clear" w:color="auto" w:fill="auto"/>
            <w:vAlign w:val="center"/>
            <w:hideMark/>
          </w:tcPr>
          <w:p w:rsidR="00A020ED" w:rsidRPr="000F0968" w:rsidRDefault="00A020ED" w:rsidP="00A020ED">
            <w:pPr>
              <w:suppressAutoHyphens w:val="0"/>
              <w:jc w:val="center"/>
              <w:rPr>
                <w:rFonts w:ascii="Calibri" w:hAnsi="Calibri" w:cs="Calibri"/>
                <w:sz w:val="16"/>
                <w:szCs w:val="16"/>
                <w:lang w:val="it-IT" w:eastAsia="it-IT"/>
              </w:rPr>
            </w:pPr>
            <w:r w:rsidRPr="000F0968">
              <w:rPr>
                <w:rFonts w:ascii="Calibri" w:hAnsi="Calibri" w:cs="Calibri"/>
                <w:sz w:val="16"/>
                <w:szCs w:val="16"/>
                <w:lang w:val="it-IT" w:eastAsia="it-IT"/>
              </w:rPr>
              <w:t>ORR: 72%; PR: 39%. PFS for all patients was 15.8 months. PFS: 32 months; reduction of pAKT T308, and increase of chronic lymphocytic leukemia-derived cytokines. RP2D: 150 mg/twice daily</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0F0968" w:rsidRDefault="00A020ED" w:rsidP="00A020ED">
            <w:pPr>
              <w:suppressAutoHyphens w:val="0"/>
              <w:jc w:val="center"/>
              <w:rPr>
                <w:rFonts w:ascii="Calibri" w:hAnsi="Calibri" w:cs="Calibri"/>
                <w:sz w:val="16"/>
                <w:szCs w:val="16"/>
                <w:lang w:val="it-IT" w:eastAsia="it-IT"/>
              </w:rPr>
            </w:pPr>
            <w:r w:rsidRPr="000F0968">
              <w:rPr>
                <w:rFonts w:ascii="Calibri" w:hAnsi="Calibri" w:cs="Calibri"/>
                <w:sz w:val="16"/>
                <w:szCs w:val="16"/>
                <w:lang w:val="it-IT" w:eastAsia="it-IT"/>
              </w:rPr>
              <w:t>A</w:t>
            </w:r>
          </w:p>
        </w:tc>
        <w:tc>
          <w:tcPr>
            <w:tcW w:w="560" w:type="dxa"/>
            <w:tcBorders>
              <w:top w:val="single" w:sz="4" w:space="0" w:color="auto"/>
              <w:left w:val="nil"/>
              <w:bottom w:val="single" w:sz="4" w:space="0" w:color="auto"/>
              <w:right w:val="single" w:sz="4" w:space="0" w:color="auto"/>
            </w:tcBorders>
            <w:shd w:val="clear" w:color="auto" w:fill="auto"/>
            <w:vAlign w:val="center"/>
            <w:hideMark/>
          </w:tcPr>
          <w:p w:rsidR="00A020ED" w:rsidRPr="000F0968" w:rsidRDefault="00A020ED" w:rsidP="00A020ED">
            <w:pPr>
              <w:suppressAutoHyphens w:val="0"/>
              <w:jc w:val="center"/>
              <w:rPr>
                <w:rFonts w:ascii="Calibri" w:hAnsi="Calibri" w:cs="Calibri"/>
                <w:sz w:val="16"/>
                <w:szCs w:val="16"/>
                <w:lang w:val="it-IT" w:eastAsia="it-IT"/>
              </w:rPr>
            </w:pPr>
            <w:r w:rsidRPr="000F0968">
              <w:rPr>
                <w:rFonts w:ascii="Calibri" w:hAnsi="Calibri" w:cs="Calibri"/>
                <w:sz w:val="16"/>
                <w:szCs w:val="16"/>
                <w:lang w:val="it-IT" w:eastAsia="it-IT"/>
              </w:rPr>
              <w:t>C</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0F0968" w:rsidRDefault="00A020ED" w:rsidP="00A020ED">
            <w:pPr>
              <w:suppressAutoHyphens w:val="0"/>
              <w:jc w:val="center"/>
              <w:rPr>
                <w:rFonts w:ascii="Calibri" w:hAnsi="Calibri" w:cs="Calibri"/>
                <w:sz w:val="16"/>
                <w:szCs w:val="16"/>
                <w:lang w:val="it-IT" w:eastAsia="it-IT"/>
              </w:rPr>
            </w:pPr>
            <w:r w:rsidRPr="000F0968">
              <w:rPr>
                <w:rFonts w:ascii="Calibri" w:hAnsi="Calibri" w:cs="Calibri"/>
                <w:sz w:val="16"/>
                <w:szCs w:val="16"/>
                <w:lang w:val="it-IT" w:eastAsia="it-IT"/>
              </w:rPr>
              <w:t>2008</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0F0968" w:rsidRDefault="00A020ED" w:rsidP="00A020ED">
            <w:pPr>
              <w:suppressAutoHyphens w:val="0"/>
              <w:jc w:val="center"/>
              <w:rPr>
                <w:rFonts w:ascii="Calibri" w:hAnsi="Calibri" w:cs="Calibri"/>
                <w:sz w:val="16"/>
                <w:szCs w:val="16"/>
                <w:lang w:val="it-IT" w:eastAsia="it-IT"/>
              </w:rPr>
            </w:pPr>
            <w:r w:rsidRPr="000F0968">
              <w:rPr>
                <w:rFonts w:ascii="Calibri" w:hAnsi="Calibri" w:cs="Calibri"/>
                <w:sz w:val="16"/>
                <w:szCs w:val="16"/>
                <w:lang w:val="it-IT" w:eastAsia="it-IT"/>
              </w:rPr>
              <w:t>*</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0F0968" w:rsidRDefault="00A020ED" w:rsidP="00A020ED">
            <w:pPr>
              <w:suppressAutoHyphens w:val="0"/>
              <w:jc w:val="center"/>
              <w:rPr>
                <w:rFonts w:ascii="Calibri" w:hAnsi="Calibri" w:cs="Calibri"/>
                <w:sz w:val="16"/>
                <w:szCs w:val="16"/>
                <w:lang w:val="it-IT" w:eastAsia="it-IT"/>
              </w:rPr>
            </w:pPr>
            <w:r w:rsidRPr="000F0968">
              <w:rPr>
                <w:rFonts w:ascii="Calibri" w:hAnsi="Calibri" w:cs="Calibri"/>
                <w:sz w:val="16"/>
                <w:szCs w:val="16"/>
                <w:lang w:val="it-IT" w:eastAsia="it-IT"/>
              </w:rPr>
              <w:t>2012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0F0968" w:rsidRDefault="00A020ED" w:rsidP="00A020ED">
            <w:pPr>
              <w:suppressAutoHyphens w:val="0"/>
              <w:jc w:val="center"/>
              <w:rPr>
                <w:rFonts w:ascii="Calibri" w:hAnsi="Calibri" w:cs="Calibri"/>
                <w:sz w:val="16"/>
                <w:szCs w:val="16"/>
                <w:lang w:val="it-IT" w:eastAsia="it-IT"/>
              </w:rPr>
            </w:pPr>
            <w:r w:rsidRPr="000F0968">
              <w:rPr>
                <w:rFonts w:ascii="Calibri" w:hAnsi="Calibri" w:cs="Calibri"/>
                <w:sz w:val="16"/>
                <w:szCs w:val="16"/>
                <w:lang w:val="it-IT" w:eastAsia="it-IT"/>
              </w:rPr>
              <w:t>Gilead Sciences</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0F0968" w:rsidRDefault="00A020ED" w:rsidP="00A020ED">
            <w:pPr>
              <w:suppressAutoHyphens w:val="0"/>
              <w:jc w:val="center"/>
              <w:rPr>
                <w:rFonts w:ascii="Calibri" w:hAnsi="Calibri" w:cs="Calibri"/>
                <w:sz w:val="16"/>
                <w:szCs w:val="16"/>
                <w:lang w:val="it-IT" w:eastAsia="it-IT"/>
              </w:rPr>
            </w:pPr>
            <w:r w:rsidRPr="000F0968">
              <w:rPr>
                <w:rFonts w:ascii="Calibri" w:hAnsi="Calibri" w:cs="Calibri"/>
                <w:sz w:val="16"/>
                <w:szCs w:val="16"/>
                <w:lang w:val="it-IT" w:eastAsia="it-IT"/>
              </w:rPr>
              <w:t>*</w:t>
            </w:r>
          </w:p>
        </w:tc>
        <w:tc>
          <w:tcPr>
            <w:tcW w:w="1220" w:type="dxa"/>
            <w:tcBorders>
              <w:top w:val="single" w:sz="4" w:space="0" w:color="auto"/>
              <w:left w:val="nil"/>
              <w:bottom w:val="single" w:sz="4" w:space="0" w:color="auto"/>
              <w:right w:val="nil"/>
            </w:tcBorders>
            <w:shd w:val="clear" w:color="auto" w:fill="auto"/>
            <w:vAlign w:val="center"/>
            <w:hideMark/>
          </w:tcPr>
          <w:p w:rsidR="00A020ED" w:rsidRPr="000F0968" w:rsidRDefault="00A020ED" w:rsidP="00A020ED">
            <w:pPr>
              <w:suppressAutoHyphens w:val="0"/>
              <w:jc w:val="center"/>
              <w:rPr>
                <w:rFonts w:ascii="Calibri" w:hAnsi="Calibri" w:cs="Calibri"/>
                <w:sz w:val="16"/>
                <w:szCs w:val="16"/>
                <w:lang w:val="it-IT" w:eastAsia="it-IT"/>
              </w:rPr>
            </w:pPr>
            <w:r w:rsidRPr="000F0968">
              <w:rPr>
                <w:rFonts w:ascii="Calibri" w:hAnsi="Calibri" w:cs="Calibri"/>
                <w:sz w:val="16"/>
                <w:szCs w:val="16"/>
                <w:lang w:val="it-IT" w:eastAsia="it-IT"/>
              </w:rPr>
              <w:t>NCT00710528</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20ED" w:rsidRPr="000F0968" w:rsidRDefault="00F85CBF"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166</w:t>
            </w:r>
          </w:p>
        </w:tc>
      </w:tr>
      <w:tr w:rsidR="000F0968" w:rsidRPr="000F0968" w:rsidTr="00F85CBF">
        <w:trPr>
          <w:trHeight w:val="67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0F0968" w:rsidRDefault="00A020ED" w:rsidP="00A020ED">
            <w:pPr>
              <w:suppressAutoHyphens w:val="0"/>
              <w:jc w:val="center"/>
              <w:rPr>
                <w:rFonts w:ascii="Calibri" w:hAnsi="Calibri" w:cs="Calibri"/>
                <w:sz w:val="16"/>
                <w:szCs w:val="16"/>
                <w:lang w:val="it-IT" w:eastAsia="it-IT"/>
              </w:rPr>
            </w:pPr>
            <w:r w:rsidRPr="000F0968">
              <w:rPr>
                <w:rFonts w:ascii="Calibri" w:hAnsi="Calibri" w:cs="Calibri"/>
                <w:sz w:val="16"/>
                <w:szCs w:val="16"/>
                <w:lang w:val="it-IT" w:eastAsia="it-IT"/>
              </w:rPr>
              <w:t>1</w:t>
            </w:r>
          </w:p>
        </w:tc>
        <w:tc>
          <w:tcPr>
            <w:tcW w:w="1420" w:type="dxa"/>
            <w:tcBorders>
              <w:top w:val="nil"/>
              <w:left w:val="nil"/>
              <w:bottom w:val="single" w:sz="4" w:space="0" w:color="auto"/>
              <w:right w:val="single" w:sz="4" w:space="0" w:color="auto"/>
            </w:tcBorders>
            <w:shd w:val="clear" w:color="auto" w:fill="auto"/>
            <w:vAlign w:val="center"/>
            <w:hideMark/>
          </w:tcPr>
          <w:p w:rsidR="00A020ED" w:rsidRPr="000F0968" w:rsidRDefault="00A020ED" w:rsidP="00A020ED">
            <w:pPr>
              <w:suppressAutoHyphens w:val="0"/>
              <w:jc w:val="center"/>
              <w:rPr>
                <w:rFonts w:ascii="Calibri" w:hAnsi="Calibri" w:cs="Calibri"/>
                <w:sz w:val="16"/>
                <w:szCs w:val="16"/>
                <w:lang w:val="it-IT" w:eastAsia="it-IT"/>
              </w:rPr>
            </w:pPr>
            <w:r w:rsidRPr="000F0968">
              <w:rPr>
                <w:rFonts w:ascii="Calibri" w:hAnsi="Calibri" w:cs="Calibri"/>
                <w:sz w:val="16"/>
                <w:szCs w:val="16"/>
                <w:lang w:val="it-IT" w:eastAsia="it-IT"/>
              </w:rPr>
              <w:t>Idelalisib</w:t>
            </w:r>
          </w:p>
        </w:tc>
        <w:tc>
          <w:tcPr>
            <w:tcW w:w="1480" w:type="dxa"/>
            <w:tcBorders>
              <w:top w:val="nil"/>
              <w:left w:val="nil"/>
              <w:bottom w:val="single" w:sz="4" w:space="0" w:color="auto"/>
              <w:right w:val="single" w:sz="4" w:space="0" w:color="auto"/>
            </w:tcBorders>
            <w:shd w:val="clear" w:color="auto" w:fill="auto"/>
            <w:vAlign w:val="center"/>
            <w:hideMark/>
          </w:tcPr>
          <w:p w:rsidR="00A020ED" w:rsidRPr="000F0968" w:rsidRDefault="00A020ED" w:rsidP="00A020ED">
            <w:pPr>
              <w:suppressAutoHyphens w:val="0"/>
              <w:jc w:val="center"/>
              <w:rPr>
                <w:rFonts w:ascii="Calibri" w:hAnsi="Calibri" w:cs="Calibri"/>
                <w:sz w:val="16"/>
                <w:szCs w:val="16"/>
                <w:lang w:val="it-IT" w:eastAsia="it-IT"/>
              </w:rPr>
            </w:pPr>
            <w:r w:rsidRPr="000F0968">
              <w:rPr>
                <w:rFonts w:ascii="Calibri" w:hAnsi="Calibri" w:cs="Calibri"/>
                <w:sz w:val="16"/>
                <w:szCs w:val="16"/>
                <w:lang w:val="it-IT" w:eastAsia="it-IT"/>
              </w:rPr>
              <w:t>Relapsed or refractory mantle cell lymphoma</w:t>
            </w:r>
          </w:p>
        </w:tc>
        <w:tc>
          <w:tcPr>
            <w:tcW w:w="2800" w:type="dxa"/>
            <w:tcBorders>
              <w:top w:val="nil"/>
              <w:left w:val="nil"/>
              <w:bottom w:val="single" w:sz="4" w:space="0" w:color="auto"/>
              <w:right w:val="single" w:sz="4" w:space="0" w:color="auto"/>
            </w:tcBorders>
            <w:shd w:val="clear" w:color="auto" w:fill="auto"/>
            <w:vAlign w:val="center"/>
            <w:hideMark/>
          </w:tcPr>
          <w:p w:rsidR="00A020ED" w:rsidRPr="000F0968" w:rsidRDefault="00A020ED" w:rsidP="00A020ED">
            <w:pPr>
              <w:suppressAutoHyphens w:val="0"/>
              <w:jc w:val="center"/>
              <w:rPr>
                <w:rFonts w:ascii="Calibri" w:hAnsi="Calibri" w:cs="Calibri"/>
                <w:sz w:val="16"/>
                <w:szCs w:val="16"/>
                <w:lang w:val="it-IT" w:eastAsia="it-IT"/>
              </w:rPr>
            </w:pPr>
            <w:r w:rsidRPr="000F0968">
              <w:rPr>
                <w:rFonts w:ascii="Calibri" w:hAnsi="Calibri" w:cs="Calibri"/>
                <w:sz w:val="16"/>
                <w:szCs w:val="16"/>
                <w:lang w:val="it-IT" w:eastAsia="it-IT"/>
              </w:rPr>
              <w:t>ORR: 40%; PR: 35%; CR: 5%; SD: 47.5%; DOR: 2.7 months; PFS: 3.7 months; 1-year PFS: 22%</w:t>
            </w:r>
          </w:p>
        </w:tc>
        <w:tc>
          <w:tcPr>
            <w:tcW w:w="500" w:type="dxa"/>
            <w:tcBorders>
              <w:top w:val="nil"/>
              <w:left w:val="nil"/>
              <w:bottom w:val="single" w:sz="4" w:space="0" w:color="auto"/>
              <w:right w:val="single" w:sz="4" w:space="0" w:color="auto"/>
            </w:tcBorders>
            <w:shd w:val="clear" w:color="auto" w:fill="auto"/>
            <w:vAlign w:val="center"/>
            <w:hideMark/>
          </w:tcPr>
          <w:p w:rsidR="00A020ED" w:rsidRPr="000F0968" w:rsidRDefault="00A020ED" w:rsidP="00A020ED">
            <w:pPr>
              <w:suppressAutoHyphens w:val="0"/>
              <w:jc w:val="center"/>
              <w:rPr>
                <w:rFonts w:ascii="Calibri" w:hAnsi="Calibri" w:cs="Calibri"/>
                <w:sz w:val="16"/>
                <w:szCs w:val="16"/>
                <w:lang w:val="it-IT" w:eastAsia="it-IT"/>
              </w:rPr>
            </w:pPr>
            <w:r w:rsidRPr="000F0968">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0F0968" w:rsidRDefault="00A020ED" w:rsidP="00A020ED">
            <w:pPr>
              <w:suppressAutoHyphens w:val="0"/>
              <w:jc w:val="center"/>
              <w:rPr>
                <w:rFonts w:ascii="Calibri" w:hAnsi="Calibri" w:cs="Calibri"/>
                <w:sz w:val="16"/>
                <w:szCs w:val="16"/>
                <w:lang w:val="it-IT" w:eastAsia="it-IT"/>
              </w:rPr>
            </w:pPr>
            <w:r w:rsidRPr="000F0968">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0F0968" w:rsidRDefault="00A020ED" w:rsidP="00A020ED">
            <w:pPr>
              <w:suppressAutoHyphens w:val="0"/>
              <w:jc w:val="center"/>
              <w:rPr>
                <w:rFonts w:ascii="Calibri" w:hAnsi="Calibri" w:cs="Calibri"/>
                <w:sz w:val="16"/>
                <w:szCs w:val="16"/>
                <w:lang w:val="it-IT" w:eastAsia="it-IT"/>
              </w:rPr>
            </w:pPr>
            <w:r w:rsidRPr="000F0968">
              <w:rPr>
                <w:rFonts w:ascii="Calibri" w:hAnsi="Calibri" w:cs="Calibri"/>
                <w:sz w:val="16"/>
                <w:szCs w:val="16"/>
                <w:lang w:val="it-IT" w:eastAsia="it-IT"/>
              </w:rPr>
              <w:t>2008</w:t>
            </w:r>
          </w:p>
        </w:tc>
        <w:tc>
          <w:tcPr>
            <w:tcW w:w="500" w:type="dxa"/>
            <w:tcBorders>
              <w:top w:val="nil"/>
              <w:left w:val="nil"/>
              <w:bottom w:val="single" w:sz="4" w:space="0" w:color="auto"/>
              <w:right w:val="single" w:sz="4" w:space="0" w:color="auto"/>
            </w:tcBorders>
            <w:shd w:val="clear" w:color="auto" w:fill="auto"/>
            <w:vAlign w:val="center"/>
            <w:hideMark/>
          </w:tcPr>
          <w:p w:rsidR="00A020ED" w:rsidRPr="000F0968" w:rsidRDefault="00A020ED" w:rsidP="00A020ED">
            <w:pPr>
              <w:suppressAutoHyphens w:val="0"/>
              <w:jc w:val="center"/>
              <w:rPr>
                <w:rFonts w:ascii="Calibri" w:hAnsi="Calibri" w:cs="Calibri"/>
                <w:sz w:val="16"/>
                <w:szCs w:val="16"/>
                <w:lang w:val="it-IT" w:eastAsia="it-IT"/>
              </w:rPr>
            </w:pPr>
            <w:r w:rsidRPr="000F0968">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0F0968" w:rsidRDefault="00A020ED" w:rsidP="00A020ED">
            <w:pPr>
              <w:suppressAutoHyphens w:val="0"/>
              <w:jc w:val="center"/>
              <w:rPr>
                <w:rFonts w:ascii="Calibri" w:hAnsi="Calibri" w:cs="Calibri"/>
                <w:sz w:val="16"/>
                <w:szCs w:val="16"/>
                <w:lang w:val="it-IT" w:eastAsia="it-IT"/>
              </w:rPr>
            </w:pPr>
            <w:r w:rsidRPr="000F0968">
              <w:rPr>
                <w:rFonts w:ascii="Calibri" w:hAnsi="Calibri" w:cs="Calibri"/>
                <w:sz w:val="16"/>
                <w:szCs w:val="16"/>
                <w:lang w:val="it-IT" w:eastAsia="it-IT"/>
              </w:rPr>
              <w:t>2012</w:t>
            </w:r>
          </w:p>
        </w:tc>
        <w:tc>
          <w:tcPr>
            <w:tcW w:w="1280" w:type="dxa"/>
            <w:tcBorders>
              <w:top w:val="nil"/>
              <w:left w:val="nil"/>
              <w:bottom w:val="single" w:sz="4" w:space="0" w:color="auto"/>
              <w:right w:val="single" w:sz="4" w:space="0" w:color="auto"/>
            </w:tcBorders>
            <w:shd w:val="clear" w:color="auto" w:fill="auto"/>
            <w:vAlign w:val="center"/>
            <w:hideMark/>
          </w:tcPr>
          <w:p w:rsidR="00A020ED" w:rsidRPr="000F0968" w:rsidRDefault="00A020ED" w:rsidP="00A020ED">
            <w:pPr>
              <w:suppressAutoHyphens w:val="0"/>
              <w:jc w:val="center"/>
              <w:rPr>
                <w:rFonts w:ascii="Calibri" w:hAnsi="Calibri" w:cs="Calibri"/>
                <w:sz w:val="16"/>
                <w:szCs w:val="16"/>
                <w:lang w:val="it-IT" w:eastAsia="it-IT"/>
              </w:rPr>
            </w:pPr>
            <w:r w:rsidRPr="000F0968">
              <w:rPr>
                <w:rFonts w:ascii="Calibri" w:hAnsi="Calibri" w:cs="Calibri"/>
                <w:sz w:val="16"/>
                <w:szCs w:val="16"/>
                <w:lang w:val="it-IT" w:eastAsia="it-IT"/>
              </w:rPr>
              <w:t>Gilead Sciences</w:t>
            </w:r>
          </w:p>
        </w:tc>
        <w:tc>
          <w:tcPr>
            <w:tcW w:w="1280" w:type="dxa"/>
            <w:tcBorders>
              <w:top w:val="nil"/>
              <w:left w:val="nil"/>
              <w:bottom w:val="single" w:sz="4" w:space="0" w:color="auto"/>
              <w:right w:val="single" w:sz="4" w:space="0" w:color="auto"/>
            </w:tcBorders>
            <w:shd w:val="clear" w:color="auto" w:fill="auto"/>
            <w:vAlign w:val="center"/>
            <w:hideMark/>
          </w:tcPr>
          <w:p w:rsidR="00A020ED" w:rsidRPr="000F0968" w:rsidRDefault="00A020ED" w:rsidP="00A020ED">
            <w:pPr>
              <w:suppressAutoHyphens w:val="0"/>
              <w:jc w:val="center"/>
              <w:rPr>
                <w:rFonts w:ascii="Calibri" w:hAnsi="Calibri" w:cs="Calibri"/>
                <w:sz w:val="16"/>
                <w:szCs w:val="16"/>
                <w:lang w:val="it-IT" w:eastAsia="it-IT"/>
              </w:rPr>
            </w:pPr>
            <w:r w:rsidRPr="000F0968">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0F0968" w:rsidRDefault="00A020ED" w:rsidP="00A020ED">
            <w:pPr>
              <w:suppressAutoHyphens w:val="0"/>
              <w:jc w:val="center"/>
              <w:rPr>
                <w:rFonts w:ascii="Calibri" w:hAnsi="Calibri" w:cs="Calibri"/>
                <w:sz w:val="16"/>
                <w:szCs w:val="16"/>
                <w:lang w:val="it-IT" w:eastAsia="it-IT"/>
              </w:rPr>
            </w:pPr>
            <w:r w:rsidRPr="000F0968">
              <w:rPr>
                <w:rFonts w:ascii="Calibri" w:hAnsi="Calibri" w:cs="Calibri"/>
                <w:sz w:val="16"/>
                <w:szCs w:val="16"/>
                <w:lang w:val="it-IT" w:eastAsia="it-IT"/>
              </w:rPr>
              <w:t>NCT00710528</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0F0968" w:rsidRDefault="00F85CBF"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167</w:t>
            </w:r>
          </w:p>
        </w:tc>
      </w:tr>
      <w:tr w:rsidR="000F0968" w:rsidRPr="000F0968" w:rsidTr="00F85CBF">
        <w:trPr>
          <w:trHeight w:val="13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0F0968" w:rsidRDefault="00A020ED" w:rsidP="00A020ED">
            <w:pPr>
              <w:suppressAutoHyphens w:val="0"/>
              <w:jc w:val="center"/>
              <w:rPr>
                <w:rFonts w:ascii="Calibri" w:hAnsi="Calibri" w:cs="Calibri"/>
                <w:sz w:val="16"/>
                <w:szCs w:val="16"/>
                <w:lang w:val="it-IT" w:eastAsia="it-IT"/>
              </w:rPr>
            </w:pPr>
            <w:r w:rsidRPr="000F0968">
              <w:rPr>
                <w:rFonts w:ascii="Calibri" w:hAnsi="Calibri" w:cs="Calibri"/>
                <w:sz w:val="16"/>
                <w:szCs w:val="16"/>
                <w:lang w:val="it-IT" w:eastAsia="it-IT"/>
              </w:rPr>
              <w:t>1</w:t>
            </w:r>
          </w:p>
        </w:tc>
        <w:tc>
          <w:tcPr>
            <w:tcW w:w="1420" w:type="dxa"/>
            <w:tcBorders>
              <w:top w:val="nil"/>
              <w:left w:val="nil"/>
              <w:bottom w:val="single" w:sz="4" w:space="0" w:color="auto"/>
              <w:right w:val="single" w:sz="4" w:space="0" w:color="auto"/>
            </w:tcBorders>
            <w:shd w:val="clear" w:color="auto" w:fill="auto"/>
            <w:vAlign w:val="center"/>
            <w:hideMark/>
          </w:tcPr>
          <w:p w:rsidR="00A020ED" w:rsidRPr="000F0968" w:rsidRDefault="00A020ED" w:rsidP="00A020ED">
            <w:pPr>
              <w:suppressAutoHyphens w:val="0"/>
              <w:jc w:val="center"/>
              <w:rPr>
                <w:rFonts w:ascii="Calibri" w:hAnsi="Calibri" w:cs="Calibri"/>
                <w:sz w:val="16"/>
                <w:szCs w:val="16"/>
                <w:lang w:val="it-IT" w:eastAsia="it-IT"/>
              </w:rPr>
            </w:pPr>
            <w:r w:rsidRPr="000F0968">
              <w:rPr>
                <w:rFonts w:ascii="Calibri" w:hAnsi="Calibri" w:cs="Calibri"/>
                <w:sz w:val="16"/>
                <w:szCs w:val="16"/>
                <w:lang w:val="it-IT" w:eastAsia="it-IT"/>
              </w:rPr>
              <w:t>Idelalisib</w:t>
            </w:r>
          </w:p>
        </w:tc>
        <w:tc>
          <w:tcPr>
            <w:tcW w:w="1480" w:type="dxa"/>
            <w:tcBorders>
              <w:top w:val="nil"/>
              <w:left w:val="nil"/>
              <w:bottom w:val="single" w:sz="4" w:space="0" w:color="auto"/>
              <w:right w:val="single" w:sz="4" w:space="0" w:color="auto"/>
            </w:tcBorders>
            <w:shd w:val="clear" w:color="auto" w:fill="auto"/>
            <w:vAlign w:val="center"/>
            <w:hideMark/>
          </w:tcPr>
          <w:p w:rsidR="00A020ED" w:rsidRPr="000F0968" w:rsidRDefault="00A020ED" w:rsidP="00A020ED">
            <w:pPr>
              <w:suppressAutoHyphens w:val="0"/>
              <w:jc w:val="center"/>
              <w:rPr>
                <w:rFonts w:ascii="Calibri" w:hAnsi="Calibri" w:cs="Calibri"/>
                <w:sz w:val="16"/>
                <w:szCs w:val="16"/>
                <w:lang w:val="it-IT" w:eastAsia="it-IT"/>
              </w:rPr>
            </w:pPr>
            <w:r w:rsidRPr="000F0968">
              <w:rPr>
                <w:rFonts w:ascii="Calibri" w:hAnsi="Calibri" w:cs="Calibri"/>
                <w:sz w:val="16"/>
                <w:szCs w:val="16"/>
                <w:lang w:val="it-IT" w:eastAsia="it-IT"/>
              </w:rPr>
              <w:t>Relapsed or refractory indolent non-Hodgkin lymphoma</w:t>
            </w:r>
          </w:p>
        </w:tc>
        <w:tc>
          <w:tcPr>
            <w:tcW w:w="2800" w:type="dxa"/>
            <w:tcBorders>
              <w:top w:val="nil"/>
              <w:left w:val="nil"/>
              <w:bottom w:val="single" w:sz="4" w:space="0" w:color="auto"/>
              <w:right w:val="single" w:sz="4" w:space="0" w:color="auto"/>
            </w:tcBorders>
            <w:shd w:val="clear" w:color="auto" w:fill="auto"/>
            <w:vAlign w:val="center"/>
            <w:hideMark/>
          </w:tcPr>
          <w:p w:rsidR="00A020ED" w:rsidRPr="000F0968" w:rsidRDefault="00A020ED" w:rsidP="00A020ED">
            <w:pPr>
              <w:suppressAutoHyphens w:val="0"/>
              <w:jc w:val="center"/>
              <w:rPr>
                <w:rFonts w:ascii="Calibri" w:hAnsi="Calibri" w:cs="Calibri"/>
                <w:sz w:val="16"/>
                <w:szCs w:val="16"/>
                <w:lang w:val="it-IT" w:eastAsia="it-IT"/>
              </w:rPr>
            </w:pPr>
            <w:r w:rsidRPr="000F0968">
              <w:rPr>
                <w:rFonts w:ascii="Calibri" w:hAnsi="Calibri" w:cs="Calibri"/>
                <w:sz w:val="16"/>
                <w:szCs w:val="16"/>
                <w:lang w:val="it-IT" w:eastAsia="it-IT"/>
              </w:rPr>
              <w:t>ORR: 47%; disease regression 85%; DOR: 18.4 months; PFS: 7.6 months; PR: 39%; CR: 1.6%; major response: 6%; SD: 39%. 46.4% of patients were progression free 48 weeks after treatment</w:t>
            </w:r>
          </w:p>
        </w:tc>
        <w:tc>
          <w:tcPr>
            <w:tcW w:w="500" w:type="dxa"/>
            <w:tcBorders>
              <w:top w:val="nil"/>
              <w:left w:val="nil"/>
              <w:bottom w:val="single" w:sz="4" w:space="0" w:color="auto"/>
              <w:right w:val="single" w:sz="4" w:space="0" w:color="auto"/>
            </w:tcBorders>
            <w:shd w:val="clear" w:color="auto" w:fill="auto"/>
            <w:vAlign w:val="center"/>
            <w:hideMark/>
          </w:tcPr>
          <w:p w:rsidR="00A020ED" w:rsidRPr="000F0968" w:rsidRDefault="00A020ED" w:rsidP="00A020ED">
            <w:pPr>
              <w:suppressAutoHyphens w:val="0"/>
              <w:jc w:val="center"/>
              <w:rPr>
                <w:rFonts w:ascii="Calibri" w:hAnsi="Calibri" w:cs="Calibri"/>
                <w:sz w:val="16"/>
                <w:szCs w:val="16"/>
                <w:lang w:val="it-IT" w:eastAsia="it-IT"/>
              </w:rPr>
            </w:pPr>
            <w:r w:rsidRPr="000F0968">
              <w:rPr>
                <w:rFonts w:ascii="Calibri" w:hAnsi="Calibri" w:cs="Calibri"/>
                <w:sz w:val="16"/>
                <w:szCs w:val="16"/>
                <w:lang w:val="it-IT" w:eastAsia="it-IT"/>
              </w:rPr>
              <w:t>F</w:t>
            </w:r>
          </w:p>
        </w:tc>
        <w:tc>
          <w:tcPr>
            <w:tcW w:w="560" w:type="dxa"/>
            <w:tcBorders>
              <w:top w:val="nil"/>
              <w:left w:val="nil"/>
              <w:bottom w:val="single" w:sz="4" w:space="0" w:color="auto"/>
              <w:right w:val="single" w:sz="4" w:space="0" w:color="auto"/>
            </w:tcBorders>
            <w:shd w:val="clear" w:color="auto" w:fill="auto"/>
            <w:vAlign w:val="center"/>
            <w:hideMark/>
          </w:tcPr>
          <w:p w:rsidR="00A020ED" w:rsidRPr="000F0968" w:rsidRDefault="00A020ED" w:rsidP="00A020ED">
            <w:pPr>
              <w:suppressAutoHyphens w:val="0"/>
              <w:jc w:val="center"/>
              <w:rPr>
                <w:rFonts w:ascii="Calibri" w:hAnsi="Calibri" w:cs="Calibri"/>
                <w:sz w:val="16"/>
                <w:szCs w:val="16"/>
                <w:lang w:val="it-IT" w:eastAsia="it-IT"/>
              </w:rPr>
            </w:pPr>
            <w:r w:rsidRPr="000F0968">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0F0968" w:rsidRDefault="00A020ED" w:rsidP="00A020ED">
            <w:pPr>
              <w:suppressAutoHyphens w:val="0"/>
              <w:jc w:val="center"/>
              <w:rPr>
                <w:rFonts w:ascii="Calibri" w:hAnsi="Calibri" w:cs="Calibri"/>
                <w:sz w:val="16"/>
                <w:szCs w:val="16"/>
                <w:lang w:val="it-IT" w:eastAsia="it-IT"/>
              </w:rPr>
            </w:pPr>
            <w:r w:rsidRPr="000F0968">
              <w:rPr>
                <w:rFonts w:ascii="Calibri" w:hAnsi="Calibri" w:cs="Calibri"/>
                <w:sz w:val="16"/>
                <w:szCs w:val="16"/>
                <w:lang w:val="it-IT" w:eastAsia="it-IT"/>
              </w:rPr>
              <w:t>2008</w:t>
            </w:r>
          </w:p>
        </w:tc>
        <w:tc>
          <w:tcPr>
            <w:tcW w:w="500" w:type="dxa"/>
            <w:tcBorders>
              <w:top w:val="nil"/>
              <w:left w:val="nil"/>
              <w:bottom w:val="single" w:sz="4" w:space="0" w:color="auto"/>
              <w:right w:val="single" w:sz="4" w:space="0" w:color="auto"/>
            </w:tcBorders>
            <w:shd w:val="clear" w:color="auto" w:fill="auto"/>
            <w:vAlign w:val="center"/>
            <w:hideMark/>
          </w:tcPr>
          <w:p w:rsidR="00A020ED" w:rsidRPr="000F0968" w:rsidRDefault="00A020ED" w:rsidP="00A020ED">
            <w:pPr>
              <w:suppressAutoHyphens w:val="0"/>
              <w:jc w:val="center"/>
              <w:rPr>
                <w:rFonts w:ascii="Calibri" w:hAnsi="Calibri" w:cs="Calibri"/>
                <w:sz w:val="16"/>
                <w:szCs w:val="16"/>
                <w:lang w:val="it-IT" w:eastAsia="it-IT"/>
              </w:rPr>
            </w:pPr>
            <w:r w:rsidRPr="000F0968">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0F0968" w:rsidRDefault="00A020ED" w:rsidP="00A020ED">
            <w:pPr>
              <w:suppressAutoHyphens w:val="0"/>
              <w:jc w:val="center"/>
              <w:rPr>
                <w:rFonts w:ascii="Calibri" w:hAnsi="Calibri" w:cs="Calibri"/>
                <w:sz w:val="16"/>
                <w:szCs w:val="16"/>
                <w:lang w:val="it-IT" w:eastAsia="it-IT"/>
              </w:rPr>
            </w:pPr>
            <w:r w:rsidRPr="000F0968">
              <w:rPr>
                <w:rFonts w:ascii="Calibri" w:hAnsi="Calibri" w:cs="Calibri"/>
                <w:sz w:val="16"/>
                <w:szCs w:val="16"/>
                <w:lang w:val="it-IT" w:eastAsia="it-IT"/>
              </w:rPr>
              <w:t>2012</w:t>
            </w:r>
          </w:p>
        </w:tc>
        <w:tc>
          <w:tcPr>
            <w:tcW w:w="1280" w:type="dxa"/>
            <w:tcBorders>
              <w:top w:val="nil"/>
              <w:left w:val="nil"/>
              <w:bottom w:val="single" w:sz="4" w:space="0" w:color="auto"/>
              <w:right w:val="single" w:sz="4" w:space="0" w:color="auto"/>
            </w:tcBorders>
            <w:shd w:val="clear" w:color="auto" w:fill="auto"/>
            <w:vAlign w:val="center"/>
            <w:hideMark/>
          </w:tcPr>
          <w:p w:rsidR="00A020ED" w:rsidRPr="000F0968" w:rsidRDefault="00A020ED" w:rsidP="00A020ED">
            <w:pPr>
              <w:suppressAutoHyphens w:val="0"/>
              <w:jc w:val="center"/>
              <w:rPr>
                <w:rFonts w:ascii="Calibri" w:hAnsi="Calibri" w:cs="Calibri"/>
                <w:sz w:val="16"/>
                <w:szCs w:val="16"/>
                <w:lang w:val="it-IT" w:eastAsia="it-IT"/>
              </w:rPr>
            </w:pPr>
            <w:r w:rsidRPr="000F0968">
              <w:rPr>
                <w:rFonts w:ascii="Calibri" w:hAnsi="Calibri" w:cs="Calibri"/>
                <w:sz w:val="16"/>
                <w:szCs w:val="16"/>
                <w:lang w:val="it-IT" w:eastAsia="it-IT"/>
              </w:rPr>
              <w:t>Gilead Sciences</w:t>
            </w:r>
          </w:p>
        </w:tc>
        <w:tc>
          <w:tcPr>
            <w:tcW w:w="1280" w:type="dxa"/>
            <w:tcBorders>
              <w:top w:val="nil"/>
              <w:left w:val="nil"/>
              <w:bottom w:val="single" w:sz="4" w:space="0" w:color="auto"/>
              <w:right w:val="single" w:sz="4" w:space="0" w:color="auto"/>
            </w:tcBorders>
            <w:shd w:val="clear" w:color="auto" w:fill="auto"/>
            <w:vAlign w:val="center"/>
            <w:hideMark/>
          </w:tcPr>
          <w:p w:rsidR="00A020ED" w:rsidRPr="000F0968" w:rsidRDefault="00A020ED" w:rsidP="00A020ED">
            <w:pPr>
              <w:suppressAutoHyphens w:val="0"/>
              <w:jc w:val="center"/>
              <w:rPr>
                <w:rFonts w:ascii="Calibri" w:hAnsi="Calibri" w:cs="Calibri"/>
                <w:sz w:val="16"/>
                <w:szCs w:val="16"/>
                <w:lang w:val="it-IT" w:eastAsia="it-IT"/>
              </w:rPr>
            </w:pPr>
            <w:r w:rsidRPr="000F0968">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0F0968" w:rsidRDefault="00A020ED" w:rsidP="00A020ED">
            <w:pPr>
              <w:suppressAutoHyphens w:val="0"/>
              <w:jc w:val="center"/>
              <w:rPr>
                <w:rFonts w:ascii="Calibri" w:hAnsi="Calibri" w:cs="Calibri"/>
                <w:sz w:val="16"/>
                <w:szCs w:val="16"/>
                <w:lang w:val="it-IT" w:eastAsia="it-IT"/>
              </w:rPr>
            </w:pPr>
            <w:r w:rsidRPr="000F0968">
              <w:rPr>
                <w:rFonts w:ascii="Calibri" w:hAnsi="Calibri" w:cs="Calibri"/>
                <w:sz w:val="16"/>
                <w:szCs w:val="16"/>
                <w:lang w:val="it-IT" w:eastAsia="it-IT"/>
              </w:rPr>
              <w:t>NCT00710528</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0F0968" w:rsidRDefault="00F85CBF"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168</w:t>
            </w:r>
          </w:p>
        </w:tc>
      </w:tr>
      <w:tr w:rsidR="00A020ED" w:rsidRPr="00D501A8" w:rsidTr="00F85CBF">
        <w:trPr>
          <w:trHeight w:val="9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D501A8" w:rsidRDefault="00A020ED" w:rsidP="00A020ED">
            <w:pPr>
              <w:suppressAutoHyphens w:val="0"/>
              <w:jc w:val="center"/>
              <w:rPr>
                <w:rFonts w:ascii="Calibri" w:hAnsi="Calibri" w:cs="Calibri"/>
                <w:sz w:val="16"/>
                <w:szCs w:val="16"/>
                <w:lang w:val="it-IT" w:eastAsia="it-IT"/>
              </w:rPr>
            </w:pPr>
            <w:r w:rsidRPr="00D501A8">
              <w:rPr>
                <w:rFonts w:ascii="Calibri" w:hAnsi="Calibri" w:cs="Calibri"/>
                <w:sz w:val="16"/>
                <w:szCs w:val="16"/>
                <w:lang w:val="it-IT" w:eastAsia="it-IT"/>
              </w:rPr>
              <w:t>1</w:t>
            </w:r>
          </w:p>
        </w:tc>
        <w:tc>
          <w:tcPr>
            <w:tcW w:w="1420" w:type="dxa"/>
            <w:tcBorders>
              <w:top w:val="nil"/>
              <w:left w:val="nil"/>
              <w:bottom w:val="single" w:sz="4" w:space="0" w:color="auto"/>
              <w:right w:val="single" w:sz="4" w:space="0" w:color="auto"/>
            </w:tcBorders>
            <w:shd w:val="clear" w:color="auto" w:fill="auto"/>
            <w:vAlign w:val="center"/>
            <w:hideMark/>
          </w:tcPr>
          <w:p w:rsidR="00A020ED" w:rsidRPr="00D501A8" w:rsidRDefault="00A020ED" w:rsidP="00A020ED">
            <w:pPr>
              <w:suppressAutoHyphens w:val="0"/>
              <w:jc w:val="center"/>
              <w:rPr>
                <w:rFonts w:ascii="Calibri" w:hAnsi="Calibri" w:cs="Calibri"/>
                <w:sz w:val="16"/>
                <w:szCs w:val="16"/>
                <w:lang w:val="it-IT" w:eastAsia="it-IT"/>
              </w:rPr>
            </w:pPr>
            <w:r w:rsidRPr="00D501A8">
              <w:rPr>
                <w:rFonts w:ascii="Calibri" w:hAnsi="Calibri" w:cs="Calibri"/>
                <w:sz w:val="16"/>
                <w:szCs w:val="16"/>
                <w:lang w:val="it-IT" w:eastAsia="it-IT"/>
              </w:rPr>
              <w:t>Combination of idelalisib with rituximab</w:t>
            </w:r>
          </w:p>
        </w:tc>
        <w:tc>
          <w:tcPr>
            <w:tcW w:w="1480" w:type="dxa"/>
            <w:tcBorders>
              <w:top w:val="nil"/>
              <w:left w:val="nil"/>
              <w:bottom w:val="single" w:sz="4" w:space="0" w:color="auto"/>
              <w:right w:val="single" w:sz="4" w:space="0" w:color="auto"/>
            </w:tcBorders>
            <w:shd w:val="clear" w:color="auto" w:fill="auto"/>
            <w:vAlign w:val="center"/>
            <w:hideMark/>
          </w:tcPr>
          <w:p w:rsidR="00A020ED" w:rsidRPr="00D501A8" w:rsidRDefault="00A020ED" w:rsidP="00A020ED">
            <w:pPr>
              <w:suppressAutoHyphens w:val="0"/>
              <w:jc w:val="center"/>
              <w:rPr>
                <w:rFonts w:ascii="Calibri" w:hAnsi="Calibri" w:cs="Calibri"/>
                <w:sz w:val="16"/>
                <w:szCs w:val="16"/>
                <w:lang w:val="it-IT" w:eastAsia="it-IT"/>
              </w:rPr>
            </w:pPr>
            <w:r w:rsidRPr="00D501A8">
              <w:rPr>
                <w:rFonts w:ascii="Calibri" w:hAnsi="Calibri" w:cs="Calibri"/>
                <w:sz w:val="16"/>
                <w:szCs w:val="16"/>
                <w:lang w:val="it-IT" w:eastAsia="it-IT"/>
              </w:rPr>
              <w:t>Relapsed or refractory chronic lymphocytic leukemia</w:t>
            </w:r>
          </w:p>
        </w:tc>
        <w:tc>
          <w:tcPr>
            <w:tcW w:w="2800" w:type="dxa"/>
            <w:tcBorders>
              <w:top w:val="nil"/>
              <w:left w:val="nil"/>
              <w:bottom w:val="single" w:sz="4" w:space="0" w:color="auto"/>
              <w:right w:val="single" w:sz="4" w:space="0" w:color="auto"/>
            </w:tcBorders>
            <w:shd w:val="clear" w:color="auto" w:fill="auto"/>
            <w:vAlign w:val="center"/>
            <w:hideMark/>
          </w:tcPr>
          <w:p w:rsidR="00A020ED" w:rsidRPr="00D501A8" w:rsidRDefault="00A020ED" w:rsidP="00A020ED">
            <w:pPr>
              <w:suppressAutoHyphens w:val="0"/>
              <w:jc w:val="center"/>
              <w:rPr>
                <w:rFonts w:ascii="Calibri" w:hAnsi="Calibri" w:cs="Calibri"/>
                <w:sz w:val="16"/>
                <w:szCs w:val="16"/>
                <w:lang w:val="it-IT" w:eastAsia="it-IT"/>
              </w:rPr>
            </w:pPr>
            <w:r w:rsidRPr="00D501A8">
              <w:rPr>
                <w:rFonts w:ascii="Calibri" w:hAnsi="Calibri" w:cs="Calibri"/>
                <w:sz w:val="16"/>
                <w:szCs w:val="16"/>
                <w:lang w:val="it-IT" w:eastAsia="it-IT"/>
              </w:rPr>
              <w:t>ORR: 89.5%, and PR: 89.5%. PFS: 36.8 months, and DOR: 34.9 months</w:t>
            </w:r>
          </w:p>
        </w:tc>
        <w:tc>
          <w:tcPr>
            <w:tcW w:w="500" w:type="dxa"/>
            <w:tcBorders>
              <w:top w:val="nil"/>
              <w:left w:val="nil"/>
              <w:bottom w:val="single" w:sz="4" w:space="0" w:color="auto"/>
              <w:right w:val="single" w:sz="4" w:space="0" w:color="auto"/>
            </w:tcBorders>
            <w:shd w:val="clear" w:color="auto" w:fill="auto"/>
            <w:vAlign w:val="center"/>
            <w:hideMark/>
          </w:tcPr>
          <w:p w:rsidR="00A020ED" w:rsidRPr="00D501A8" w:rsidRDefault="00A020ED" w:rsidP="00A020ED">
            <w:pPr>
              <w:suppressAutoHyphens w:val="0"/>
              <w:jc w:val="center"/>
              <w:rPr>
                <w:rFonts w:ascii="Calibri" w:hAnsi="Calibri" w:cs="Calibri"/>
                <w:sz w:val="16"/>
                <w:szCs w:val="16"/>
                <w:lang w:val="it-IT" w:eastAsia="it-IT"/>
              </w:rPr>
            </w:pPr>
            <w:r w:rsidRPr="00D501A8">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D501A8" w:rsidRDefault="00A020ED" w:rsidP="00A020ED">
            <w:pPr>
              <w:suppressAutoHyphens w:val="0"/>
              <w:jc w:val="center"/>
              <w:rPr>
                <w:rFonts w:ascii="Calibri" w:hAnsi="Calibri" w:cs="Calibri"/>
                <w:sz w:val="16"/>
                <w:szCs w:val="16"/>
                <w:lang w:val="it-IT" w:eastAsia="it-IT"/>
              </w:rPr>
            </w:pPr>
            <w:r w:rsidRPr="00D501A8">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D501A8" w:rsidRDefault="00A020ED" w:rsidP="00A020ED">
            <w:pPr>
              <w:suppressAutoHyphens w:val="0"/>
              <w:jc w:val="center"/>
              <w:rPr>
                <w:rFonts w:ascii="Calibri" w:hAnsi="Calibri" w:cs="Calibri"/>
                <w:sz w:val="16"/>
                <w:szCs w:val="16"/>
                <w:lang w:val="it-IT" w:eastAsia="it-IT"/>
              </w:rPr>
            </w:pPr>
            <w:r w:rsidRPr="00D501A8">
              <w:rPr>
                <w:rFonts w:ascii="Calibri" w:hAnsi="Calibri" w:cs="Calibri"/>
                <w:sz w:val="16"/>
                <w:szCs w:val="16"/>
                <w:lang w:val="it-IT" w:eastAsia="it-IT"/>
              </w:rPr>
              <w:t>2010</w:t>
            </w:r>
          </w:p>
        </w:tc>
        <w:tc>
          <w:tcPr>
            <w:tcW w:w="500" w:type="dxa"/>
            <w:tcBorders>
              <w:top w:val="nil"/>
              <w:left w:val="nil"/>
              <w:bottom w:val="single" w:sz="4" w:space="0" w:color="auto"/>
              <w:right w:val="single" w:sz="4" w:space="0" w:color="auto"/>
            </w:tcBorders>
            <w:shd w:val="clear" w:color="auto" w:fill="auto"/>
            <w:vAlign w:val="center"/>
            <w:hideMark/>
          </w:tcPr>
          <w:p w:rsidR="00A020ED" w:rsidRPr="00D501A8" w:rsidRDefault="00A020ED" w:rsidP="00A020ED">
            <w:pPr>
              <w:suppressAutoHyphens w:val="0"/>
              <w:jc w:val="center"/>
              <w:rPr>
                <w:rFonts w:ascii="Calibri" w:hAnsi="Calibri" w:cs="Calibri"/>
                <w:sz w:val="16"/>
                <w:szCs w:val="16"/>
                <w:lang w:val="it-IT" w:eastAsia="it-IT"/>
              </w:rPr>
            </w:pPr>
            <w:r w:rsidRPr="00D501A8">
              <w:rPr>
                <w:rFonts w:ascii="Calibri" w:hAnsi="Calibri" w:cs="Calibri"/>
                <w:sz w:val="16"/>
                <w:szCs w:val="16"/>
                <w:lang w:val="it-IT" w:eastAsia="it-IT"/>
              </w:rPr>
              <w:t>2021</w:t>
            </w:r>
          </w:p>
        </w:tc>
        <w:tc>
          <w:tcPr>
            <w:tcW w:w="500" w:type="dxa"/>
            <w:tcBorders>
              <w:top w:val="nil"/>
              <w:left w:val="nil"/>
              <w:bottom w:val="single" w:sz="4" w:space="0" w:color="auto"/>
              <w:right w:val="single" w:sz="4" w:space="0" w:color="auto"/>
            </w:tcBorders>
            <w:shd w:val="clear" w:color="auto" w:fill="auto"/>
            <w:vAlign w:val="center"/>
            <w:hideMark/>
          </w:tcPr>
          <w:p w:rsidR="00A020ED" w:rsidRPr="00D501A8" w:rsidRDefault="00A020ED" w:rsidP="00A020ED">
            <w:pPr>
              <w:suppressAutoHyphens w:val="0"/>
              <w:jc w:val="center"/>
              <w:rPr>
                <w:rFonts w:ascii="Calibri" w:hAnsi="Calibri" w:cs="Calibri"/>
                <w:sz w:val="16"/>
                <w:szCs w:val="16"/>
                <w:lang w:val="it-IT" w:eastAsia="it-IT"/>
              </w:rPr>
            </w:pPr>
            <w:r w:rsidRPr="00D501A8">
              <w:rPr>
                <w:rFonts w:ascii="Calibri" w:hAnsi="Calibri" w:cs="Calibri"/>
                <w:sz w:val="16"/>
                <w:szCs w:val="16"/>
                <w:lang w:val="it-IT" w:eastAsia="it-IT"/>
              </w:rPr>
              <w:t>2021</w:t>
            </w:r>
          </w:p>
        </w:tc>
        <w:tc>
          <w:tcPr>
            <w:tcW w:w="1280" w:type="dxa"/>
            <w:tcBorders>
              <w:top w:val="nil"/>
              <w:left w:val="nil"/>
              <w:bottom w:val="single" w:sz="4" w:space="0" w:color="auto"/>
              <w:right w:val="single" w:sz="4" w:space="0" w:color="auto"/>
            </w:tcBorders>
            <w:shd w:val="clear" w:color="auto" w:fill="auto"/>
            <w:vAlign w:val="center"/>
            <w:hideMark/>
          </w:tcPr>
          <w:p w:rsidR="00A020ED" w:rsidRPr="00D501A8" w:rsidRDefault="00A020ED" w:rsidP="00A020ED">
            <w:pPr>
              <w:suppressAutoHyphens w:val="0"/>
              <w:jc w:val="center"/>
              <w:rPr>
                <w:rFonts w:ascii="Calibri" w:hAnsi="Calibri" w:cs="Calibri"/>
                <w:sz w:val="16"/>
                <w:szCs w:val="16"/>
                <w:lang w:val="it-IT" w:eastAsia="it-IT"/>
              </w:rPr>
            </w:pPr>
            <w:r w:rsidRPr="00D501A8">
              <w:rPr>
                <w:rFonts w:ascii="Calibri" w:hAnsi="Calibri" w:cs="Calibri"/>
                <w:sz w:val="16"/>
                <w:szCs w:val="16"/>
                <w:lang w:val="it-IT" w:eastAsia="it-IT"/>
              </w:rPr>
              <w:t>Gilead Sciences</w:t>
            </w:r>
          </w:p>
        </w:tc>
        <w:tc>
          <w:tcPr>
            <w:tcW w:w="1280" w:type="dxa"/>
            <w:tcBorders>
              <w:top w:val="nil"/>
              <w:left w:val="nil"/>
              <w:bottom w:val="single" w:sz="4" w:space="0" w:color="auto"/>
              <w:right w:val="single" w:sz="4" w:space="0" w:color="auto"/>
            </w:tcBorders>
            <w:shd w:val="clear" w:color="auto" w:fill="auto"/>
            <w:vAlign w:val="center"/>
            <w:hideMark/>
          </w:tcPr>
          <w:p w:rsidR="00A020ED" w:rsidRPr="00D501A8" w:rsidRDefault="00A020ED" w:rsidP="00A020ED">
            <w:pPr>
              <w:suppressAutoHyphens w:val="0"/>
              <w:jc w:val="center"/>
              <w:rPr>
                <w:rFonts w:ascii="Calibri" w:hAnsi="Calibri" w:cs="Calibri"/>
                <w:sz w:val="16"/>
                <w:szCs w:val="16"/>
                <w:lang w:val="it-IT" w:eastAsia="it-IT"/>
              </w:rPr>
            </w:pPr>
            <w:r w:rsidRPr="00D501A8">
              <w:rPr>
                <w:rFonts w:ascii="Calibri" w:hAnsi="Calibri" w:cs="Calibri"/>
                <w:sz w:val="16"/>
                <w:szCs w:val="16"/>
                <w:lang w:val="it-IT" w:eastAsia="it-IT"/>
              </w:rPr>
              <w:t>*</w:t>
            </w:r>
          </w:p>
        </w:tc>
        <w:tc>
          <w:tcPr>
            <w:tcW w:w="1220" w:type="dxa"/>
            <w:tcBorders>
              <w:top w:val="nil"/>
              <w:left w:val="nil"/>
              <w:bottom w:val="single" w:sz="4" w:space="0" w:color="auto"/>
              <w:right w:val="single" w:sz="4" w:space="0" w:color="auto"/>
            </w:tcBorders>
            <w:shd w:val="clear" w:color="auto" w:fill="auto"/>
            <w:vAlign w:val="center"/>
            <w:hideMark/>
          </w:tcPr>
          <w:p w:rsidR="00A020ED" w:rsidRPr="00CE41A3" w:rsidRDefault="00A020ED" w:rsidP="00A020ED">
            <w:pPr>
              <w:suppressAutoHyphens w:val="0"/>
              <w:jc w:val="center"/>
              <w:rPr>
                <w:rFonts w:ascii="Calibri" w:hAnsi="Calibri" w:cs="Calibri"/>
                <w:sz w:val="16"/>
                <w:szCs w:val="16"/>
                <w:lang w:val="it-IT" w:eastAsia="it-IT"/>
              </w:rPr>
            </w:pPr>
            <w:r w:rsidRPr="00CE41A3">
              <w:rPr>
                <w:rFonts w:ascii="Calibri" w:hAnsi="Calibri" w:cs="Calibri"/>
                <w:sz w:val="16"/>
                <w:szCs w:val="16"/>
                <w:lang w:val="it-IT" w:eastAsia="it-IT"/>
              </w:rPr>
              <w:t>NCT01088048</w:t>
            </w:r>
          </w:p>
        </w:tc>
        <w:tc>
          <w:tcPr>
            <w:tcW w:w="480" w:type="dxa"/>
            <w:tcBorders>
              <w:top w:val="nil"/>
              <w:left w:val="nil"/>
              <w:bottom w:val="single" w:sz="4" w:space="0" w:color="auto"/>
              <w:right w:val="single" w:sz="4" w:space="0" w:color="auto"/>
            </w:tcBorders>
            <w:shd w:val="clear" w:color="auto" w:fill="auto"/>
            <w:noWrap/>
            <w:vAlign w:val="center"/>
          </w:tcPr>
          <w:p w:rsidR="00A020ED" w:rsidRPr="00D501A8" w:rsidRDefault="00F85CBF"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169</w:t>
            </w:r>
          </w:p>
        </w:tc>
      </w:tr>
      <w:tr w:rsidR="00A020ED" w:rsidRPr="00CB0B1B" w:rsidTr="00F85CBF">
        <w:trPr>
          <w:trHeight w:val="9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CB0B1B" w:rsidRDefault="00A020ED" w:rsidP="00A020ED">
            <w:pPr>
              <w:suppressAutoHyphens w:val="0"/>
              <w:jc w:val="center"/>
              <w:rPr>
                <w:rFonts w:ascii="Calibri" w:hAnsi="Calibri" w:cs="Calibri"/>
                <w:sz w:val="16"/>
                <w:szCs w:val="16"/>
                <w:lang w:val="it-IT" w:eastAsia="it-IT"/>
              </w:rPr>
            </w:pPr>
            <w:r w:rsidRPr="00CB0B1B">
              <w:rPr>
                <w:rFonts w:ascii="Calibri" w:hAnsi="Calibri" w:cs="Calibri"/>
                <w:sz w:val="16"/>
                <w:szCs w:val="16"/>
                <w:lang w:val="it-IT" w:eastAsia="it-IT"/>
              </w:rPr>
              <w:t>1</w:t>
            </w:r>
          </w:p>
        </w:tc>
        <w:tc>
          <w:tcPr>
            <w:tcW w:w="1420" w:type="dxa"/>
            <w:tcBorders>
              <w:top w:val="nil"/>
              <w:left w:val="nil"/>
              <w:bottom w:val="single" w:sz="4" w:space="0" w:color="auto"/>
              <w:right w:val="single" w:sz="4" w:space="0" w:color="auto"/>
            </w:tcBorders>
            <w:shd w:val="clear" w:color="auto" w:fill="auto"/>
            <w:vAlign w:val="center"/>
            <w:hideMark/>
          </w:tcPr>
          <w:p w:rsidR="00A020ED" w:rsidRPr="00CB0B1B" w:rsidRDefault="00A020ED" w:rsidP="00A020ED">
            <w:pPr>
              <w:suppressAutoHyphens w:val="0"/>
              <w:jc w:val="center"/>
              <w:rPr>
                <w:rFonts w:ascii="Calibri" w:hAnsi="Calibri" w:cs="Calibri"/>
                <w:sz w:val="16"/>
                <w:szCs w:val="16"/>
                <w:lang w:val="it-IT" w:eastAsia="it-IT"/>
              </w:rPr>
            </w:pPr>
            <w:r w:rsidRPr="00CB0B1B">
              <w:rPr>
                <w:rFonts w:ascii="Calibri" w:hAnsi="Calibri" w:cs="Calibri"/>
                <w:sz w:val="16"/>
                <w:szCs w:val="16"/>
                <w:lang w:val="it-IT" w:eastAsia="it-IT"/>
              </w:rPr>
              <w:t>Combination of idelalisib with bendamustine</w:t>
            </w:r>
          </w:p>
        </w:tc>
        <w:tc>
          <w:tcPr>
            <w:tcW w:w="1480" w:type="dxa"/>
            <w:tcBorders>
              <w:top w:val="nil"/>
              <w:left w:val="nil"/>
              <w:bottom w:val="single" w:sz="4" w:space="0" w:color="auto"/>
              <w:right w:val="single" w:sz="4" w:space="0" w:color="auto"/>
            </w:tcBorders>
            <w:shd w:val="clear" w:color="auto" w:fill="auto"/>
            <w:vAlign w:val="center"/>
            <w:hideMark/>
          </w:tcPr>
          <w:p w:rsidR="00A020ED" w:rsidRPr="00CB0B1B" w:rsidRDefault="00A020ED" w:rsidP="00A020ED">
            <w:pPr>
              <w:suppressAutoHyphens w:val="0"/>
              <w:jc w:val="center"/>
              <w:rPr>
                <w:rFonts w:ascii="Calibri" w:hAnsi="Calibri" w:cs="Calibri"/>
                <w:sz w:val="16"/>
                <w:szCs w:val="16"/>
                <w:lang w:val="it-IT" w:eastAsia="it-IT"/>
              </w:rPr>
            </w:pPr>
            <w:r w:rsidRPr="00CB0B1B">
              <w:rPr>
                <w:rFonts w:ascii="Calibri" w:hAnsi="Calibri" w:cs="Calibri"/>
                <w:sz w:val="16"/>
                <w:szCs w:val="16"/>
                <w:lang w:val="it-IT" w:eastAsia="it-IT"/>
              </w:rPr>
              <w:t>Relapsed or refractory chronic lymphocytic leukemia</w:t>
            </w:r>
          </w:p>
        </w:tc>
        <w:tc>
          <w:tcPr>
            <w:tcW w:w="2800" w:type="dxa"/>
            <w:tcBorders>
              <w:top w:val="nil"/>
              <w:left w:val="nil"/>
              <w:bottom w:val="single" w:sz="4" w:space="0" w:color="auto"/>
              <w:right w:val="single" w:sz="4" w:space="0" w:color="auto"/>
            </w:tcBorders>
            <w:shd w:val="clear" w:color="auto" w:fill="auto"/>
            <w:vAlign w:val="center"/>
            <w:hideMark/>
          </w:tcPr>
          <w:p w:rsidR="00A020ED" w:rsidRPr="00CB0B1B" w:rsidRDefault="00A020ED" w:rsidP="00A020ED">
            <w:pPr>
              <w:suppressAutoHyphens w:val="0"/>
              <w:jc w:val="center"/>
              <w:rPr>
                <w:rFonts w:ascii="Calibri" w:hAnsi="Calibri" w:cs="Calibri"/>
                <w:sz w:val="16"/>
                <w:szCs w:val="16"/>
                <w:lang w:val="it-IT" w:eastAsia="it-IT"/>
              </w:rPr>
            </w:pPr>
            <w:r w:rsidRPr="00CB0B1B">
              <w:rPr>
                <w:rFonts w:ascii="Calibri" w:hAnsi="Calibri" w:cs="Calibri"/>
                <w:sz w:val="16"/>
                <w:szCs w:val="16"/>
                <w:lang w:val="it-IT" w:eastAsia="it-IT"/>
              </w:rPr>
              <w:t>ORR: 77.8%, CR: 5.6%, and PR: 72.2%. PFS: 18.5 months, and DOR: 16.7 months</w:t>
            </w:r>
          </w:p>
        </w:tc>
        <w:tc>
          <w:tcPr>
            <w:tcW w:w="500" w:type="dxa"/>
            <w:tcBorders>
              <w:top w:val="nil"/>
              <w:left w:val="nil"/>
              <w:bottom w:val="single" w:sz="4" w:space="0" w:color="auto"/>
              <w:right w:val="single" w:sz="4" w:space="0" w:color="auto"/>
            </w:tcBorders>
            <w:shd w:val="clear" w:color="auto" w:fill="auto"/>
            <w:vAlign w:val="center"/>
            <w:hideMark/>
          </w:tcPr>
          <w:p w:rsidR="00A020ED" w:rsidRPr="00CB0B1B" w:rsidRDefault="00A020ED" w:rsidP="00A020ED">
            <w:pPr>
              <w:suppressAutoHyphens w:val="0"/>
              <w:jc w:val="center"/>
              <w:rPr>
                <w:rFonts w:ascii="Calibri" w:hAnsi="Calibri" w:cs="Calibri"/>
                <w:sz w:val="16"/>
                <w:szCs w:val="16"/>
                <w:lang w:val="it-IT" w:eastAsia="it-IT"/>
              </w:rPr>
            </w:pPr>
            <w:r w:rsidRPr="00CB0B1B">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CB0B1B" w:rsidRDefault="00A020ED" w:rsidP="00A020ED">
            <w:pPr>
              <w:suppressAutoHyphens w:val="0"/>
              <w:jc w:val="center"/>
              <w:rPr>
                <w:rFonts w:ascii="Calibri" w:hAnsi="Calibri" w:cs="Calibri"/>
                <w:sz w:val="16"/>
                <w:szCs w:val="16"/>
                <w:lang w:val="it-IT" w:eastAsia="it-IT"/>
              </w:rPr>
            </w:pPr>
            <w:r w:rsidRPr="00CB0B1B">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CB0B1B" w:rsidRDefault="00A020ED" w:rsidP="00A020ED">
            <w:pPr>
              <w:suppressAutoHyphens w:val="0"/>
              <w:jc w:val="center"/>
              <w:rPr>
                <w:rFonts w:ascii="Calibri" w:hAnsi="Calibri" w:cs="Calibri"/>
                <w:sz w:val="16"/>
                <w:szCs w:val="16"/>
                <w:lang w:val="it-IT" w:eastAsia="it-IT"/>
              </w:rPr>
            </w:pPr>
            <w:r w:rsidRPr="00CB0B1B">
              <w:rPr>
                <w:rFonts w:ascii="Calibri" w:hAnsi="Calibri" w:cs="Calibri"/>
                <w:sz w:val="16"/>
                <w:szCs w:val="16"/>
                <w:lang w:val="it-IT" w:eastAsia="it-IT"/>
              </w:rPr>
              <w:t>2010</w:t>
            </w:r>
          </w:p>
        </w:tc>
        <w:tc>
          <w:tcPr>
            <w:tcW w:w="500" w:type="dxa"/>
            <w:tcBorders>
              <w:top w:val="nil"/>
              <w:left w:val="nil"/>
              <w:bottom w:val="single" w:sz="4" w:space="0" w:color="auto"/>
              <w:right w:val="single" w:sz="4" w:space="0" w:color="auto"/>
            </w:tcBorders>
            <w:shd w:val="clear" w:color="auto" w:fill="auto"/>
            <w:vAlign w:val="center"/>
            <w:hideMark/>
          </w:tcPr>
          <w:p w:rsidR="00A020ED" w:rsidRPr="00CB0B1B" w:rsidRDefault="00A020ED" w:rsidP="00A020ED">
            <w:pPr>
              <w:suppressAutoHyphens w:val="0"/>
              <w:jc w:val="center"/>
              <w:rPr>
                <w:rFonts w:ascii="Calibri" w:hAnsi="Calibri" w:cs="Calibri"/>
                <w:sz w:val="16"/>
                <w:szCs w:val="16"/>
                <w:lang w:val="it-IT" w:eastAsia="it-IT"/>
              </w:rPr>
            </w:pPr>
            <w:r w:rsidRPr="00CB0B1B">
              <w:rPr>
                <w:rFonts w:ascii="Calibri" w:hAnsi="Calibri" w:cs="Calibri"/>
                <w:sz w:val="16"/>
                <w:szCs w:val="16"/>
                <w:lang w:val="it-IT" w:eastAsia="it-IT"/>
              </w:rPr>
              <w:t>2021</w:t>
            </w:r>
          </w:p>
        </w:tc>
        <w:tc>
          <w:tcPr>
            <w:tcW w:w="500" w:type="dxa"/>
            <w:tcBorders>
              <w:top w:val="nil"/>
              <w:left w:val="nil"/>
              <w:bottom w:val="single" w:sz="4" w:space="0" w:color="auto"/>
              <w:right w:val="single" w:sz="4" w:space="0" w:color="auto"/>
            </w:tcBorders>
            <w:shd w:val="clear" w:color="auto" w:fill="auto"/>
            <w:vAlign w:val="center"/>
            <w:hideMark/>
          </w:tcPr>
          <w:p w:rsidR="00A020ED" w:rsidRPr="00CB0B1B" w:rsidRDefault="00A020ED" w:rsidP="00A020ED">
            <w:pPr>
              <w:suppressAutoHyphens w:val="0"/>
              <w:jc w:val="center"/>
              <w:rPr>
                <w:rFonts w:ascii="Calibri" w:hAnsi="Calibri" w:cs="Calibri"/>
                <w:sz w:val="16"/>
                <w:szCs w:val="16"/>
                <w:lang w:val="it-IT" w:eastAsia="it-IT"/>
              </w:rPr>
            </w:pPr>
            <w:r w:rsidRPr="00CB0B1B">
              <w:rPr>
                <w:rFonts w:ascii="Calibri" w:hAnsi="Calibri" w:cs="Calibri"/>
                <w:sz w:val="16"/>
                <w:szCs w:val="16"/>
                <w:lang w:val="it-IT" w:eastAsia="it-IT"/>
              </w:rPr>
              <w:t>2021</w:t>
            </w:r>
          </w:p>
        </w:tc>
        <w:tc>
          <w:tcPr>
            <w:tcW w:w="1280" w:type="dxa"/>
            <w:tcBorders>
              <w:top w:val="nil"/>
              <w:left w:val="nil"/>
              <w:bottom w:val="single" w:sz="4" w:space="0" w:color="auto"/>
              <w:right w:val="single" w:sz="4" w:space="0" w:color="auto"/>
            </w:tcBorders>
            <w:shd w:val="clear" w:color="auto" w:fill="auto"/>
            <w:vAlign w:val="center"/>
            <w:hideMark/>
          </w:tcPr>
          <w:p w:rsidR="00A020ED" w:rsidRPr="00CB0B1B" w:rsidRDefault="00A020ED" w:rsidP="00A020ED">
            <w:pPr>
              <w:suppressAutoHyphens w:val="0"/>
              <w:jc w:val="center"/>
              <w:rPr>
                <w:rFonts w:ascii="Calibri" w:hAnsi="Calibri" w:cs="Calibri"/>
                <w:sz w:val="16"/>
                <w:szCs w:val="16"/>
                <w:lang w:val="it-IT" w:eastAsia="it-IT"/>
              </w:rPr>
            </w:pPr>
            <w:r w:rsidRPr="00CB0B1B">
              <w:rPr>
                <w:rFonts w:ascii="Calibri" w:hAnsi="Calibri" w:cs="Calibri"/>
                <w:sz w:val="16"/>
                <w:szCs w:val="16"/>
                <w:lang w:val="it-IT" w:eastAsia="it-IT"/>
              </w:rPr>
              <w:t>Gilead Sciences</w:t>
            </w:r>
          </w:p>
        </w:tc>
        <w:tc>
          <w:tcPr>
            <w:tcW w:w="1280" w:type="dxa"/>
            <w:tcBorders>
              <w:top w:val="nil"/>
              <w:left w:val="nil"/>
              <w:bottom w:val="single" w:sz="4" w:space="0" w:color="auto"/>
              <w:right w:val="single" w:sz="4" w:space="0" w:color="auto"/>
            </w:tcBorders>
            <w:shd w:val="clear" w:color="auto" w:fill="auto"/>
            <w:vAlign w:val="center"/>
            <w:hideMark/>
          </w:tcPr>
          <w:p w:rsidR="00A020ED" w:rsidRPr="00CB0B1B" w:rsidRDefault="00A020ED" w:rsidP="00A020ED">
            <w:pPr>
              <w:suppressAutoHyphens w:val="0"/>
              <w:jc w:val="center"/>
              <w:rPr>
                <w:rFonts w:ascii="Calibri" w:hAnsi="Calibri" w:cs="Calibri"/>
                <w:sz w:val="16"/>
                <w:szCs w:val="16"/>
                <w:lang w:val="it-IT" w:eastAsia="it-IT"/>
              </w:rPr>
            </w:pPr>
            <w:r w:rsidRPr="00CB0B1B">
              <w:rPr>
                <w:rFonts w:ascii="Calibri" w:hAnsi="Calibri" w:cs="Calibri"/>
                <w:sz w:val="16"/>
                <w:szCs w:val="16"/>
                <w:lang w:val="it-IT" w:eastAsia="it-IT"/>
              </w:rPr>
              <w:t>*</w:t>
            </w:r>
          </w:p>
        </w:tc>
        <w:tc>
          <w:tcPr>
            <w:tcW w:w="1220" w:type="dxa"/>
            <w:tcBorders>
              <w:top w:val="nil"/>
              <w:left w:val="nil"/>
              <w:bottom w:val="single" w:sz="4" w:space="0" w:color="auto"/>
              <w:right w:val="single" w:sz="4" w:space="0" w:color="auto"/>
            </w:tcBorders>
            <w:shd w:val="clear" w:color="auto" w:fill="auto"/>
            <w:vAlign w:val="center"/>
            <w:hideMark/>
          </w:tcPr>
          <w:p w:rsidR="00A020ED" w:rsidRPr="00CE41A3" w:rsidRDefault="00A020ED" w:rsidP="00A020ED">
            <w:pPr>
              <w:suppressAutoHyphens w:val="0"/>
              <w:jc w:val="center"/>
              <w:rPr>
                <w:rFonts w:ascii="Calibri" w:hAnsi="Calibri" w:cs="Calibri"/>
                <w:sz w:val="16"/>
                <w:szCs w:val="16"/>
                <w:lang w:val="it-IT" w:eastAsia="it-IT"/>
              </w:rPr>
            </w:pPr>
            <w:r w:rsidRPr="00CE41A3">
              <w:rPr>
                <w:rFonts w:ascii="Calibri" w:hAnsi="Calibri" w:cs="Calibri"/>
                <w:sz w:val="16"/>
                <w:szCs w:val="16"/>
                <w:lang w:val="it-IT" w:eastAsia="it-IT"/>
              </w:rPr>
              <w:t>NCT01088048</w:t>
            </w:r>
          </w:p>
        </w:tc>
        <w:tc>
          <w:tcPr>
            <w:tcW w:w="480" w:type="dxa"/>
            <w:tcBorders>
              <w:top w:val="nil"/>
              <w:left w:val="nil"/>
              <w:bottom w:val="single" w:sz="4" w:space="0" w:color="auto"/>
              <w:right w:val="single" w:sz="4" w:space="0" w:color="auto"/>
            </w:tcBorders>
            <w:shd w:val="clear" w:color="auto" w:fill="auto"/>
            <w:noWrap/>
            <w:vAlign w:val="center"/>
          </w:tcPr>
          <w:p w:rsidR="00A020ED" w:rsidRPr="00CB0B1B" w:rsidRDefault="00F85CBF"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169</w:t>
            </w:r>
          </w:p>
        </w:tc>
      </w:tr>
      <w:tr w:rsidR="00A020ED" w:rsidRPr="00A020ED" w:rsidTr="00A020ED">
        <w:trPr>
          <w:trHeight w:val="112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Triple combination of idelalisib with rituximab and bendamustine</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Relapsed or refractory chronic lymphocytic leukemia</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ORR: 86.7%, CR: 13.3%, and PR: 73.3%. PFS: 23 months, and DOR: 21.2 months</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2010</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2021</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2021</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Gilead Sciences</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single" w:sz="4" w:space="0" w:color="auto"/>
            </w:tcBorders>
            <w:shd w:val="clear" w:color="auto" w:fill="auto"/>
            <w:vAlign w:val="center"/>
            <w:hideMark/>
          </w:tcPr>
          <w:p w:rsidR="00A020ED" w:rsidRPr="00CE41A3" w:rsidRDefault="00A020ED" w:rsidP="00A020ED">
            <w:pPr>
              <w:suppressAutoHyphens w:val="0"/>
              <w:jc w:val="center"/>
              <w:rPr>
                <w:rFonts w:ascii="Calibri" w:hAnsi="Calibri" w:cs="Calibri"/>
                <w:sz w:val="16"/>
                <w:szCs w:val="16"/>
                <w:lang w:val="it-IT" w:eastAsia="it-IT"/>
              </w:rPr>
            </w:pPr>
            <w:r w:rsidRPr="00CE41A3">
              <w:rPr>
                <w:rFonts w:ascii="Calibri" w:hAnsi="Calibri" w:cs="Calibri"/>
                <w:sz w:val="16"/>
                <w:szCs w:val="16"/>
                <w:lang w:val="it-IT" w:eastAsia="it-IT"/>
              </w:rPr>
              <w:t>NCT01088048</w:t>
            </w:r>
          </w:p>
        </w:tc>
        <w:tc>
          <w:tcPr>
            <w:tcW w:w="480" w:type="dxa"/>
            <w:tcBorders>
              <w:top w:val="nil"/>
              <w:left w:val="nil"/>
              <w:bottom w:val="single" w:sz="4" w:space="0" w:color="auto"/>
              <w:right w:val="single" w:sz="4" w:space="0" w:color="auto"/>
            </w:tcBorders>
            <w:shd w:val="clear" w:color="auto" w:fill="auto"/>
            <w:noWrap/>
            <w:vAlign w:val="center"/>
            <w:hideMark/>
          </w:tcPr>
          <w:p w:rsidR="00A020ED" w:rsidRPr="00A020ED" w:rsidRDefault="00F85CBF"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169</w:t>
            </w:r>
          </w:p>
        </w:tc>
      </w:tr>
      <w:tr w:rsidR="000F0968" w:rsidRPr="000F0968" w:rsidTr="00F85CBF">
        <w:trPr>
          <w:trHeight w:val="1350"/>
        </w:trPr>
        <w:tc>
          <w:tcPr>
            <w:tcW w:w="540" w:type="dxa"/>
            <w:tcBorders>
              <w:top w:val="nil"/>
              <w:left w:val="single" w:sz="4" w:space="0" w:color="auto"/>
              <w:bottom w:val="single" w:sz="4" w:space="0" w:color="auto"/>
              <w:right w:val="nil"/>
            </w:tcBorders>
            <w:shd w:val="clear" w:color="auto" w:fill="auto"/>
            <w:vAlign w:val="center"/>
            <w:hideMark/>
          </w:tcPr>
          <w:p w:rsidR="00A020ED" w:rsidRPr="000F0968" w:rsidRDefault="00A020ED" w:rsidP="00A020ED">
            <w:pPr>
              <w:suppressAutoHyphens w:val="0"/>
              <w:jc w:val="center"/>
              <w:rPr>
                <w:rFonts w:ascii="Calibri" w:hAnsi="Calibri" w:cs="Calibri"/>
                <w:sz w:val="16"/>
                <w:szCs w:val="16"/>
                <w:lang w:val="it-IT" w:eastAsia="it-IT"/>
              </w:rPr>
            </w:pPr>
            <w:r w:rsidRPr="000F0968">
              <w:rPr>
                <w:rFonts w:ascii="Calibri" w:hAnsi="Calibri" w:cs="Calibri"/>
                <w:sz w:val="16"/>
                <w:szCs w:val="16"/>
                <w:lang w:val="it-IT" w:eastAsia="it-IT"/>
              </w:rPr>
              <w:t>1b</w:t>
            </w:r>
          </w:p>
        </w:tc>
        <w:tc>
          <w:tcPr>
            <w:tcW w:w="1420" w:type="dxa"/>
            <w:tcBorders>
              <w:top w:val="nil"/>
              <w:left w:val="single" w:sz="4" w:space="0" w:color="auto"/>
              <w:bottom w:val="single" w:sz="4" w:space="0" w:color="auto"/>
              <w:right w:val="single" w:sz="4" w:space="0" w:color="auto"/>
            </w:tcBorders>
            <w:shd w:val="clear" w:color="auto" w:fill="auto"/>
            <w:vAlign w:val="center"/>
            <w:hideMark/>
          </w:tcPr>
          <w:p w:rsidR="00A020ED" w:rsidRPr="000F0968" w:rsidRDefault="00A020ED" w:rsidP="00A020ED">
            <w:pPr>
              <w:suppressAutoHyphens w:val="0"/>
              <w:jc w:val="center"/>
              <w:rPr>
                <w:rFonts w:ascii="Calibri" w:hAnsi="Calibri" w:cs="Calibri"/>
                <w:sz w:val="16"/>
                <w:szCs w:val="16"/>
                <w:lang w:val="it-IT" w:eastAsia="it-IT"/>
              </w:rPr>
            </w:pPr>
            <w:r w:rsidRPr="000F0968">
              <w:rPr>
                <w:rFonts w:ascii="Calibri" w:hAnsi="Calibri" w:cs="Calibri"/>
                <w:sz w:val="16"/>
                <w:szCs w:val="16"/>
                <w:lang w:val="it-IT" w:eastAsia="it-IT"/>
              </w:rPr>
              <w:t>Idelalisib</w:t>
            </w:r>
          </w:p>
        </w:tc>
        <w:tc>
          <w:tcPr>
            <w:tcW w:w="1480" w:type="dxa"/>
            <w:tcBorders>
              <w:top w:val="nil"/>
              <w:left w:val="nil"/>
              <w:bottom w:val="single" w:sz="4" w:space="0" w:color="auto"/>
              <w:right w:val="single" w:sz="4" w:space="0" w:color="auto"/>
            </w:tcBorders>
            <w:shd w:val="clear" w:color="auto" w:fill="auto"/>
            <w:vAlign w:val="center"/>
            <w:hideMark/>
          </w:tcPr>
          <w:p w:rsidR="00A020ED" w:rsidRPr="000F0968" w:rsidRDefault="00A020ED" w:rsidP="00A020ED">
            <w:pPr>
              <w:suppressAutoHyphens w:val="0"/>
              <w:jc w:val="center"/>
              <w:rPr>
                <w:rFonts w:ascii="Calibri" w:hAnsi="Calibri" w:cs="Calibri"/>
                <w:sz w:val="16"/>
                <w:szCs w:val="16"/>
                <w:lang w:val="it-IT" w:eastAsia="it-IT"/>
              </w:rPr>
            </w:pPr>
            <w:r w:rsidRPr="000F0968">
              <w:rPr>
                <w:rFonts w:ascii="Calibri" w:hAnsi="Calibri" w:cs="Calibri"/>
                <w:sz w:val="16"/>
                <w:szCs w:val="16"/>
                <w:lang w:val="it-IT" w:eastAsia="it-IT"/>
              </w:rPr>
              <w:t xml:space="preserve">Relapsed or refractory follicular lymphoma and chronic lymphocytic leukemia </w:t>
            </w:r>
          </w:p>
        </w:tc>
        <w:tc>
          <w:tcPr>
            <w:tcW w:w="2800" w:type="dxa"/>
            <w:tcBorders>
              <w:top w:val="nil"/>
              <w:left w:val="nil"/>
              <w:bottom w:val="single" w:sz="4" w:space="0" w:color="auto"/>
              <w:right w:val="single" w:sz="4" w:space="0" w:color="auto"/>
            </w:tcBorders>
            <w:shd w:val="clear" w:color="auto" w:fill="auto"/>
            <w:vAlign w:val="center"/>
            <w:hideMark/>
          </w:tcPr>
          <w:p w:rsidR="00A020ED" w:rsidRPr="000F0968" w:rsidRDefault="00C261A9" w:rsidP="00A020ED">
            <w:pPr>
              <w:suppressAutoHyphens w:val="0"/>
              <w:jc w:val="center"/>
              <w:rPr>
                <w:rFonts w:ascii="Calibri" w:hAnsi="Calibri" w:cs="Calibri"/>
                <w:sz w:val="16"/>
                <w:szCs w:val="16"/>
                <w:lang w:val="it-IT" w:eastAsia="it-IT"/>
              </w:rPr>
            </w:pPr>
            <w:r w:rsidRPr="000F0968">
              <w:rPr>
                <w:rFonts w:ascii="Calibri" w:hAnsi="Calibri" w:cs="Calibri"/>
                <w:sz w:val="16"/>
                <w:szCs w:val="16"/>
                <w:lang w:val="it-IT" w:eastAsia="it-IT"/>
              </w:rPr>
              <w:t xml:space="preserve">PR: 83.3%. The </w:t>
            </w:r>
            <w:r w:rsidR="00A020ED" w:rsidRPr="000F0968">
              <w:rPr>
                <w:rFonts w:ascii="Calibri" w:hAnsi="Calibri" w:cs="Calibri"/>
                <w:sz w:val="16"/>
                <w:szCs w:val="16"/>
                <w:lang w:val="it-IT" w:eastAsia="it-IT"/>
              </w:rPr>
              <w:t>median duration of PR was 14.5 months</w:t>
            </w:r>
          </w:p>
        </w:tc>
        <w:tc>
          <w:tcPr>
            <w:tcW w:w="500" w:type="dxa"/>
            <w:tcBorders>
              <w:top w:val="nil"/>
              <w:left w:val="nil"/>
              <w:bottom w:val="single" w:sz="4" w:space="0" w:color="auto"/>
              <w:right w:val="single" w:sz="4" w:space="0" w:color="auto"/>
            </w:tcBorders>
            <w:shd w:val="clear" w:color="auto" w:fill="auto"/>
            <w:vAlign w:val="center"/>
            <w:hideMark/>
          </w:tcPr>
          <w:p w:rsidR="00A020ED" w:rsidRPr="000F0968" w:rsidRDefault="00A020ED" w:rsidP="00A020ED">
            <w:pPr>
              <w:suppressAutoHyphens w:val="0"/>
              <w:jc w:val="center"/>
              <w:rPr>
                <w:rFonts w:ascii="Calibri" w:hAnsi="Calibri" w:cs="Calibri"/>
                <w:sz w:val="16"/>
                <w:szCs w:val="16"/>
                <w:lang w:val="it-IT" w:eastAsia="it-IT"/>
              </w:rPr>
            </w:pPr>
            <w:r w:rsidRPr="000F0968">
              <w:rPr>
                <w:rFonts w:ascii="Calibri" w:hAnsi="Calibri" w:cs="Calibri"/>
                <w:sz w:val="16"/>
                <w:szCs w:val="16"/>
                <w:lang w:val="it-IT" w:eastAsia="it-IT"/>
              </w:rPr>
              <w:t>F</w:t>
            </w:r>
          </w:p>
        </w:tc>
        <w:tc>
          <w:tcPr>
            <w:tcW w:w="560" w:type="dxa"/>
            <w:tcBorders>
              <w:top w:val="nil"/>
              <w:left w:val="nil"/>
              <w:bottom w:val="single" w:sz="4" w:space="0" w:color="auto"/>
              <w:right w:val="single" w:sz="4" w:space="0" w:color="auto"/>
            </w:tcBorders>
            <w:shd w:val="clear" w:color="auto" w:fill="auto"/>
            <w:vAlign w:val="center"/>
            <w:hideMark/>
          </w:tcPr>
          <w:p w:rsidR="00A020ED" w:rsidRPr="000F0968" w:rsidRDefault="00A020ED" w:rsidP="00A020ED">
            <w:pPr>
              <w:suppressAutoHyphens w:val="0"/>
              <w:jc w:val="center"/>
              <w:rPr>
                <w:rFonts w:ascii="Calibri" w:hAnsi="Calibri" w:cs="Calibri"/>
                <w:sz w:val="16"/>
                <w:szCs w:val="16"/>
                <w:lang w:val="it-IT" w:eastAsia="it-IT"/>
              </w:rPr>
            </w:pPr>
            <w:r w:rsidRPr="000F0968">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0F0968" w:rsidRDefault="00A020ED" w:rsidP="00A020ED">
            <w:pPr>
              <w:suppressAutoHyphens w:val="0"/>
              <w:jc w:val="center"/>
              <w:rPr>
                <w:rFonts w:ascii="Calibri" w:hAnsi="Calibri" w:cs="Calibri"/>
                <w:sz w:val="16"/>
                <w:szCs w:val="16"/>
                <w:lang w:val="it-IT" w:eastAsia="it-IT"/>
              </w:rPr>
            </w:pPr>
            <w:r w:rsidRPr="000F0968">
              <w:rPr>
                <w:rFonts w:ascii="Calibri" w:hAnsi="Calibri" w:cs="Calibri"/>
                <w:sz w:val="16"/>
                <w:szCs w:val="16"/>
                <w:lang w:val="it-IT" w:eastAsia="it-IT"/>
              </w:rPr>
              <w:t>2014</w:t>
            </w:r>
          </w:p>
        </w:tc>
        <w:tc>
          <w:tcPr>
            <w:tcW w:w="500" w:type="dxa"/>
            <w:tcBorders>
              <w:top w:val="nil"/>
              <w:left w:val="nil"/>
              <w:bottom w:val="single" w:sz="4" w:space="0" w:color="auto"/>
              <w:right w:val="single" w:sz="4" w:space="0" w:color="auto"/>
            </w:tcBorders>
            <w:shd w:val="clear" w:color="auto" w:fill="auto"/>
            <w:vAlign w:val="center"/>
            <w:hideMark/>
          </w:tcPr>
          <w:p w:rsidR="00A020ED" w:rsidRPr="000F0968" w:rsidRDefault="00A020ED" w:rsidP="00A020ED">
            <w:pPr>
              <w:suppressAutoHyphens w:val="0"/>
              <w:jc w:val="center"/>
              <w:rPr>
                <w:rFonts w:ascii="Calibri" w:hAnsi="Calibri" w:cs="Calibri"/>
                <w:sz w:val="16"/>
                <w:szCs w:val="16"/>
                <w:lang w:val="it-IT" w:eastAsia="it-IT"/>
              </w:rPr>
            </w:pPr>
            <w:r w:rsidRPr="000F0968">
              <w:rPr>
                <w:rFonts w:ascii="Calibri" w:hAnsi="Calibri" w:cs="Calibri"/>
                <w:sz w:val="16"/>
                <w:szCs w:val="16"/>
                <w:lang w:val="it-IT" w:eastAsia="it-IT"/>
              </w:rPr>
              <w:t>2021</w:t>
            </w:r>
          </w:p>
        </w:tc>
        <w:tc>
          <w:tcPr>
            <w:tcW w:w="500" w:type="dxa"/>
            <w:tcBorders>
              <w:top w:val="nil"/>
              <w:left w:val="nil"/>
              <w:bottom w:val="single" w:sz="4" w:space="0" w:color="auto"/>
              <w:right w:val="single" w:sz="4" w:space="0" w:color="auto"/>
            </w:tcBorders>
            <w:shd w:val="clear" w:color="auto" w:fill="auto"/>
            <w:vAlign w:val="center"/>
            <w:hideMark/>
          </w:tcPr>
          <w:p w:rsidR="00A020ED" w:rsidRPr="000F0968" w:rsidRDefault="00A020ED" w:rsidP="00A020ED">
            <w:pPr>
              <w:suppressAutoHyphens w:val="0"/>
              <w:jc w:val="center"/>
              <w:rPr>
                <w:rFonts w:ascii="Calibri" w:hAnsi="Calibri" w:cs="Calibri"/>
                <w:sz w:val="16"/>
                <w:szCs w:val="16"/>
                <w:lang w:val="it-IT" w:eastAsia="it-IT"/>
              </w:rPr>
            </w:pPr>
            <w:r w:rsidRPr="000F0968">
              <w:rPr>
                <w:rFonts w:ascii="Calibri" w:hAnsi="Calibri" w:cs="Calibri"/>
                <w:sz w:val="16"/>
                <w:szCs w:val="16"/>
                <w:lang w:val="it-IT" w:eastAsia="it-IT"/>
              </w:rPr>
              <w:t>2021</w:t>
            </w:r>
          </w:p>
        </w:tc>
        <w:tc>
          <w:tcPr>
            <w:tcW w:w="1280" w:type="dxa"/>
            <w:tcBorders>
              <w:top w:val="nil"/>
              <w:left w:val="nil"/>
              <w:bottom w:val="single" w:sz="4" w:space="0" w:color="auto"/>
              <w:right w:val="single" w:sz="4" w:space="0" w:color="auto"/>
            </w:tcBorders>
            <w:shd w:val="clear" w:color="auto" w:fill="auto"/>
            <w:vAlign w:val="center"/>
            <w:hideMark/>
          </w:tcPr>
          <w:p w:rsidR="00A020ED" w:rsidRPr="000F0968" w:rsidRDefault="00A020ED" w:rsidP="00A020ED">
            <w:pPr>
              <w:suppressAutoHyphens w:val="0"/>
              <w:jc w:val="center"/>
              <w:rPr>
                <w:rFonts w:ascii="Calibri" w:hAnsi="Calibri" w:cs="Calibri"/>
                <w:sz w:val="16"/>
                <w:szCs w:val="16"/>
                <w:lang w:val="it-IT" w:eastAsia="it-IT"/>
              </w:rPr>
            </w:pPr>
            <w:r w:rsidRPr="000F0968">
              <w:rPr>
                <w:rFonts w:ascii="Calibri" w:hAnsi="Calibri" w:cs="Calibri"/>
                <w:sz w:val="16"/>
                <w:szCs w:val="16"/>
                <w:lang w:val="it-IT" w:eastAsia="it-IT"/>
              </w:rPr>
              <w:t>Gilead Sciences</w:t>
            </w:r>
          </w:p>
        </w:tc>
        <w:tc>
          <w:tcPr>
            <w:tcW w:w="1280" w:type="dxa"/>
            <w:tcBorders>
              <w:top w:val="nil"/>
              <w:left w:val="nil"/>
              <w:bottom w:val="single" w:sz="4" w:space="0" w:color="auto"/>
              <w:right w:val="single" w:sz="4" w:space="0" w:color="auto"/>
            </w:tcBorders>
            <w:shd w:val="clear" w:color="auto" w:fill="auto"/>
            <w:vAlign w:val="center"/>
            <w:hideMark/>
          </w:tcPr>
          <w:p w:rsidR="00A020ED" w:rsidRPr="000F0968" w:rsidRDefault="00A020ED" w:rsidP="00A020ED">
            <w:pPr>
              <w:suppressAutoHyphens w:val="0"/>
              <w:jc w:val="center"/>
              <w:rPr>
                <w:rFonts w:ascii="Calibri" w:hAnsi="Calibri" w:cs="Calibri"/>
                <w:sz w:val="16"/>
                <w:szCs w:val="16"/>
                <w:lang w:val="it-IT" w:eastAsia="it-IT"/>
              </w:rPr>
            </w:pPr>
            <w:r w:rsidRPr="000F0968">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0F0968" w:rsidRDefault="00A020ED" w:rsidP="00A020ED">
            <w:pPr>
              <w:suppressAutoHyphens w:val="0"/>
              <w:jc w:val="center"/>
              <w:rPr>
                <w:rFonts w:ascii="Calibri" w:hAnsi="Calibri" w:cs="Calibri"/>
                <w:sz w:val="16"/>
                <w:szCs w:val="16"/>
                <w:lang w:val="it-IT" w:eastAsia="it-IT"/>
              </w:rPr>
            </w:pPr>
            <w:r w:rsidRPr="000F0968">
              <w:rPr>
                <w:rFonts w:ascii="Calibri" w:hAnsi="Calibri" w:cs="Calibri"/>
                <w:sz w:val="16"/>
                <w:szCs w:val="16"/>
                <w:lang w:val="it-IT" w:eastAsia="it-IT"/>
              </w:rPr>
              <w:t>NCT02242045</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0F0968" w:rsidRDefault="00F85CBF"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170</w:t>
            </w:r>
          </w:p>
        </w:tc>
      </w:tr>
      <w:tr w:rsidR="00A020ED" w:rsidRPr="00A020ED" w:rsidTr="00F85CBF">
        <w:trPr>
          <w:trHeight w:val="1350"/>
        </w:trPr>
        <w:tc>
          <w:tcPr>
            <w:tcW w:w="540" w:type="dxa"/>
            <w:tcBorders>
              <w:top w:val="nil"/>
              <w:left w:val="single" w:sz="4" w:space="0" w:color="auto"/>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1b</w:t>
            </w:r>
          </w:p>
        </w:tc>
        <w:tc>
          <w:tcPr>
            <w:tcW w:w="142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CB0B1B">
              <w:rPr>
                <w:rFonts w:ascii="Calibri" w:hAnsi="Calibri" w:cs="Calibri"/>
                <w:sz w:val="16"/>
                <w:szCs w:val="16"/>
                <w:lang w:val="it-IT" w:eastAsia="it-IT"/>
              </w:rPr>
              <w:t xml:space="preserve">Combination of idelalisib with tirabrutinib </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Previously treated chronic lymphocytic leukemia</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ORR: 93% with idelalisib + tirabrutinib vs ORR: 83% with tirabrutinib singularly. This small study did not significantly establish a superior efficacy of the combination over tirabrutinib alone</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 NR</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2015</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2022</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Gilead Sciences</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NCT02457598</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A020ED" w:rsidRDefault="00F85CBF"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171</w:t>
            </w:r>
          </w:p>
        </w:tc>
      </w:tr>
      <w:tr w:rsidR="00A020ED" w:rsidRPr="009F3954" w:rsidTr="00F85CBF">
        <w:trPr>
          <w:trHeight w:val="675"/>
        </w:trPr>
        <w:tc>
          <w:tcPr>
            <w:tcW w:w="540" w:type="dxa"/>
            <w:tcBorders>
              <w:top w:val="single" w:sz="4" w:space="0" w:color="auto"/>
              <w:left w:val="single" w:sz="4" w:space="0" w:color="auto"/>
              <w:bottom w:val="single" w:sz="4" w:space="0" w:color="auto"/>
              <w:right w:val="nil"/>
            </w:tcBorders>
            <w:shd w:val="clear" w:color="auto" w:fill="auto"/>
            <w:vAlign w:val="center"/>
            <w:hideMark/>
          </w:tcPr>
          <w:p w:rsidR="00A020ED" w:rsidRPr="009F3954" w:rsidRDefault="00A020ED" w:rsidP="00A020ED">
            <w:pPr>
              <w:suppressAutoHyphens w:val="0"/>
              <w:jc w:val="center"/>
              <w:rPr>
                <w:rFonts w:ascii="Calibri" w:hAnsi="Calibri" w:cs="Calibri"/>
                <w:sz w:val="16"/>
                <w:szCs w:val="16"/>
                <w:lang w:val="it-IT" w:eastAsia="it-IT"/>
              </w:rPr>
            </w:pPr>
            <w:r w:rsidRPr="009F3954">
              <w:rPr>
                <w:rFonts w:ascii="Calibri" w:hAnsi="Calibri" w:cs="Calibri"/>
                <w:sz w:val="16"/>
                <w:szCs w:val="16"/>
                <w:lang w:val="it-IT" w:eastAsia="it-IT"/>
              </w:rPr>
              <w:lastRenderedPageBreak/>
              <w:t>2</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0ED" w:rsidRPr="009F3954" w:rsidRDefault="00A020ED" w:rsidP="00A020ED">
            <w:pPr>
              <w:suppressAutoHyphens w:val="0"/>
              <w:jc w:val="center"/>
              <w:rPr>
                <w:rFonts w:ascii="Calibri" w:hAnsi="Calibri" w:cs="Calibri"/>
                <w:sz w:val="16"/>
                <w:szCs w:val="16"/>
                <w:lang w:val="it-IT" w:eastAsia="it-IT"/>
              </w:rPr>
            </w:pPr>
            <w:r w:rsidRPr="009F3954">
              <w:rPr>
                <w:rFonts w:ascii="Calibri" w:hAnsi="Calibri" w:cs="Calibri"/>
                <w:sz w:val="16"/>
                <w:szCs w:val="16"/>
                <w:lang w:val="it-IT" w:eastAsia="it-IT"/>
              </w:rPr>
              <w:t>Idelalisib</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020ED" w:rsidRPr="009F3954" w:rsidRDefault="00A020ED" w:rsidP="00A020ED">
            <w:pPr>
              <w:suppressAutoHyphens w:val="0"/>
              <w:jc w:val="center"/>
              <w:rPr>
                <w:rFonts w:ascii="Calibri" w:hAnsi="Calibri" w:cs="Calibri"/>
                <w:sz w:val="16"/>
                <w:szCs w:val="16"/>
                <w:lang w:val="it-IT" w:eastAsia="it-IT"/>
              </w:rPr>
            </w:pPr>
            <w:r w:rsidRPr="009F3954">
              <w:rPr>
                <w:rFonts w:ascii="Calibri" w:hAnsi="Calibri" w:cs="Calibri"/>
                <w:sz w:val="16"/>
                <w:szCs w:val="16"/>
                <w:lang w:val="it-IT" w:eastAsia="it-IT"/>
              </w:rPr>
              <w:t xml:space="preserve">Relapsed or refractory classical Hodgkin lymphoma </w:t>
            </w:r>
          </w:p>
        </w:tc>
        <w:tc>
          <w:tcPr>
            <w:tcW w:w="2800" w:type="dxa"/>
            <w:tcBorders>
              <w:top w:val="single" w:sz="4" w:space="0" w:color="auto"/>
              <w:left w:val="nil"/>
              <w:bottom w:val="single" w:sz="4" w:space="0" w:color="auto"/>
              <w:right w:val="single" w:sz="4" w:space="0" w:color="auto"/>
            </w:tcBorders>
            <w:shd w:val="clear" w:color="auto" w:fill="auto"/>
            <w:vAlign w:val="center"/>
            <w:hideMark/>
          </w:tcPr>
          <w:p w:rsidR="00A020ED" w:rsidRPr="009F3954" w:rsidRDefault="00A020ED" w:rsidP="00A020ED">
            <w:pPr>
              <w:suppressAutoHyphens w:val="0"/>
              <w:jc w:val="center"/>
              <w:rPr>
                <w:rFonts w:ascii="Calibri" w:hAnsi="Calibri" w:cs="Calibri"/>
                <w:sz w:val="16"/>
                <w:szCs w:val="16"/>
                <w:lang w:val="it-IT" w:eastAsia="it-IT"/>
              </w:rPr>
            </w:pPr>
            <w:r w:rsidRPr="009F3954">
              <w:rPr>
                <w:rFonts w:ascii="Calibri" w:hAnsi="Calibri" w:cs="Calibri"/>
                <w:sz w:val="16"/>
                <w:szCs w:val="16"/>
                <w:lang w:val="it-IT" w:eastAsia="it-IT"/>
              </w:rPr>
              <w:t>ORR: 20%; time to response: 2 months; PFS: 2.3 months; DOR: 8.4 months</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9F3954" w:rsidRDefault="00A020ED" w:rsidP="00A020ED">
            <w:pPr>
              <w:suppressAutoHyphens w:val="0"/>
              <w:jc w:val="center"/>
              <w:rPr>
                <w:rFonts w:ascii="Calibri" w:hAnsi="Calibri" w:cs="Calibri"/>
                <w:sz w:val="16"/>
                <w:szCs w:val="16"/>
                <w:lang w:val="it-IT" w:eastAsia="it-IT"/>
              </w:rPr>
            </w:pPr>
            <w:r w:rsidRPr="009F3954">
              <w:rPr>
                <w:rFonts w:ascii="Calibri" w:hAnsi="Calibri" w:cs="Calibri"/>
                <w:sz w:val="16"/>
                <w:szCs w:val="16"/>
                <w:lang w:val="it-IT" w:eastAsia="it-IT"/>
              </w:rPr>
              <w:t>F</w:t>
            </w:r>
          </w:p>
        </w:tc>
        <w:tc>
          <w:tcPr>
            <w:tcW w:w="560" w:type="dxa"/>
            <w:tcBorders>
              <w:top w:val="single" w:sz="4" w:space="0" w:color="auto"/>
              <w:left w:val="nil"/>
              <w:bottom w:val="single" w:sz="4" w:space="0" w:color="auto"/>
              <w:right w:val="single" w:sz="4" w:space="0" w:color="auto"/>
            </w:tcBorders>
            <w:shd w:val="clear" w:color="auto" w:fill="auto"/>
            <w:vAlign w:val="center"/>
            <w:hideMark/>
          </w:tcPr>
          <w:p w:rsidR="00A020ED" w:rsidRPr="009F3954" w:rsidRDefault="00A020ED" w:rsidP="00A020ED">
            <w:pPr>
              <w:suppressAutoHyphens w:val="0"/>
              <w:jc w:val="center"/>
              <w:rPr>
                <w:rFonts w:ascii="Calibri" w:hAnsi="Calibri" w:cs="Calibri"/>
                <w:sz w:val="16"/>
                <w:szCs w:val="16"/>
                <w:lang w:val="it-IT" w:eastAsia="it-IT"/>
              </w:rPr>
            </w:pPr>
            <w:r w:rsidRPr="009F3954">
              <w:rPr>
                <w:rFonts w:ascii="Calibri" w:hAnsi="Calibri" w:cs="Calibri"/>
                <w:sz w:val="16"/>
                <w:szCs w:val="16"/>
                <w:lang w:val="it-IT" w:eastAsia="it-IT"/>
              </w:rPr>
              <w:t>C</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9F3954" w:rsidRDefault="00A020ED" w:rsidP="00A020ED">
            <w:pPr>
              <w:suppressAutoHyphens w:val="0"/>
              <w:jc w:val="center"/>
              <w:rPr>
                <w:rFonts w:ascii="Calibri" w:hAnsi="Calibri" w:cs="Calibri"/>
                <w:sz w:val="16"/>
                <w:szCs w:val="16"/>
                <w:lang w:val="it-IT" w:eastAsia="it-IT"/>
              </w:rPr>
            </w:pPr>
            <w:r w:rsidRPr="009F3954">
              <w:rPr>
                <w:rFonts w:ascii="Calibri" w:hAnsi="Calibri" w:cs="Calibri"/>
                <w:sz w:val="16"/>
                <w:szCs w:val="16"/>
                <w:lang w:val="it-IT" w:eastAsia="it-IT"/>
              </w:rPr>
              <w:t>2011</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9F3954" w:rsidRDefault="00A020ED" w:rsidP="00A020ED">
            <w:pPr>
              <w:suppressAutoHyphens w:val="0"/>
              <w:jc w:val="center"/>
              <w:rPr>
                <w:rFonts w:ascii="Calibri" w:hAnsi="Calibri" w:cs="Calibri"/>
                <w:sz w:val="16"/>
                <w:szCs w:val="16"/>
                <w:lang w:val="it-IT" w:eastAsia="it-IT"/>
              </w:rPr>
            </w:pPr>
            <w:r w:rsidRPr="009F3954">
              <w:rPr>
                <w:rFonts w:ascii="Calibri" w:hAnsi="Calibri" w:cs="Calibri"/>
                <w:sz w:val="16"/>
                <w:szCs w:val="16"/>
                <w:lang w:val="it-IT" w:eastAsia="it-IT"/>
              </w:rPr>
              <w:t>2015</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9F3954" w:rsidRDefault="00A020ED" w:rsidP="00A020ED">
            <w:pPr>
              <w:suppressAutoHyphens w:val="0"/>
              <w:jc w:val="center"/>
              <w:rPr>
                <w:rFonts w:ascii="Calibri" w:hAnsi="Calibri" w:cs="Calibri"/>
                <w:sz w:val="16"/>
                <w:szCs w:val="16"/>
                <w:lang w:val="it-IT" w:eastAsia="it-IT"/>
              </w:rPr>
            </w:pPr>
            <w:r w:rsidRPr="009F3954">
              <w:rPr>
                <w:rFonts w:ascii="Calibri" w:hAnsi="Calibri" w:cs="Calibri"/>
                <w:sz w:val="16"/>
                <w:szCs w:val="16"/>
                <w:lang w:val="it-IT" w:eastAsia="it-IT"/>
              </w:rPr>
              <w:t>2018</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9F3954" w:rsidRDefault="00A020ED" w:rsidP="00A020ED">
            <w:pPr>
              <w:suppressAutoHyphens w:val="0"/>
              <w:jc w:val="center"/>
              <w:rPr>
                <w:rFonts w:ascii="Calibri" w:hAnsi="Calibri" w:cs="Calibri"/>
                <w:sz w:val="16"/>
                <w:szCs w:val="16"/>
                <w:lang w:val="it-IT" w:eastAsia="it-IT"/>
              </w:rPr>
            </w:pPr>
            <w:r w:rsidRPr="009F3954">
              <w:rPr>
                <w:rFonts w:ascii="Calibri" w:hAnsi="Calibri" w:cs="Calibri"/>
                <w:sz w:val="16"/>
                <w:szCs w:val="16"/>
                <w:lang w:val="it-IT" w:eastAsia="it-IT"/>
              </w:rPr>
              <w:t>Gilead Sciences</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9F3954" w:rsidRDefault="00A020ED" w:rsidP="00A020ED">
            <w:pPr>
              <w:suppressAutoHyphens w:val="0"/>
              <w:jc w:val="center"/>
              <w:rPr>
                <w:rFonts w:ascii="Calibri" w:hAnsi="Calibri" w:cs="Calibri"/>
                <w:sz w:val="16"/>
                <w:szCs w:val="16"/>
                <w:lang w:val="it-IT" w:eastAsia="it-IT"/>
              </w:rPr>
            </w:pPr>
            <w:r w:rsidRPr="009F3954">
              <w:rPr>
                <w:rFonts w:ascii="Calibri" w:hAnsi="Calibri" w:cs="Calibri"/>
                <w:sz w:val="16"/>
                <w:szCs w:val="16"/>
                <w:lang w:val="it-IT" w:eastAsia="it-IT"/>
              </w:rPr>
              <w:t>*</w:t>
            </w:r>
          </w:p>
        </w:tc>
        <w:tc>
          <w:tcPr>
            <w:tcW w:w="1220" w:type="dxa"/>
            <w:tcBorders>
              <w:top w:val="single" w:sz="4" w:space="0" w:color="auto"/>
              <w:left w:val="nil"/>
              <w:bottom w:val="single" w:sz="4" w:space="0" w:color="auto"/>
              <w:right w:val="nil"/>
            </w:tcBorders>
            <w:shd w:val="clear" w:color="auto" w:fill="auto"/>
            <w:vAlign w:val="center"/>
            <w:hideMark/>
          </w:tcPr>
          <w:p w:rsidR="00A020ED" w:rsidRPr="009F3954" w:rsidRDefault="00A020ED" w:rsidP="00A020ED">
            <w:pPr>
              <w:suppressAutoHyphens w:val="0"/>
              <w:jc w:val="center"/>
              <w:rPr>
                <w:rFonts w:ascii="Calibri" w:hAnsi="Calibri" w:cs="Calibri"/>
                <w:sz w:val="16"/>
                <w:szCs w:val="16"/>
                <w:lang w:val="it-IT" w:eastAsia="it-IT"/>
              </w:rPr>
            </w:pPr>
            <w:r w:rsidRPr="009F3954">
              <w:rPr>
                <w:rFonts w:ascii="Calibri" w:hAnsi="Calibri" w:cs="Calibri"/>
                <w:sz w:val="16"/>
                <w:szCs w:val="16"/>
                <w:lang w:val="it-IT" w:eastAsia="it-IT"/>
              </w:rPr>
              <w:t>NCT01393106</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20ED" w:rsidRPr="009F3954" w:rsidRDefault="00F85CBF"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172</w:t>
            </w:r>
          </w:p>
        </w:tc>
      </w:tr>
      <w:tr w:rsidR="00A020ED" w:rsidRPr="009F3954" w:rsidTr="00F85CBF">
        <w:trPr>
          <w:trHeight w:val="675"/>
        </w:trPr>
        <w:tc>
          <w:tcPr>
            <w:tcW w:w="540" w:type="dxa"/>
            <w:tcBorders>
              <w:top w:val="nil"/>
              <w:left w:val="single" w:sz="4" w:space="0" w:color="auto"/>
              <w:bottom w:val="single" w:sz="4" w:space="0" w:color="auto"/>
              <w:right w:val="nil"/>
            </w:tcBorders>
            <w:shd w:val="clear" w:color="auto" w:fill="auto"/>
            <w:vAlign w:val="center"/>
            <w:hideMark/>
          </w:tcPr>
          <w:p w:rsidR="00A020ED" w:rsidRPr="009F3954" w:rsidRDefault="00A020ED" w:rsidP="00A020ED">
            <w:pPr>
              <w:suppressAutoHyphens w:val="0"/>
              <w:jc w:val="center"/>
              <w:rPr>
                <w:rFonts w:ascii="Calibri" w:hAnsi="Calibri" w:cs="Calibri"/>
                <w:sz w:val="16"/>
                <w:szCs w:val="16"/>
                <w:lang w:val="it-IT" w:eastAsia="it-IT"/>
              </w:rPr>
            </w:pPr>
            <w:r w:rsidRPr="009F3954">
              <w:rPr>
                <w:rFonts w:ascii="Calibri" w:hAnsi="Calibri" w:cs="Calibri"/>
                <w:sz w:val="16"/>
                <w:szCs w:val="16"/>
                <w:lang w:val="it-IT" w:eastAsia="it-IT"/>
              </w:rPr>
              <w:t>2</w:t>
            </w:r>
          </w:p>
        </w:tc>
        <w:tc>
          <w:tcPr>
            <w:tcW w:w="1420" w:type="dxa"/>
            <w:tcBorders>
              <w:top w:val="nil"/>
              <w:left w:val="single" w:sz="4" w:space="0" w:color="auto"/>
              <w:bottom w:val="single" w:sz="4" w:space="0" w:color="auto"/>
              <w:right w:val="single" w:sz="4" w:space="0" w:color="auto"/>
            </w:tcBorders>
            <w:shd w:val="clear" w:color="auto" w:fill="auto"/>
            <w:vAlign w:val="center"/>
            <w:hideMark/>
          </w:tcPr>
          <w:p w:rsidR="00A020ED" w:rsidRPr="009F3954" w:rsidRDefault="00A020ED" w:rsidP="00A020ED">
            <w:pPr>
              <w:suppressAutoHyphens w:val="0"/>
              <w:jc w:val="center"/>
              <w:rPr>
                <w:rFonts w:ascii="Calibri" w:hAnsi="Calibri" w:cs="Calibri"/>
                <w:sz w:val="16"/>
                <w:szCs w:val="16"/>
                <w:lang w:val="it-IT" w:eastAsia="it-IT"/>
              </w:rPr>
            </w:pPr>
            <w:r w:rsidRPr="009F3954">
              <w:rPr>
                <w:rFonts w:ascii="Calibri" w:hAnsi="Calibri" w:cs="Calibri"/>
                <w:sz w:val="16"/>
                <w:szCs w:val="16"/>
                <w:lang w:val="it-IT" w:eastAsia="it-IT"/>
              </w:rPr>
              <w:t>Idelalisib</w:t>
            </w:r>
          </w:p>
        </w:tc>
        <w:tc>
          <w:tcPr>
            <w:tcW w:w="1480" w:type="dxa"/>
            <w:tcBorders>
              <w:top w:val="nil"/>
              <w:left w:val="nil"/>
              <w:bottom w:val="single" w:sz="4" w:space="0" w:color="auto"/>
              <w:right w:val="single" w:sz="4" w:space="0" w:color="auto"/>
            </w:tcBorders>
            <w:shd w:val="clear" w:color="auto" w:fill="auto"/>
            <w:vAlign w:val="center"/>
            <w:hideMark/>
          </w:tcPr>
          <w:p w:rsidR="00A020ED" w:rsidRPr="009F3954" w:rsidRDefault="00A020ED" w:rsidP="00A020ED">
            <w:pPr>
              <w:suppressAutoHyphens w:val="0"/>
              <w:jc w:val="center"/>
              <w:rPr>
                <w:rFonts w:ascii="Calibri" w:hAnsi="Calibri" w:cs="Calibri"/>
                <w:sz w:val="16"/>
                <w:szCs w:val="16"/>
                <w:lang w:val="it-IT" w:eastAsia="it-IT"/>
              </w:rPr>
            </w:pPr>
            <w:r w:rsidRPr="009F3954">
              <w:rPr>
                <w:rFonts w:ascii="Calibri" w:hAnsi="Calibri" w:cs="Calibri"/>
                <w:sz w:val="16"/>
                <w:szCs w:val="16"/>
                <w:lang w:val="it-IT" w:eastAsia="it-IT"/>
              </w:rPr>
              <w:t>Relapsed indolent non-Hodgkin lymphoma</w:t>
            </w:r>
          </w:p>
        </w:tc>
        <w:tc>
          <w:tcPr>
            <w:tcW w:w="2800" w:type="dxa"/>
            <w:tcBorders>
              <w:top w:val="nil"/>
              <w:left w:val="nil"/>
              <w:bottom w:val="single" w:sz="4" w:space="0" w:color="auto"/>
              <w:right w:val="single" w:sz="4" w:space="0" w:color="auto"/>
            </w:tcBorders>
            <w:shd w:val="clear" w:color="auto" w:fill="auto"/>
            <w:vAlign w:val="center"/>
            <w:hideMark/>
          </w:tcPr>
          <w:p w:rsidR="00A020ED" w:rsidRPr="009F3954" w:rsidRDefault="00A020ED" w:rsidP="00A020ED">
            <w:pPr>
              <w:suppressAutoHyphens w:val="0"/>
              <w:jc w:val="center"/>
              <w:rPr>
                <w:rFonts w:ascii="Calibri" w:hAnsi="Calibri" w:cs="Calibri"/>
                <w:sz w:val="16"/>
                <w:szCs w:val="16"/>
                <w:lang w:val="it-IT" w:eastAsia="it-IT"/>
              </w:rPr>
            </w:pPr>
            <w:r w:rsidRPr="009F3954">
              <w:rPr>
                <w:rFonts w:ascii="Calibri" w:hAnsi="Calibri" w:cs="Calibri"/>
                <w:sz w:val="16"/>
                <w:szCs w:val="16"/>
                <w:lang w:val="it-IT" w:eastAsia="it-IT"/>
              </w:rPr>
              <w:t>ORR: 57%; CR: 6%; PR: 50%; minor response: 1%</w:t>
            </w:r>
          </w:p>
        </w:tc>
        <w:tc>
          <w:tcPr>
            <w:tcW w:w="500" w:type="dxa"/>
            <w:tcBorders>
              <w:top w:val="nil"/>
              <w:left w:val="nil"/>
              <w:bottom w:val="single" w:sz="4" w:space="0" w:color="auto"/>
              <w:right w:val="single" w:sz="4" w:space="0" w:color="auto"/>
            </w:tcBorders>
            <w:shd w:val="clear" w:color="auto" w:fill="auto"/>
            <w:vAlign w:val="center"/>
            <w:hideMark/>
          </w:tcPr>
          <w:p w:rsidR="00A020ED" w:rsidRPr="009F3954" w:rsidRDefault="00A020ED" w:rsidP="00A020ED">
            <w:pPr>
              <w:suppressAutoHyphens w:val="0"/>
              <w:jc w:val="center"/>
              <w:rPr>
                <w:rFonts w:ascii="Calibri" w:hAnsi="Calibri" w:cs="Calibri"/>
                <w:sz w:val="16"/>
                <w:szCs w:val="16"/>
                <w:lang w:val="it-IT" w:eastAsia="it-IT"/>
              </w:rPr>
            </w:pPr>
            <w:r w:rsidRPr="009F3954">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9F3954" w:rsidRDefault="00A020ED" w:rsidP="00A020ED">
            <w:pPr>
              <w:suppressAutoHyphens w:val="0"/>
              <w:jc w:val="center"/>
              <w:rPr>
                <w:rFonts w:ascii="Calibri" w:hAnsi="Calibri" w:cs="Calibri"/>
                <w:sz w:val="16"/>
                <w:szCs w:val="16"/>
                <w:lang w:val="it-IT" w:eastAsia="it-IT"/>
              </w:rPr>
            </w:pPr>
            <w:r w:rsidRPr="009F3954">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9F3954" w:rsidRDefault="00A020ED" w:rsidP="00A020ED">
            <w:pPr>
              <w:suppressAutoHyphens w:val="0"/>
              <w:jc w:val="center"/>
              <w:rPr>
                <w:rFonts w:ascii="Calibri" w:hAnsi="Calibri" w:cs="Calibri"/>
                <w:sz w:val="16"/>
                <w:szCs w:val="16"/>
                <w:lang w:val="it-IT" w:eastAsia="it-IT"/>
              </w:rPr>
            </w:pPr>
            <w:r w:rsidRPr="009F3954">
              <w:rPr>
                <w:rFonts w:ascii="Calibri" w:hAnsi="Calibri" w:cs="Calibri"/>
                <w:sz w:val="16"/>
                <w:szCs w:val="16"/>
                <w:lang w:val="it-IT" w:eastAsia="it-IT"/>
              </w:rPr>
              <w:t>2011</w:t>
            </w:r>
          </w:p>
        </w:tc>
        <w:tc>
          <w:tcPr>
            <w:tcW w:w="500" w:type="dxa"/>
            <w:tcBorders>
              <w:top w:val="nil"/>
              <w:left w:val="nil"/>
              <w:bottom w:val="single" w:sz="4" w:space="0" w:color="auto"/>
              <w:right w:val="single" w:sz="4" w:space="0" w:color="auto"/>
            </w:tcBorders>
            <w:shd w:val="clear" w:color="auto" w:fill="auto"/>
            <w:vAlign w:val="center"/>
            <w:hideMark/>
          </w:tcPr>
          <w:p w:rsidR="00A020ED" w:rsidRPr="009F3954" w:rsidRDefault="00A020ED" w:rsidP="00A020ED">
            <w:pPr>
              <w:suppressAutoHyphens w:val="0"/>
              <w:jc w:val="center"/>
              <w:rPr>
                <w:rFonts w:ascii="Calibri" w:hAnsi="Calibri" w:cs="Calibri"/>
                <w:sz w:val="16"/>
                <w:szCs w:val="16"/>
                <w:lang w:val="it-IT" w:eastAsia="it-IT"/>
              </w:rPr>
            </w:pPr>
            <w:r w:rsidRPr="009F3954">
              <w:rPr>
                <w:rFonts w:ascii="Calibri" w:hAnsi="Calibri" w:cs="Calibri"/>
                <w:sz w:val="16"/>
                <w:szCs w:val="16"/>
                <w:lang w:val="it-IT" w:eastAsia="it-IT"/>
              </w:rPr>
              <w:t>2014</w:t>
            </w:r>
          </w:p>
        </w:tc>
        <w:tc>
          <w:tcPr>
            <w:tcW w:w="500" w:type="dxa"/>
            <w:tcBorders>
              <w:top w:val="nil"/>
              <w:left w:val="nil"/>
              <w:bottom w:val="single" w:sz="4" w:space="0" w:color="auto"/>
              <w:right w:val="single" w:sz="4" w:space="0" w:color="auto"/>
            </w:tcBorders>
            <w:shd w:val="clear" w:color="auto" w:fill="auto"/>
            <w:vAlign w:val="center"/>
            <w:hideMark/>
          </w:tcPr>
          <w:p w:rsidR="00A020ED" w:rsidRPr="009F3954" w:rsidRDefault="00A020ED" w:rsidP="00A020ED">
            <w:pPr>
              <w:suppressAutoHyphens w:val="0"/>
              <w:jc w:val="center"/>
              <w:rPr>
                <w:rFonts w:ascii="Calibri" w:hAnsi="Calibri" w:cs="Calibri"/>
                <w:sz w:val="16"/>
                <w:szCs w:val="16"/>
                <w:lang w:val="it-IT" w:eastAsia="it-IT"/>
              </w:rPr>
            </w:pPr>
            <w:r w:rsidRPr="009F3954">
              <w:rPr>
                <w:rFonts w:ascii="Calibri" w:hAnsi="Calibri" w:cs="Calibri"/>
                <w:sz w:val="16"/>
                <w:szCs w:val="16"/>
                <w:lang w:val="it-IT" w:eastAsia="it-IT"/>
              </w:rPr>
              <w:t>2019</w:t>
            </w:r>
          </w:p>
        </w:tc>
        <w:tc>
          <w:tcPr>
            <w:tcW w:w="1280" w:type="dxa"/>
            <w:tcBorders>
              <w:top w:val="nil"/>
              <w:left w:val="nil"/>
              <w:bottom w:val="single" w:sz="4" w:space="0" w:color="auto"/>
              <w:right w:val="single" w:sz="4" w:space="0" w:color="auto"/>
            </w:tcBorders>
            <w:shd w:val="clear" w:color="auto" w:fill="auto"/>
            <w:vAlign w:val="center"/>
            <w:hideMark/>
          </w:tcPr>
          <w:p w:rsidR="00A020ED" w:rsidRPr="009F3954" w:rsidRDefault="00A020ED" w:rsidP="00A020ED">
            <w:pPr>
              <w:suppressAutoHyphens w:val="0"/>
              <w:jc w:val="center"/>
              <w:rPr>
                <w:rFonts w:ascii="Calibri" w:hAnsi="Calibri" w:cs="Calibri"/>
                <w:sz w:val="16"/>
                <w:szCs w:val="16"/>
                <w:lang w:val="it-IT" w:eastAsia="it-IT"/>
              </w:rPr>
            </w:pPr>
            <w:r w:rsidRPr="009F3954">
              <w:rPr>
                <w:rFonts w:ascii="Calibri" w:hAnsi="Calibri" w:cs="Calibri"/>
                <w:sz w:val="16"/>
                <w:szCs w:val="16"/>
                <w:lang w:val="it-IT" w:eastAsia="it-IT"/>
              </w:rPr>
              <w:t>Gilead Sciences</w:t>
            </w:r>
          </w:p>
        </w:tc>
        <w:tc>
          <w:tcPr>
            <w:tcW w:w="1280" w:type="dxa"/>
            <w:tcBorders>
              <w:top w:val="nil"/>
              <w:left w:val="nil"/>
              <w:bottom w:val="single" w:sz="4" w:space="0" w:color="auto"/>
              <w:right w:val="single" w:sz="4" w:space="0" w:color="auto"/>
            </w:tcBorders>
            <w:shd w:val="clear" w:color="auto" w:fill="auto"/>
            <w:vAlign w:val="center"/>
            <w:hideMark/>
          </w:tcPr>
          <w:p w:rsidR="00A020ED" w:rsidRPr="009F3954" w:rsidRDefault="00A020ED" w:rsidP="00A020ED">
            <w:pPr>
              <w:suppressAutoHyphens w:val="0"/>
              <w:jc w:val="center"/>
              <w:rPr>
                <w:rFonts w:ascii="Calibri" w:hAnsi="Calibri" w:cs="Calibri"/>
                <w:sz w:val="16"/>
                <w:szCs w:val="16"/>
                <w:lang w:val="it-IT" w:eastAsia="it-IT"/>
              </w:rPr>
            </w:pPr>
            <w:r w:rsidRPr="009F3954">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9F3954" w:rsidRDefault="00A020ED" w:rsidP="00A020ED">
            <w:pPr>
              <w:suppressAutoHyphens w:val="0"/>
              <w:jc w:val="center"/>
              <w:rPr>
                <w:rFonts w:ascii="Calibri" w:hAnsi="Calibri" w:cs="Calibri"/>
                <w:sz w:val="16"/>
                <w:szCs w:val="16"/>
                <w:lang w:val="it-IT" w:eastAsia="it-IT"/>
              </w:rPr>
            </w:pPr>
            <w:r w:rsidRPr="009F3954">
              <w:rPr>
                <w:rFonts w:ascii="Calibri" w:hAnsi="Calibri" w:cs="Calibri"/>
                <w:sz w:val="16"/>
                <w:szCs w:val="16"/>
                <w:lang w:val="it-IT" w:eastAsia="it-IT"/>
              </w:rPr>
              <w:t>NCT01282424</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9F3954" w:rsidRDefault="00F85CBF"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173</w:t>
            </w:r>
          </w:p>
        </w:tc>
      </w:tr>
      <w:tr w:rsidR="00A020ED" w:rsidRPr="009F3954" w:rsidTr="00F85CBF">
        <w:trPr>
          <w:trHeight w:val="112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9F3954" w:rsidRDefault="00A020ED" w:rsidP="00A020ED">
            <w:pPr>
              <w:suppressAutoHyphens w:val="0"/>
              <w:jc w:val="center"/>
              <w:rPr>
                <w:rFonts w:ascii="Calibri" w:hAnsi="Calibri" w:cs="Calibri"/>
                <w:sz w:val="16"/>
                <w:szCs w:val="16"/>
                <w:lang w:val="it-IT" w:eastAsia="it-IT"/>
              </w:rPr>
            </w:pPr>
            <w:r w:rsidRPr="009F3954">
              <w:rPr>
                <w:rFonts w:ascii="Calibri" w:hAnsi="Calibri" w:cs="Calibri"/>
                <w:sz w:val="16"/>
                <w:szCs w:val="16"/>
                <w:lang w:val="it-IT" w:eastAsia="it-IT"/>
              </w:rPr>
              <w:t>2</w:t>
            </w:r>
          </w:p>
        </w:tc>
        <w:tc>
          <w:tcPr>
            <w:tcW w:w="1420" w:type="dxa"/>
            <w:tcBorders>
              <w:top w:val="nil"/>
              <w:left w:val="nil"/>
              <w:bottom w:val="single" w:sz="4" w:space="0" w:color="auto"/>
              <w:right w:val="single" w:sz="4" w:space="0" w:color="auto"/>
            </w:tcBorders>
            <w:shd w:val="clear" w:color="auto" w:fill="auto"/>
            <w:vAlign w:val="center"/>
            <w:hideMark/>
          </w:tcPr>
          <w:p w:rsidR="00A020ED" w:rsidRPr="009F3954" w:rsidRDefault="00A020ED" w:rsidP="00A020ED">
            <w:pPr>
              <w:suppressAutoHyphens w:val="0"/>
              <w:jc w:val="center"/>
              <w:rPr>
                <w:rFonts w:ascii="Calibri" w:hAnsi="Calibri" w:cs="Calibri"/>
                <w:sz w:val="16"/>
                <w:szCs w:val="16"/>
                <w:lang w:val="it-IT" w:eastAsia="it-IT"/>
              </w:rPr>
            </w:pPr>
            <w:r w:rsidRPr="009F3954">
              <w:rPr>
                <w:rFonts w:ascii="Calibri" w:hAnsi="Calibri" w:cs="Calibri"/>
                <w:sz w:val="16"/>
                <w:szCs w:val="16"/>
                <w:lang w:val="it-IT" w:eastAsia="it-IT"/>
              </w:rPr>
              <w:t>Idelalisib</w:t>
            </w:r>
          </w:p>
        </w:tc>
        <w:tc>
          <w:tcPr>
            <w:tcW w:w="1480" w:type="dxa"/>
            <w:tcBorders>
              <w:top w:val="nil"/>
              <w:left w:val="nil"/>
              <w:bottom w:val="single" w:sz="4" w:space="0" w:color="auto"/>
              <w:right w:val="single" w:sz="4" w:space="0" w:color="auto"/>
            </w:tcBorders>
            <w:shd w:val="clear" w:color="auto" w:fill="auto"/>
            <w:vAlign w:val="center"/>
            <w:hideMark/>
          </w:tcPr>
          <w:p w:rsidR="00A020ED" w:rsidRPr="009F3954" w:rsidRDefault="00A020ED" w:rsidP="00A020ED">
            <w:pPr>
              <w:suppressAutoHyphens w:val="0"/>
              <w:jc w:val="center"/>
              <w:rPr>
                <w:rFonts w:ascii="Calibri" w:hAnsi="Calibri" w:cs="Calibri"/>
                <w:sz w:val="16"/>
                <w:szCs w:val="16"/>
                <w:lang w:val="it-IT" w:eastAsia="it-IT"/>
              </w:rPr>
            </w:pPr>
            <w:r w:rsidRPr="009F3954">
              <w:rPr>
                <w:rFonts w:ascii="Calibri" w:hAnsi="Calibri" w:cs="Calibri"/>
                <w:sz w:val="16"/>
                <w:szCs w:val="16"/>
                <w:lang w:val="it-IT" w:eastAsia="it-IT"/>
              </w:rPr>
              <w:t>Relapsed or refractory diffuse large B-cell lymphoma</w:t>
            </w:r>
          </w:p>
        </w:tc>
        <w:tc>
          <w:tcPr>
            <w:tcW w:w="2800" w:type="dxa"/>
            <w:tcBorders>
              <w:top w:val="nil"/>
              <w:left w:val="nil"/>
              <w:bottom w:val="single" w:sz="4" w:space="0" w:color="auto"/>
              <w:right w:val="single" w:sz="4" w:space="0" w:color="auto"/>
            </w:tcBorders>
            <w:shd w:val="clear" w:color="auto" w:fill="auto"/>
            <w:vAlign w:val="center"/>
            <w:hideMark/>
          </w:tcPr>
          <w:p w:rsidR="00A020ED" w:rsidRPr="009F3954" w:rsidRDefault="00A020ED" w:rsidP="00A020ED">
            <w:pPr>
              <w:suppressAutoHyphens w:val="0"/>
              <w:jc w:val="center"/>
              <w:rPr>
                <w:rFonts w:ascii="Calibri" w:hAnsi="Calibri" w:cs="Calibri"/>
                <w:sz w:val="16"/>
                <w:szCs w:val="16"/>
                <w:lang w:val="it-IT" w:eastAsia="it-IT"/>
              </w:rPr>
            </w:pPr>
            <w:r w:rsidRPr="009F3954">
              <w:rPr>
                <w:rFonts w:ascii="Calibri" w:hAnsi="Calibri" w:cs="Calibri"/>
                <w:sz w:val="16"/>
                <w:szCs w:val="16"/>
                <w:lang w:val="it-IT" w:eastAsia="it-IT"/>
              </w:rPr>
              <w:t>ORR: 14%; DOR: 15.5 months. PFS: 0.8 months, and OS: 3.5 months in the germinal centre B-cell (GCB) subtype group. PFS: 1.3 months, and OS: 5.3 months in the non-GCB subtype group</w:t>
            </w:r>
          </w:p>
        </w:tc>
        <w:tc>
          <w:tcPr>
            <w:tcW w:w="500" w:type="dxa"/>
            <w:tcBorders>
              <w:top w:val="nil"/>
              <w:left w:val="nil"/>
              <w:bottom w:val="single" w:sz="4" w:space="0" w:color="auto"/>
              <w:right w:val="single" w:sz="4" w:space="0" w:color="auto"/>
            </w:tcBorders>
            <w:shd w:val="clear" w:color="auto" w:fill="auto"/>
            <w:vAlign w:val="center"/>
            <w:hideMark/>
          </w:tcPr>
          <w:p w:rsidR="00A020ED" w:rsidRPr="009F3954" w:rsidRDefault="00A020ED" w:rsidP="00A020ED">
            <w:pPr>
              <w:suppressAutoHyphens w:val="0"/>
              <w:jc w:val="center"/>
              <w:rPr>
                <w:rFonts w:ascii="Calibri" w:hAnsi="Calibri" w:cs="Calibri"/>
                <w:sz w:val="16"/>
                <w:szCs w:val="16"/>
                <w:lang w:val="it-IT" w:eastAsia="it-IT"/>
              </w:rPr>
            </w:pPr>
            <w:r w:rsidRPr="009F3954">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9F3954" w:rsidRDefault="00A020ED" w:rsidP="00A020ED">
            <w:pPr>
              <w:suppressAutoHyphens w:val="0"/>
              <w:jc w:val="center"/>
              <w:rPr>
                <w:rFonts w:ascii="Calibri" w:hAnsi="Calibri" w:cs="Calibri"/>
                <w:sz w:val="16"/>
                <w:szCs w:val="16"/>
                <w:lang w:val="it-IT" w:eastAsia="it-IT"/>
              </w:rPr>
            </w:pPr>
            <w:r w:rsidRPr="009F3954">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9F3954" w:rsidRDefault="00A020ED" w:rsidP="00A020ED">
            <w:pPr>
              <w:suppressAutoHyphens w:val="0"/>
              <w:jc w:val="center"/>
              <w:rPr>
                <w:rFonts w:ascii="Calibri" w:hAnsi="Calibri" w:cs="Calibri"/>
                <w:sz w:val="16"/>
                <w:szCs w:val="16"/>
                <w:lang w:val="it-IT" w:eastAsia="it-IT"/>
              </w:rPr>
            </w:pPr>
            <w:r w:rsidRPr="009F3954">
              <w:rPr>
                <w:rFonts w:ascii="Calibri" w:hAnsi="Calibri" w:cs="Calibri"/>
                <w:sz w:val="16"/>
                <w:szCs w:val="16"/>
                <w:lang w:val="it-IT" w:eastAsia="it-IT"/>
              </w:rPr>
              <w:t>2018</w:t>
            </w:r>
          </w:p>
        </w:tc>
        <w:tc>
          <w:tcPr>
            <w:tcW w:w="500" w:type="dxa"/>
            <w:tcBorders>
              <w:top w:val="nil"/>
              <w:left w:val="nil"/>
              <w:bottom w:val="single" w:sz="4" w:space="0" w:color="auto"/>
              <w:right w:val="single" w:sz="4" w:space="0" w:color="auto"/>
            </w:tcBorders>
            <w:shd w:val="clear" w:color="auto" w:fill="auto"/>
            <w:vAlign w:val="center"/>
            <w:hideMark/>
          </w:tcPr>
          <w:p w:rsidR="00A020ED" w:rsidRPr="009F3954" w:rsidRDefault="00A020ED" w:rsidP="00A020ED">
            <w:pPr>
              <w:suppressAutoHyphens w:val="0"/>
              <w:jc w:val="center"/>
              <w:rPr>
                <w:rFonts w:ascii="Calibri" w:hAnsi="Calibri" w:cs="Calibri"/>
                <w:sz w:val="16"/>
                <w:szCs w:val="16"/>
                <w:lang w:val="it-IT" w:eastAsia="it-IT"/>
              </w:rPr>
            </w:pPr>
            <w:r w:rsidRPr="009F3954">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9F3954" w:rsidRDefault="00A020ED" w:rsidP="00A020ED">
            <w:pPr>
              <w:suppressAutoHyphens w:val="0"/>
              <w:jc w:val="center"/>
              <w:rPr>
                <w:rFonts w:ascii="Calibri" w:hAnsi="Calibri" w:cs="Calibri"/>
                <w:sz w:val="16"/>
                <w:szCs w:val="16"/>
                <w:lang w:val="it-IT" w:eastAsia="it-IT"/>
              </w:rPr>
            </w:pPr>
            <w:r w:rsidRPr="009F3954">
              <w:rPr>
                <w:rFonts w:ascii="Calibri" w:hAnsi="Calibri" w:cs="Calibri"/>
                <w:sz w:val="16"/>
                <w:szCs w:val="16"/>
                <w:lang w:val="it-IT" w:eastAsia="it-IT"/>
              </w:rPr>
              <w:t>2021</w:t>
            </w:r>
          </w:p>
        </w:tc>
        <w:tc>
          <w:tcPr>
            <w:tcW w:w="1280" w:type="dxa"/>
            <w:tcBorders>
              <w:top w:val="nil"/>
              <w:left w:val="nil"/>
              <w:bottom w:val="single" w:sz="4" w:space="0" w:color="auto"/>
              <w:right w:val="single" w:sz="4" w:space="0" w:color="auto"/>
            </w:tcBorders>
            <w:shd w:val="clear" w:color="auto" w:fill="auto"/>
            <w:vAlign w:val="center"/>
            <w:hideMark/>
          </w:tcPr>
          <w:p w:rsidR="00A020ED" w:rsidRPr="009F3954" w:rsidRDefault="00A020ED" w:rsidP="00A020ED">
            <w:pPr>
              <w:suppressAutoHyphens w:val="0"/>
              <w:jc w:val="center"/>
              <w:rPr>
                <w:rFonts w:ascii="Calibri" w:hAnsi="Calibri" w:cs="Calibri"/>
                <w:sz w:val="16"/>
                <w:szCs w:val="16"/>
                <w:lang w:val="it-IT" w:eastAsia="it-IT"/>
              </w:rPr>
            </w:pPr>
            <w:r w:rsidRPr="009F3954">
              <w:rPr>
                <w:rFonts w:ascii="Calibri" w:hAnsi="Calibri" w:cs="Calibri"/>
                <w:sz w:val="16"/>
                <w:szCs w:val="16"/>
                <w:lang w:val="it-IT" w:eastAsia="it-IT"/>
              </w:rPr>
              <w:t>Nordic Lymphoma Group</w:t>
            </w:r>
          </w:p>
        </w:tc>
        <w:tc>
          <w:tcPr>
            <w:tcW w:w="1280" w:type="dxa"/>
            <w:tcBorders>
              <w:top w:val="nil"/>
              <w:left w:val="nil"/>
              <w:bottom w:val="single" w:sz="4" w:space="0" w:color="auto"/>
              <w:right w:val="single" w:sz="4" w:space="0" w:color="auto"/>
            </w:tcBorders>
            <w:shd w:val="clear" w:color="auto" w:fill="auto"/>
            <w:vAlign w:val="center"/>
            <w:hideMark/>
          </w:tcPr>
          <w:p w:rsidR="00A020ED" w:rsidRPr="009F3954" w:rsidRDefault="00A020ED" w:rsidP="00A020ED">
            <w:pPr>
              <w:suppressAutoHyphens w:val="0"/>
              <w:jc w:val="center"/>
              <w:rPr>
                <w:rFonts w:ascii="Calibri" w:hAnsi="Calibri" w:cs="Calibri"/>
                <w:sz w:val="16"/>
                <w:szCs w:val="16"/>
                <w:lang w:val="it-IT" w:eastAsia="it-IT"/>
              </w:rPr>
            </w:pPr>
            <w:r w:rsidRPr="009F3954">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9F3954" w:rsidRDefault="00A020ED" w:rsidP="00A020ED">
            <w:pPr>
              <w:suppressAutoHyphens w:val="0"/>
              <w:jc w:val="center"/>
              <w:rPr>
                <w:rFonts w:ascii="Calibri" w:hAnsi="Calibri" w:cs="Calibri"/>
                <w:sz w:val="16"/>
                <w:szCs w:val="16"/>
                <w:lang w:val="it-IT" w:eastAsia="it-IT"/>
              </w:rPr>
            </w:pPr>
            <w:r w:rsidRPr="009F3954">
              <w:rPr>
                <w:rFonts w:ascii="Calibri" w:hAnsi="Calibri" w:cs="Calibri"/>
                <w:sz w:val="16"/>
                <w:szCs w:val="16"/>
                <w:lang w:val="it-IT" w:eastAsia="it-IT"/>
              </w:rPr>
              <w:t>NCT03576443</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9F3954" w:rsidRDefault="00F85CBF"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174</w:t>
            </w:r>
          </w:p>
        </w:tc>
      </w:tr>
      <w:tr w:rsidR="00A020ED" w:rsidRPr="00D501A8" w:rsidTr="00F85CBF">
        <w:trPr>
          <w:trHeight w:val="675"/>
        </w:trPr>
        <w:tc>
          <w:tcPr>
            <w:tcW w:w="540" w:type="dxa"/>
            <w:tcBorders>
              <w:top w:val="nil"/>
              <w:left w:val="single" w:sz="4" w:space="0" w:color="auto"/>
              <w:bottom w:val="single" w:sz="4" w:space="0" w:color="auto"/>
              <w:right w:val="nil"/>
            </w:tcBorders>
            <w:shd w:val="clear" w:color="auto" w:fill="auto"/>
            <w:vAlign w:val="center"/>
            <w:hideMark/>
          </w:tcPr>
          <w:p w:rsidR="00A020ED" w:rsidRPr="00D501A8" w:rsidRDefault="00A020ED" w:rsidP="00A020ED">
            <w:pPr>
              <w:suppressAutoHyphens w:val="0"/>
              <w:jc w:val="center"/>
              <w:rPr>
                <w:rFonts w:ascii="Calibri" w:hAnsi="Calibri" w:cs="Calibri"/>
                <w:sz w:val="16"/>
                <w:szCs w:val="16"/>
                <w:lang w:val="it-IT" w:eastAsia="it-IT"/>
              </w:rPr>
            </w:pPr>
            <w:r w:rsidRPr="00D501A8">
              <w:rPr>
                <w:rFonts w:ascii="Calibri" w:hAnsi="Calibri" w:cs="Calibri"/>
                <w:sz w:val="16"/>
                <w:szCs w:val="16"/>
                <w:lang w:val="it-IT" w:eastAsia="it-IT"/>
              </w:rPr>
              <w:t>2</w:t>
            </w:r>
          </w:p>
        </w:tc>
        <w:tc>
          <w:tcPr>
            <w:tcW w:w="1420" w:type="dxa"/>
            <w:tcBorders>
              <w:top w:val="nil"/>
              <w:left w:val="single" w:sz="4" w:space="0" w:color="auto"/>
              <w:bottom w:val="single" w:sz="4" w:space="0" w:color="auto"/>
              <w:right w:val="single" w:sz="4" w:space="0" w:color="auto"/>
            </w:tcBorders>
            <w:shd w:val="clear" w:color="auto" w:fill="auto"/>
            <w:vAlign w:val="center"/>
            <w:hideMark/>
          </w:tcPr>
          <w:p w:rsidR="00A020ED" w:rsidRPr="00D501A8" w:rsidRDefault="00A020ED" w:rsidP="00A020ED">
            <w:pPr>
              <w:suppressAutoHyphens w:val="0"/>
              <w:jc w:val="center"/>
              <w:rPr>
                <w:rFonts w:ascii="Calibri" w:hAnsi="Calibri" w:cs="Calibri"/>
                <w:sz w:val="16"/>
                <w:szCs w:val="16"/>
                <w:lang w:val="it-IT" w:eastAsia="it-IT"/>
              </w:rPr>
            </w:pPr>
            <w:r w:rsidRPr="00D501A8">
              <w:rPr>
                <w:rFonts w:ascii="Calibri" w:hAnsi="Calibri" w:cs="Calibri"/>
                <w:sz w:val="16"/>
                <w:szCs w:val="16"/>
                <w:lang w:val="it-IT" w:eastAsia="it-IT"/>
              </w:rPr>
              <w:t xml:space="preserve">Combination of idelalisib with rituximab </w:t>
            </w:r>
          </w:p>
        </w:tc>
        <w:tc>
          <w:tcPr>
            <w:tcW w:w="1480" w:type="dxa"/>
            <w:tcBorders>
              <w:top w:val="nil"/>
              <w:left w:val="nil"/>
              <w:bottom w:val="single" w:sz="4" w:space="0" w:color="auto"/>
              <w:right w:val="single" w:sz="4" w:space="0" w:color="auto"/>
            </w:tcBorders>
            <w:shd w:val="clear" w:color="auto" w:fill="auto"/>
            <w:vAlign w:val="center"/>
            <w:hideMark/>
          </w:tcPr>
          <w:p w:rsidR="00A020ED" w:rsidRPr="00D501A8" w:rsidRDefault="00A020ED" w:rsidP="00A020ED">
            <w:pPr>
              <w:suppressAutoHyphens w:val="0"/>
              <w:jc w:val="center"/>
              <w:rPr>
                <w:rFonts w:ascii="Calibri" w:hAnsi="Calibri" w:cs="Calibri"/>
                <w:sz w:val="16"/>
                <w:szCs w:val="16"/>
                <w:lang w:val="it-IT" w:eastAsia="it-IT"/>
              </w:rPr>
            </w:pPr>
            <w:r w:rsidRPr="00D501A8">
              <w:rPr>
                <w:rFonts w:ascii="Calibri" w:hAnsi="Calibri" w:cs="Calibri"/>
                <w:sz w:val="16"/>
                <w:szCs w:val="16"/>
                <w:lang w:val="it-IT" w:eastAsia="it-IT"/>
              </w:rPr>
              <w:t xml:space="preserve">Chronic lymphocytic leukemia </w:t>
            </w:r>
          </w:p>
        </w:tc>
        <w:tc>
          <w:tcPr>
            <w:tcW w:w="2800" w:type="dxa"/>
            <w:tcBorders>
              <w:top w:val="nil"/>
              <w:left w:val="nil"/>
              <w:bottom w:val="single" w:sz="4" w:space="0" w:color="auto"/>
              <w:right w:val="single" w:sz="4" w:space="0" w:color="auto"/>
            </w:tcBorders>
            <w:shd w:val="clear" w:color="auto" w:fill="auto"/>
            <w:vAlign w:val="center"/>
            <w:hideMark/>
          </w:tcPr>
          <w:p w:rsidR="00A020ED" w:rsidRPr="00D501A8" w:rsidRDefault="00A020ED" w:rsidP="00A020ED">
            <w:pPr>
              <w:suppressAutoHyphens w:val="0"/>
              <w:jc w:val="center"/>
              <w:rPr>
                <w:rFonts w:ascii="Calibri" w:hAnsi="Calibri" w:cs="Calibri"/>
                <w:sz w:val="16"/>
                <w:szCs w:val="16"/>
                <w:lang w:val="it-IT" w:eastAsia="it-IT"/>
              </w:rPr>
            </w:pPr>
            <w:r w:rsidRPr="00D501A8">
              <w:rPr>
                <w:rFonts w:ascii="Calibri" w:hAnsi="Calibri" w:cs="Calibri"/>
                <w:sz w:val="16"/>
                <w:szCs w:val="16"/>
                <w:lang w:val="it-IT" w:eastAsia="it-IT"/>
              </w:rPr>
              <w:t>ORR: 97%; CR: 19%; ORR: 100% in cancer with del(17</w:t>
            </w:r>
            <w:proofErr w:type="gramStart"/>
            <w:r w:rsidRPr="00D501A8">
              <w:rPr>
                <w:rFonts w:ascii="Calibri" w:hAnsi="Calibri" w:cs="Calibri"/>
                <w:sz w:val="16"/>
                <w:szCs w:val="16"/>
                <w:lang w:val="it-IT" w:eastAsia="it-IT"/>
              </w:rPr>
              <w:t>p)/</w:t>
            </w:r>
            <w:proofErr w:type="gramEnd"/>
            <w:r w:rsidRPr="00D501A8">
              <w:rPr>
                <w:rFonts w:ascii="Calibri" w:hAnsi="Calibri" w:cs="Calibri"/>
                <w:sz w:val="16"/>
                <w:szCs w:val="16"/>
                <w:lang w:val="it-IT" w:eastAsia="it-IT"/>
              </w:rPr>
              <w:t xml:space="preserve">TP53 mutations </w:t>
            </w:r>
          </w:p>
        </w:tc>
        <w:tc>
          <w:tcPr>
            <w:tcW w:w="500" w:type="dxa"/>
            <w:tcBorders>
              <w:top w:val="nil"/>
              <w:left w:val="nil"/>
              <w:bottom w:val="single" w:sz="4" w:space="0" w:color="auto"/>
              <w:right w:val="single" w:sz="4" w:space="0" w:color="auto"/>
            </w:tcBorders>
            <w:shd w:val="clear" w:color="auto" w:fill="auto"/>
            <w:vAlign w:val="center"/>
            <w:hideMark/>
          </w:tcPr>
          <w:p w:rsidR="00A020ED" w:rsidRPr="00D501A8" w:rsidRDefault="00A020ED" w:rsidP="00A020ED">
            <w:pPr>
              <w:suppressAutoHyphens w:val="0"/>
              <w:jc w:val="center"/>
              <w:rPr>
                <w:rFonts w:ascii="Calibri" w:hAnsi="Calibri" w:cs="Calibri"/>
                <w:sz w:val="16"/>
                <w:szCs w:val="16"/>
                <w:lang w:val="it-IT" w:eastAsia="it-IT"/>
              </w:rPr>
            </w:pPr>
            <w:r w:rsidRPr="00D501A8">
              <w:rPr>
                <w:rFonts w:ascii="Calibri" w:hAnsi="Calibri" w:cs="Calibri"/>
                <w:sz w:val="16"/>
                <w:szCs w:val="16"/>
                <w:lang w:val="it-IT" w:eastAsia="it-IT"/>
              </w:rPr>
              <w:t>F</w:t>
            </w:r>
          </w:p>
        </w:tc>
        <w:tc>
          <w:tcPr>
            <w:tcW w:w="560" w:type="dxa"/>
            <w:tcBorders>
              <w:top w:val="nil"/>
              <w:left w:val="nil"/>
              <w:bottom w:val="single" w:sz="4" w:space="0" w:color="auto"/>
              <w:right w:val="single" w:sz="4" w:space="0" w:color="auto"/>
            </w:tcBorders>
            <w:shd w:val="clear" w:color="auto" w:fill="auto"/>
            <w:vAlign w:val="center"/>
            <w:hideMark/>
          </w:tcPr>
          <w:p w:rsidR="00A020ED" w:rsidRPr="00D501A8" w:rsidRDefault="00A020ED" w:rsidP="00A020ED">
            <w:pPr>
              <w:suppressAutoHyphens w:val="0"/>
              <w:jc w:val="center"/>
              <w:rPr>
                <w:rFonts w:ascii="Calibri" w:hAnsi="Calibri" w:cs="Calibri"/>
                <w:sz w:val="16"/>
                <w:szCs w:val="16"/>
                <w:lang w:val="it-IT" w:eastAsia="it-IT"/>
              </w:rPr>
            </w:pPr>
            <w:r w:rsidRPr="00D501A8">
              <w:rPr>
                <w:rFonts w:ascii="Calibri" w:hAnsi="Calibri" w:cs="Calibri"/>
                <w:sz w:val="16"/>
                <w:szCs w:val="16"/>
                <w:lang w:val="it-IT" w:eastAsia="it-IT"/>
              </w:rPr>
              <w:t>T</w:t>
            </w:r>
          </w:p>
        </w:tc>
        <w:tc>
          <w:tcPr>
            <w:tcW w:w="500" w:type="dxa"/>
            <w:tcBorders>
              <w:top w:val="nil"/>
              <w:left w:val="nil"/>
              <w:bottom w:val="single" w:sz="4" w:space="0" w:color="auto"/>
              <w:right w:val="single" w:sz="4" w:space="0" w:color="auto"/>
            </w:tcBorders>
            <w:shd w:val="clear" w:color="auto" w:fill="auto"/>
            <w:vAlign w:val="center"/>
            <w:hideMark/>
          </w:tcPr>
          <w:p w:rsidR="00A020ED" w:rsidRPr="00D501A8" w:rsidRDefault="00A020ED" w:rsidP="00A020ED">
            <w:pPr>
              <w:suppressAutoHyphens w:val="0"/>
              <w:jc w:val="center"/>
              <w:rPr>
                <w:rFonts w:ascii="Calibri" w:hAnsi="Calibri" w:cs="Calibri"/>
                <w:sz w:val="16"/>
                <w:szCs w:val="16"/>
                <w:lang w:val="it-IT" w:eastAsia="it-IT"/>
              </w:rPr>
            </w:pPr>
            <w:r w:rsidRPr="00D501A8">
              <w:rPr>
                <w:rFonts w:ascii="Calibri" w:hAnsi="Calibri" w:cs="Calibri"/>
                <w:sz w:val="16"/>
                <w:szCs w:val="16"/>
                <w:lang w:val="it-IT" w:eastAsia="it-IT"/>
              </w:rPr>
              <w:t>2010</w:t>
            </w:r>
          </w:p>
        </w:tc>
        <w:tc>
          <w:tcPr>
            <w:tcW w:w="500" w:type="dxa"/>
            <w:tcBorders>
              <w:top w:val="nil"/>
              <w:left w:val="nil"/>
              <w:bottom w:val="single" w:sz="4" w:space="0" w:color="auto"/>
              <w:right w:val="single" w:sz="4" w:space="0" w:color="auto"/>
            </w:tcBorders>
            <w:shd w:val="clear" w:color="auto" w:fill="auto"/>
            <w:vAlign w:val="center"/>
            <w:hideMark/>
          </w:tcPr>
          <w:p w:rsidR="00A020ED" w:rsidRPr="00D501A8" w:rsidRDefault="00A020ED" w:rsidP="00A020ED">
            <w:pPr>
              <w:suppressAutoHyphens w:val="0"/>
              <w:jc w:val="center"/>
              <w:rPr>
                <w:rFonts w:ascii="Calibri" w:hAnsi="Calibri" w:cs="Calibri"/>
                <w:sz w:val="16"/>
                <w:szCs w:val="16"/>
                <w:lang w:val="it-IT" w:eastAsia="it-IT"/>
              </w:rPr>
            </w:pPr>
            <w:r w:rsidRPr="00D501A8">
              <w:rPr>
                <w:rFonts w:ascii="Calibri" w:hAnsi="Calibri" w:cs="Calibri"/>
                <w:sz w:val="16"/>
                <w:szCs w:val="16"/>
                <w:lang w:val="it-IT" w:eastAsia="it-IT"/>
              </w:rPr>
              <w:t>2017</w:t>
            </w:r>
          </w:p>
        </w:tc>
        <w:tc>
          <w:tcPr>
            <w:tcW w:w="500" w:type="dxa"/>
            <w:tcBorders>
              <w:top w:val="nil"/>
              <w:left w:val="nil"/>
              <w:bottom w:val="single" w:sz="4" w:space="0" w:color="auto"/>
              <w:right w:val="single" w:sz="4" w:space="0" w:color="auto"/>
            </w:tcBorders>
            <w:shd w:val="clear" w:color="auto" w:fill="auto"/>
            <w:vAlign w:val="center"/>
            <w:hideMark/>
          </w:tcPr>
          <w:p w:rsidR="00A020ED" w:rsidRPr="00D501A8" w:rsidRDefault="00A020ED" w:rsidP="00A020ED">
            <w:pPr>
              <w:suppressAutoHyphens w:val="0"/>
              <w:jc w:val="center"/>
              <w:rPr>
                <w:rFonts w:ascii="Calibri" w:hAnsi="Calibri" w:cs="Calibri"/>
                <w:sz w:val="16"/>
                <w:szCs w:val="16"/>
                <w:lang w:val="it-IT" w:eastAsia="it-IT"/>
              </w:rPr>
            </w:pPr>
            <w:r w:rsidRPr="00D501A8">
              <w:rPr>
                <w:rFonts w:ascii="Calibri" w:hAnsi="Calibri" w:cs="Calibri"/>
                <w:sz w:val="16"/>
                <w:szCs w:val="16"/>
                <w:lang w:val="it-IT" w:eastAsia="it-IT"/>
              </w:rPr>
              <w:t>2018</w:t>
            </w:r>
          </w:p>
        </w:tc>
        <w:tc>
          <w:tcPr>
            <w:tcW w:w="1280" w:type="dxa"/>
            <w:tcBorders>
              <w:top w:val="nil"/>
              <w:left w:val="nil"/>
              <w:bottom w:val="single" w:sz="4" w:space="0" w:color="auto"/>
              <w:right w:val="single" w:sz="4" w:space="0" w:color="auto"/>
            </w:tcBorders>
            <w:shd w:val="clear" w:color="auto" w:fill="auto"/>
            <w:vAlign w:val="center"/>
            <w:hideMark/>
          </w:tcPr>
          <w:p w:rsidR="00A020ED" w:rsidRPr="00D501A8" w:rsidRDefault="00A020ED" w:rsidP="00A020ED">
            <w:pPr>
              <w:suppressAutoHyphens w:val="0"/>
              <w:jc w:val="center"/>
              <w:rPr>
                <w:rFonts w:ascii="Calibri" w:hAnsi="Calibri" w:cs="Calibri"/>
                <w:sz w:val="16"/>
                <w:szCs w:val="16"/>
                <w:lang w:val="it-IT" w:eastAsia="it-IT"/>
              </w:rPr>
            </w:pPr>
            <w:r w:rsidRPr="00D501A8">
              <w:rPr>
                <w:rFonts w:ascii="Calibri" w:hAnsi="Calibri" w:cs="Calibri"/>
                <w:sz w:val="16"/>
                <w:szCs w:val="16"/>
                <w:lang w:val="it-IT" w:eastAsia="it-IT"/>
              </w:rPr>
              <w:t>Gilead Sciences</w:t>
            </w:r>
          </w:p>
        </w:tc>
        <w:tc>
          <w:tcPr>
            <w:tcW w:w="1280" w:type="dxa"/>
            <w:tcBorders>
              <w:top w:val="nil"/>
              <w:left w:val="nil"/>
              <w:bottom w:val="single" w:sz="4" w:space="0" w:color="auto"/>
              <w:right w:val="single" w:sz="4" w:space="0" w:color="auto"/>
            </w:tcBorders>
            <w:shd w:val="clear" w:color="auto" w:fill="auto"/>
            <w:vAlign w:val="center"/>
            <w:hideMark/>
          </w:tcPr>
          <w:p w:rsidR="00A020ED" w:rsidRPr="00D501A8" w:rsidRDefault="00A020ED" w:rsidP="00A020ED">
            <w:pPr>
              <w:suppressAutoHyphens w:val="0"/>
              <w:jc w:val="center"/>
              <w:rPr>
                <w:rFonts w:ascii="Calibri" w:hAnsi="Calibri" w:cs="Calibri"/>
                <w:sz w:val="16"/>
                <w:szCs w:val="16"/>
                <w:lang w:val="it-IT" w:eastAsia="it-IT"/>
              </w:rPr>
            </w:pPr>
            <w:r w:rsidRPr="00D501A8">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D501A8" w:rsidRDefault="00A020ED" w:rsidP="00A020ED">
            <w:pPr>
              <w:suppressAutoHyphens w:val="0"/>
              <w:jc w:val="center"/>
              <w:rPr>
                <w:rFonts w:ascii="Calibri" w:hAnsi="Calibri" w:cs="Calibri"/>
                <w:sz w:val="16"/>
                <w:szCs w:val="16"/>
                <w:lang w:val="it-IT" w:eastAsia="it-IT"/>
              </w:rPr>
            </w:pPr>
            <w:r w:rsidRPr="00D501A8">
              <w:rPr>
                <w:rFonts w:ascii="Calibri" w:hAnsi="Calibri" w:cs="Calibri"/>
                <w:sz w:val="16"/>
                <w:szCs w:val="16"/>
                <w:lang w:val="it-IT" w:eastAsia="it-IT"/>
              </w:rPr>
              <w:t>NCT01203930</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D501A8" w:rsidRDefault="00F85CBF"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175</w:t>
            </w:r>
          </w:p>
        </w:tc>
      </w:tr>
      <w:tr w:rsidR="00A020ED" w:rsidRPr="00A020ED" w:rsidTr="00F85CBF">
        <w:trPr>
          <w:trHeight w:val="1125"/>
        </w:trPr>
        <w:tc>
          <w:tcPr>
            <w:tcW w:w="540" w:type="dxa"/>
            <w:tcBorders>
              <w:top w:val="nil"/>
              <w:left w:val="single" w:sz="4" w:space="0" w:color="auto"/>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w:t>
            </w:r>
          </w:p>
        </w:tc>
        <w:tc>
          <w:tcPr>
            <w:tcW w:w="142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Combination of idelalisib with obinutuzumab</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Relapsed or refractory Waldenström’s macroglobulinemia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ORR: 71.4%, major response rate: 65.3%, PFS: 25.4 months.</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 NR</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2016</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2022</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French Innovative Leukemia Organisation</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NCT02962401</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A020ED" w:rsidRDefault="00F85CBF"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176</w:t>
            </w:r>
          </w:p>
        </w:tc>
      </w:tr>
      <w:tr w:rsidR="00A020ED" w:rsidRPr="001C114D" w:rsidTr="00F85CBF">
        <w:trPr>
          <w:trHeight w:val="1125"/>
        </w:trPr>
        <w:tc>
          <w:tcPr>
            <w:tcW w:w="540" w:type="dxa"/>
            <w:tcBorders>
              <w:top w:val="nil"/>
              <w:left w:val="single" w:sz="4" w:space="0" w:color="auto"/>
              <w:bottom w:val="single" w:sz="4" w:space="0" w:color="auto"/>
              <w:right w:val="nil"/>
            </w:tcBorders>
            <w:shd w:val="clear" w:color="auto" w:fill="auto"/>
            <w:vAlign w:val="center"/>
            <w:hideMark/>
          </w:tcPr>
          <w:p w:rsidR="00A020ED" w:rsidRPr="001C114D" w:rsidRDefault="00A020ED" w:rsidP="00A020ED">
            <w:pPr>
              <w:suppressAutoHyphens w:val="0"/>
              <w:jc w:val="center"/>
              <w:rPr>
                <w:rFonts w:ascii="Calibri" w:hAnsi="Calibri" w:cs="Calibri"/>
                <w:sz w:val="16"/>
                <w:szCs w:val="16"/>
                <w:lang w:val="it-IT" w:eastAsia="it-IT"/>
              </w:rPr>
            </w:pPr>
            <w:r w:rsidRPr="001C114D">
              <w:rPr>
                <w:rFonts w:ascii="Calibri" w:hAnsi="Calibri" w:cs="Calibri"/>
                <w:sz w:val="16"/>
                <w:szCs w:val="16"/>
                <w:lang w:val="it-IT" w:eastAsia="it-IT"/>
              </w:rPr>
              <w:t>3</w:t>
            </w:r>
          </w:p>
        </w:tc>
        <w:tc>
          <w:tcPr>
            <w:tcW w:w="1420" w:type="dxa"/>
            <w:tcBorders>
              <w:top w:val="nil"/>
              <w:left w:val="single" w:sz="4" w:space="0" w:color="auto"/>
              <w:bottom w:val="single" w:sz="4" w:space="0" w:color="auto"/>
              <w:right w:val="single" w:sz="4" w:space="0" w:color="auto"/>
            </w:tcBorders>
            <w:shd w:val="clear" w:color="auto" w:fill="auto"/>
            <w:vAlign w:val="center"/>
            <w:hideMark/>
          </w:tcPr>
          <w:p w:rsidR="00A020ED" w:rsidRPr="001C114D" w:rsidRDefault="00A020ED" w:rsidP="00A020ED">
            <w:pPr>
              <w:suppressAutoHyphens w:val="0"/>
              <w:jc w:val="center"/>
              <w:rPr>
                <w:rFonts w:ascii="Calibri" w:hAnsi="Calibri" w:cs="Calibri"/>
                <w:sz w:val="16"/>
                <w:szCs w:val="16"/>
                <w:lang w:val="it-IT" w:eastAsia="it-IT"/>
              </w:rPr>
            </w:pPr>
            <w:r w:rsidRPr="001C114D">
              <w:rPr>
                <w:rFonts w:ascii="Calibri" w:hAnsi="Calibri" w:cs="Calibri"/>
                <w:sz w:val="16"/>
                <w:szCs w:val="16"/>
                <w:lang w:val="it-IT" w:eastAsia="it-IT"/>
              </w:rPr>
              <w:t>Combination of idelalisib with rituximab</w:t>
            </w:r>
          </w:p>
        </w:tc>
        <w:tc>
          <w:tcPr>
            <w:tcW w:w="1480" w:type="dxa"/>
            <w:tcBorders>
              <w:top w:val="nil"/>
              <w:left w:val="nil"/>
              <w:bottom w:val="single" w:sz="4" w:space="0" w:color="auto"/>
              <w:right w:val="single" w:sz="4" w:space="0" w:color="auto"/>
            </w:tcBorders>
            <w:shd w:val="clear" w:color="auto" w:fill="auto"/>
            <w:vAlign w:val="center"/>
            <w:hideMark/>
          </w:tcPr>
          <w:p w:rsidR="00A020ED" w:rsidRPr="001C114D" w:rsidRDefault="00A020ED" w:rsidP="00A020ED">
            <w:pPr>
              <w:suppressAutoHyphens w:val="0"/>
              <w:jc w:val="center"/>
              <w:rPr>
                <w:rFonts w:ascii="Calibri" w:hAnsi="Calibri" w:cs="Calibri"/>
                <w:sz w:val="16"/>
                <w:szCs w:val="16"/>
                <w:lang w:val="it-IT" w:eastAsia="it-IT"/>
              </w:rPr>
            </w:pPr>
            <w:r w:rsidRPr="001C114D">
              <w:rPr>
                <w:rFonts w:ascii="Calibri" w:hAnsi="Calibri" w:cs="Calibri"/>
                <w:sz w:val="16"/>
                <w:szCs w:val="16"/>
                <w:lang w:val="it-IT" w:eastAsia="it-IT"/>
              </w:rPr>
              <w:t>Chronic lymphocytic leukemia</w:t>
            </w:r>
          </w:p>
        </w:tc>
        <w:tc>
          <w:tcPr>
            <w:tcW w:w="2800" w:type="dxa"/>
            <w:tcBorders>
              <w:top w:val="nil"/>
              <w:left w:val="nil"/>
              <w:bottom w:val="single" w:sz="4" w:space="0" w:color="auto"/>
              <w:right w:val="single" w:sz="4" w:space="0" w:color="auto"/>
            </w:tcBorders>
            <w:shd w:val="clear" w:color="auto" w:fill="auto"/>
            <w:vAlign w:val="center"/>
            <w:hideMark/>
          </w:tcPr>
          <w:p w:rsidR="00A020ED" w:rsidRPr="001C114D" w:rsidRDefault="00A020ED" w:rsidP="00A020ED">
            <w:pPr>
              <w:suppressAutoHyphens w:val="0"/>
              <w:jc w:val="center"/>
              <w:rPr>
                <w:rFonts w:ascii="Calibri" w:hAnsi="Calibri" w:cs="Calibri"/>
                <w:sz w:val="16"/>
                <w:szCs w:val="16"/>
                <w:lang w:val="it-IT" w:eastAsia="it-IT"/>
              </w:rPr>
            </w:pPr>
            <w:r w:rsidRPr="001C114D">
              <w:rPr>
                <w:rFonts w:ascii="Calibri" w:hAnsi="Calibri" w:cs="Calibri"/>
                <w:sz w:val="16"/>
                <w:szCs w:val="16"/>
                <w:lang w:val="it-IT" w:eastAsia="it-IT"/>
              </w:rPr>
              <w:t xml:space="preserve">ORR: 81%, PFS at 24 weeks: 93%, and 12-month OS: 92% with idelalisib + rituximab vs ORR: 13%, PFS at 24 weeks: 46%, and 12-month OS: 80% with placebo + rituximab </w:t>
            </w:r>
          </w:p>
        </w:tc>
        <w:tc>
          <w:tcPr>
            <w:tcW w:w="500" w:type="dxa"/>
            <w:tcBorders>
              <w:top w:val="nil"/>
              <w:left w:val="nil"/>
              <w:bottom w:val="single" w:sz="4" w:space="0" w:color="auto"/>
              <w:right w:val="single" w:sz="4" w:space="0" w:color="auto"/>
            </w:tcBorders>
            <w:shd w:val="clear" w:color="auto" w:fill="auto"/>
            <w:vAlign w:val="center"/>
            <w:hideMark/>
          </w:tcPr>
          <w:p w:rsidR="00A020ED" w:rsidRPr="001C114D" w:rsidRDefault="00A020ED" w:rsidP="00A020ED">
            <w:pPr>
              <w:suppressAutoHyphens w:val="0"/>
              <w:jc w:val="center"/>
              <w:rPr>
                <w:rFonts w:ascii="Calibri" w:hAnsi="Calibri" w:cs="Calibri"/>
                <w:sz w:val="16"/>
                <w:szCs w:val="16"/>
                <w:lang w:val="it-IT" w:eastAsia="it-IT"/>
              </w:rPr>
            </w:pPr>
            <w:r w:rsidRPr="001C114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1C114D" w:rsidRDefault="00A020ED" w:rsidP="00A020ED">
            <w:pPr>
              <w:suppressAutoHyphens w:val="0"/>
              <w:jc w:val="center"/>
              <w:rPr>
                <w:rFonts w:ascii="Calibri" w:hAnsi="Calibri" w:cs="Calibri"/>
                <w:sz w:val="16"/>
                <w:szCs w:val="16"/>
                <w:lang w:val="it-IT" w:eastAsia="it-IT"/>
              </w:rPr>
            </w:pPr>
            <w:r w:rsidRPr="001C114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1C114D" w:rsidRDefault="00A020ED" w:rsidP="00A020ED">
            <w:pPr>
              <w:suppressAutoHyphens w:val="0"/>
              <w:jc w:val="center"/>
              <w:rPr>
                <w:rFonts w:ascii="Calibri" w:hAnsi="Calibri" w:cs="Calibri"/>
                <w:sz w:val="16"/>
                <w:szCs w:val="16"/>
                <w:lang w:val="it-IT" w:eastAsia="it-IT"/>
              </w:rPr>
            </w:pPr>
            <w:r w:rsidRPr="001C114D">
              <w:rPr>
                <w:rFonts w:ascii="Calibri" w:hAnsi="Calibri" w:cs="Calibri"/>
                <w:sz w:val="16"/>
                <w:szCs w:val="16"/>
                <w:lang w:val="it-IT" w:eastAsia="it-IT"/>
              </w:rPr>
              <w:t>2012</w:t>
            </w:r>
          </w:p>
        </w:tc>
        <w:tc>
          <w:tcPr>
            <w:tcW w:w="500" w:type="dxa"/>
            <w:tcBorders>
              <w:top w:val="nil"/>
              <w:left w:val="nil"/>
              <w:bottom w:val="single" w:sz="4" w:space="0" w:color="auto"/>
              <w:right w:val="single" w:sz="4" w:space="0" w:color="auto"/>
            </w:tcBorders>
            <w:shd w:val="clear" w:color="auto" w:fill="auto"/>
            <w:vAlign w:val="center"/>
            <w:hideMark/>
          </w:tcPr>
          <w:p w:rsidR="00A020ED" w:rsidRPr="001C114D" w:rsidRDefault="00A020ED" w:rsidP="00A020ED">
            <w:pPr>
              <w:suppressAutoHyphens w:val="0"/>
              <w:jc w:val="center"/>
              <w:rPr>
                <w:rFonts w:ascii="Calibri" w:hAnsi="Calibri" w:cs="Calibri"/>
                <w:sz w:val="16"/>
                <w:szCs w:val="16"/>
                <w:lang w:val="it-IT" w:eastAsia="it-IT"/>
              </w:rPr>
            </w:pPr>
            <w:r w:rsidRPr="001C114D">
              <w:rPr>
                <w:rFonts w:ascii="Calibri" w:hAnsi="Calibri" w:cs="Calibri"/>
                <w:sz w:val="16"/>
                <w:szCs w:val="16"/>
                <w:lang w:val="it-IT" w:eastAsia="it-IT"/>
              </w:rPr>
              <w:t>2014</w:t>
            </w:r>
          </w:p>
        </w:tc>
        <w:tc>
          <w:tcPr>
            <w:tcW w:w="500" w:type="dxa"/>
            <w:tcBorders>
              <w:top w:val="nil"/>
              <w:left w:val="nil"/>
              <w:bottom w:val="single" w:sz="4" w:space="0" w:color="auto"/>
              <w:right w:val="single" w:sz="4" w:space="0" w:color="auto"/>
            </w:tcBorders>
            <w:shd w:val="clear" w:color="auto" w:fill="auto"/>
            <w:vAlign w:val="center"/>
            <w:hideMark/>
          </w:tcPr>
          <w:p w:rsidR="00A020ED" w:rsidRPr="001C114D" w:rsidRDefault="00A020ED" w:rsidP="00A020ED">
            <w:pPr>
              <w:suppressAutoHyphens w:val="0"/>
              <w:jc w:val="center"/>
              <w:rPr>
                <w:rFonts w:ascii="Calibri" w:hAnsi="Calibri" w:cs="Calibri"/>
                <w:sz w:val="16"/>
                <w:szCs w:val="16"/>
                <w:lang w:val="it-IT" w:eastAsia="it-IT"/>
              </w:rPr>
            </w:pPr>
            <w:r w:rsidRPr="001C114D">
              <w:rPr>
                <w:rFonts w:ascii="Calibri" w:hAnsi="Calibri" w:cs="Calibri"/>
                <w:sz w:val="16"/>
                <w:szCs w:val="16"/>
                <w:lang w:val="it-IT" w:eastAsia="it-IT"/>
              </w:rPr>
              <w:t>2019</w:t>
            </w:r>
          </w:p>
        </w:tc>
        <w:tc>
          <w:tcPr>
            <w:tcW w:w="1280" w:type="dxa"/>
            <w:tcBorders>
              <w:top w:val="nil"/>
              <w:left w:val="nil"/>
              <w:bottom w:val="single" w:sz="4" w:space="0" w:color="auto"/>
              <w:right w:val="single" w:sz="4" w:space="0" w:color="auto"/>
            </w:tcBorders>
            <w:shd w:val="clear" w:color="auto" w:fill="auto"/>
            <w:vAlign w:val="center"/>
            <w:hideMark/>
          </w:tcPr>
          <w:p w:rsidR="00A020ED" w:rsidRPr="001C114D" w:rsidRDefault="00A020ED" w:rsidP="00A020ED">
            <w:pPr>
              <w:suppressAutoHyphens w:val="0"/>
              <w:jc w:val="center"/>
              <w:rPr>
                <w:rFonts w:ascii="Calibri" w:hAnsi="Calibri" w:cs="Calibri"/>
                <w:sz w:val="16"/>
                <w:szCs w:val="16"/>
                <w:lang w:val="it-IT" w:eastAsia="it-IT"/>
              </w:rPr>
            </w:pPr>
            <w:r w:rsidRPr="001C114D">
              <w:rPr>
                <w:rFonts w:ascii="Calibri" w:hAnsi="Calibri" w:cs="Calibri"/>
                <w:sz w:val="16"/>
                <w:szCs w:val="16"/>
                <w:lang w:val="it-IT" w:eastAsia="it-IT"/>
              </w:rPr>
              <w:t>Gilead Sciences</w:t>
            </w:r>
          </w:p>
        </w:tc>
        <w:tc>
          <w:tcPr>
            <w:tcW w:w="1280" w:type="dxa"/>
            <w:tcBorders>
              <w:top w:val="nil"/>
              <w:left w:val="nil"/>
              <w:bottom w:val="single" w:sz="4" w:space="0" w:color="auto"/>
              <w:right w:val="single" w:sz="4" w:space="0" w:color="auto"/>
            </w:tcBorders>
            <w:shd w:val="clear" w:color="auto" w:fill="auto"/>
            <w:vAlign w:val="center"/>
            <w:hideMark/>
          </w:tcPr>
          <w:p w:rsidR="00A020ED" w:rsidRPr="001C114D" w:rsidRDefault="00A020ED" w:rsidP="00A020ED">
            <w:pPr>
              <w:suppressAutoHyphens w:val="0"/>
              <w:jc w:val="center"/>
              <w:rPr>
                <w:rFonts w:ascii="Calibri" w:hAnsi="Calibri" w:cs="Calibri"/>
                <w:sz w:val="16"/>
                <w:szCs w:val="16"/>
                <w:lang w:val="it-IT" w:eastAsia="it-IT"/>
              </w:rPr>
            </w:pPr>
            <w:r w:rsidRPr="001C114D">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1C114D" w:rsidRDefault="00A020ED" w:rsidP="00A020ED">
            <w:pPr>
              <w:suppressAutoHyphens w:val="0"/>
              <w:jc w:val="center"/>
              <w:rPr>
                <w:rFonts w:ascii="Calibri" w:hAnsi="Calibri" w:cs="Calibri"/>
                <w:sz w:val="16"/>
                <w:szCs w:val="16"/>
                <w:lang w:val="it-IT" w:eastAsia="it-IT"/>
              </w:rPr>
            </w:pPr>
            <w:r w:rsidRPr="001C114D">
              <w:rPr>
                <w:rFonts w:ascii="Calibri" w:hAnsi="Calibri" w:cs="Calibri"/>
                <w:sz w:val="16"/>
                <w:szCs w:val="16"/>
                <w:lang w:val="it-IT" w:eastAsia="it-IT"/>
              </w:rPr>
              <w:t>NCT01539512</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1C114D" w:rsidRDefault="00F85CBF"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177</w:t>
            </w:r>
          </w:p>
        </w:tc>
      </w:tr>
      <w:tr w:rsidR="00A020ED" w:rsidRPr="001C114D" w:rsidTr="00F85CBF">
        <w:trPr>
          <w:trHeight w:val="1125"/>
        </w:trPr>
        <w:tc>
          <w:tcPr>
            <w:tcW w:w="540" w:type="dxa"/>
            <w:tcBorders>
              <w:top w:val="nil"/>
              <w:left w:val="single" w:sz="4" w:space="0" w:color="auto"/>
              <w:bottom w:val="single" w:sz="4" w:space="0" w:color="auto"/>
              <w:right w:val="nil"/>
            </w:tcBorders>
            <w:shd w:val="clear" w:color="auto" w:fill="auto"/>
            <w:vAlign w:val="center"/>
            <w:hideMark/>
          </w:tcPr>
          <w:p w:rsidR="00A020ED" w:rsidRPr="001C114D" w:rsidRDefault="00A020ED" w:rsidP="00A020ED">
            <w:pPr>
              <w:suppressAutoHyphens w:val="0"/>
              <w:jc w:val="center"/>
              <w:rPr>
                <w:rFonts w:ascii="Calibri" w:hAnsi="Calibri" w:cs="Calibri"/>
                <w:sz w:val="16"/>
                <w:szCs w:val="16"/>
                <w:lang w:val="it-IT" w:eastAsia="it-IT"/>
              </w:rPr>
            </w:pPr>
            <w:r w:rsidRPr="001C114D">
              <w:rPr>
                <w:rFonts w:ascii="Calibri" w:hAnsi="Calibri" w:cs="Calibri"/>
                <w:sz w:val="16"/>
                <w:szCs w:val="16"/>
                <w:lang w:val="it-IT" w:eastAsia="it-IT"/>
              </w:rPr>
              <w:t>3</w:t>
            </w:r>
          </w:p>
        </w:tc>
        <w:tc>
          <w:tcPr>
            <w:tcW w:w="1420" w:type="dxa"/>
            <w:tcBorders>
              <w:top w:val="nil"/>
              <w:left w:val="single" w:sz="4" w:space="0" w:color="auto"/>
              <w:bottom w:val="single" w:sz="4" w:space="0" w:color="auto"/>
              <w:right w:val="single" w:sz="4" w:space="0" w:color="auto"/>
            </w:tcBorders>
            <w:shd w:val="clear" w:color="auto" w:fill="auto"/>
            <w:vAlign w:val="center"/>
            <w:hideMark/>
          </w:tcPr>
          <w:p w:rsidR="00A020ED" w:rsidRPr="001C114D" w:rsidRDefault="00A020ED" w:rsidP="00A020ED">
            <w:pPr>
              <w:suppressAutoHyphens w:val="0"/>
              <w:jc w:val="center"/>
              <w:rPr>
                <w:rFonts w:ascii="Calibri" w:hAnsi="Calibri" w:cs="Calibri"/>
                <w:sz w:val="16"/>
                <w:szCs w:val="16"/>
                <w:lang w:val="it-IT" w:eastAsia="it-IT"/>
              </w:rPr>
            </w:pPr>
            <w:r w:rsidRPr="001C114D">
              <w:rPr>
                <w:rFonts w:ascii="Calibri" w:hAnsi="Calibri" w:cs="Calibri"/>
                <w:sz w:val="16"/>
                <w:szCs w:val="16"/>
                <w:lang w:val="it-IT" w:eastAsia="it-IT"/>
              </w:rPr>
              <w:t xml:space="preserve">Combination of idelalisib with rituximab </w:t>
            </w:r>
          </w:p>
        </w:tc>
        <w:tc>
          <w:tcPr>
            <w:tcW w:w="1480" w:type="dxa"/>
            <w:tcBorders>
              <w:top w:val="nil"/>
              <w:left w:val="nil"/>
              <w:bottom w:val="single" w:sz="4" w:space="0" w:color="auto"/>
              <w:right w:val="single" w:sz="4" w:space="0" w:color="auto"/>
            </w:tcBorders>
            <w:shd w:val="clear" w:color="auto" w:fill="auto"/>
            <w:vAlign w:val="center"/>
            <w:hideMark/>
          </w:tcPr>
          <w:p w:rsidR="00A020ED" w:rsidRPr="001C114D" w:rsidRDefault="00A020ED" w:rsidP="00A020ED">
            <w:pPr>
              <w:suppressAutoHyphens w:val="0"/>
              <w:jc w:val="center"/>
              <w:rPr>
                <w:rFonts w:ascii="Calibri" w:hAnsi="Calibri" w:cs="Calibri"/>
                <w:sz w:val="16"/>
                <w:szCs w:val="16"/>
                <w:lang w:val="it-IT" w:eastAsia="it-IT"/>
              </w:rPr>
            </w:pPr>
            <w:r w:rsidRPr="001C114D">
              <w:rPr>
                <w:rFonts w:ascii="Calibri" w:hAnsi="Calibri" w:cs="Calibri"/>
                <w:sz w:val="16"/>
                <w:szCs w:val="16"/>
                <w:lang w:val="it-IT" w:eastAsia="it-IT"/>
              </w:rPr>
              <w:t xml:space="preserve">Relapsed chronic lymphocytic leukemia </w:t>
            </w:r>
          </w:p>
        </w:tc>
        <w:tc>
          <w:tcPr>
            <w:tcW w:w="2800" w:type="dxa"/>
            <w:tcBorders>
              <w:top w:val="nil"/>
              <w:left w:val="nil"/>
              <w:bottom w:val="single" w:sz="4" w:space="0" w:color="auto"/>
              <w:right w:val="single" w:sz="4" w:space="0" w:color="auto"/>
            </w:tcBorders>
            <w:shd w:val="clear" w:color="auto" w:fill="auto"/>
            <w:vAlign w:val="center"/>
            <w:hideMark/>
          </w:tcPr>
          <w:p w:rsidR="00A020ED" w:rsidRPr="001C114D" w:rsidRDefault="00A020ED" w:rsidP="00A020ED">
            <w:pPr>
              <w:suppressAutoHyphens w:val="0"/>
              <w:jc w:val="center"/>
              <w:rPr>
                <w:rFonts w:ascii="Calibri" w:hAnsi="Calibri" w:cs="Calibri"/>
                <w:sz w:val="16"/>
                <w:szCs w:val="16"/>
                <w:lang w:val="it-IT" w:eastAsia="it-IT"/>
              </w:rPr>
            </w:pPr>
            <w:r w:rsidRPr="001C114D">
              <w:rPr>
                <w:rFonts w:ascii="Calibri" w:hAnsi="Calibri" w:cs="Calibri"/>
                <w:sz w:val="16"/>
                <w:szCs w:val="16"/>
                <w:lang w:val="it-IT" w:eastAsia="it-IT"/>
              </w:rPr>
              <w:t>OS: 40.6 months, ORR: 83.6%, and PFS: 19.4 months with idelalisib + rituximab vs OS: 34.6 months, ORR: 15.5%, and PFS: 6.5 months with rituximab singularly</w:t>
            </w:r>
          </w:p>
        </w:tc>
        <w:tc>
          <w:tcPr>
            <w:tcW w:w="500" w:type="dxa"/>
            <w:tcBorders>
              <w:top w:val="nil"/>
              <w:left w:val="nil"/>
              <w:bottom w:val="single" w:sz="4" w:space="0" w:color="auto"/>
              <w:right w:val="single" w:sz="4" w:space="0" w:color="auto"/>
            </w:tcBorders>
            <w:shd w:val="clear" w:color="auto" w:fill="auto"/>
            <w:vAlign w:val="center"/>
            <w:hideMark/>
          </w:tcPr>
          <w:p w:rsidR="00A020ED" w:rsidRPr="001C114D" w:rsidRDefault="00A020ED" w:rsidP="00A020ED">
            <w:pPr>
              <w:suppressAutoHyphens w:val="0"/>
              <w:jc w:val="center"/>
              <w:rPr>
                <w:rFonts w:ascii="Calibri" w:hAnsi="Calibri" w:cs="Calibri"/>
                <w:sz w:val="16"/>
                <w:szCs w:val="16"/>
                <w:lang w:val="it-IT" w:eastAsia="it-IT"/>
              </w:rPr>
            </w:pPr>
            <w:r w:rsidRPr="001C114D">
              <w:rPr>
                <w:rFonts w:ascii="Calibri" w:hAnsi="Calibri" w:cs="Calibri"/>
                <w:sz w:val="16"/>
                <w:szCs w:val="16"/>
                <w:lang w:val="it-IT" w:eastAsia="it-IT"/>
              </w:rPr>
              <w:t>F</w:t>
            </w:r>
          </w:p>
        </w:tc>
        <w:tc>
          <w:tcPr>
            <w:tcW w:w="560" w:type="dxa"/>
            <w:tcBorders>
              <w:top w:val="nil"/>
              <w:left w:val="nil"/>
              <w:bottom w:val="single" w:sz="4" w:space="0" w:color="auto"/>
              <w:right w:val="single" w:sz="4" w:space="0" w:color="auto"/>
            </w:tcBorders>
            <w:shd w:val="clear" w:color="auto" w:fill="auto"/>
            <w:vAlign w:val="center"/>
            <w:hideMark/>
          </w:tcPr>
          <w:p w:rsidR="00A020ED" w:rsidRPr="001C114D" w:rsidRDefault="00A020ED" w:rsidP="00A020ED">
            <w:pPr>
              <w:suppressAutoHyphens w:val="0"/>
              <w:jc w:val="center"/>
              <w:rPr>
                <w:rFonts w:ascii="Calibri" w:hAnsi="Calibri" w:cs="Calibri"/>
                <w:sz w:val="16"/>
                <w:szCs w:val="16"/>
                <w:lang w:val="it-IT" w:eastAsia="it-IT"/>
              </w:rPr>
            </w:pPr>
            <w:r w:rsidRPr="001C114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1C114D" w:rsidRDefault="00A020ED" w:rsidP="00A020ED">
            <w:pPr>
              <w:suppressAutoHyphens w:val="0"/>
              <w:jc w:val="center"/>
              <w:rPr>
                <w:rFonts w:ascii="Calibri" w:hAnsi="Calibri" w:cs="Calibri"/>
                <w:sz w:val="16"/>
                <w:szCs w:val="16"/>
                <w:lang w:val="it-IT" w:eastAsia="it-IT"/>
              </w:rPr>
            </w:pPr>
            <w:r w:rsidRPr="001C114D">
              <w:rPr>
                <w:rFonts w:ascii="Calibri" w:hAnsi="Calibri" w:cs="Calibri"/>
                <w:sz w:val="16"/>
                <w:szCs w:val="16"/>
                <w:lang w:val="it-IT" w:eastAsia="it-IT"/>
              </w:rPr>
              <w:t>2012</w:t>
            </w:r>
          </w:p>
        </w:tc>
        <w:tc>
          <w:tcPr>
            <w:tcW w:w="500" w:type="dxa"/>
            <w:tcBorders>
              <w:top w:val="nil"/>
              <w:left w:val="nil"/>
              <w:bottom w:val="single" w:sz="4" w:space="0" w:color="auto"/>
              <w:right w:val="single" w:sz="4" w:space="0" w:color="auto"/>
            </w:tcBorders>
            <w:shd w:val="clear" w:color="auto" w:fill="auto"/>
            <w:vAlign w:val="center"/>
            <w:hideMark/>
          </w:tcPr>
          <w:p w:rsidR="00A020ED" w:rsidRPr="001C114D" w:rsidRDefault="00A020ED" w:rsidP="00A020ED">
            <w:pPr>
              <w:suppressAutoHyphens w:val="0"/>
              <w:jc w:val="center"/>
              <w:rPr>
                <w:rFonts w:ascii="Calibri" w:hAnsi="Calibri" w:cs="Calibri"/>
                <w:sz w:val="16"/>
                <w:szCs w:val="16"/>
                <w:lang w:val="it-IT" w:eastAsia="it-IT"/>
              </w:rPr>
            </w:pPr>
            <w:r w:rsidRPr="001C114D">
              <w:rPr>
                <w:rFonts w:ascii="Calibri" w:hAnsi="Calibri" w:cs="Calibri"/>
                <w:sz w:val="16"/>
                <w:szCs w:val="16"/>
                <w:lang w:val="it-IT" w:eastAsia="it-IT"/>
              </w:rPr>
              <w:t>2014</w:t>
            </w:r>
          </w:p>
        </w:tc>
        <w:tc>
          <w:tcPr>
            <w:tcW w:w="500" w:type="dxa"/>
            <w:tcBorders>
              <w:top w:val="nil"/>
              <w:left w:val="nil"/>
              <w:bottom w:val="single" w:sz="4" w:space="0" w:color="auto"/>
              <w:right w:val="single" w:sz="4" w:space="0" w:color="auto"/>
            </w:tcBorders>
            <w:shd w:val="clear" w:color="auto" w:fill="auto"/>
            <w:vAlign w:val="center"/>
            <w:hideMark/>
          </w:tcPr>
          <w:p w:rsidR="00A020ED" w:rsidRPr="001C114D" w:rsidRDefault="00A020ED" w:rsidP="00A020ED">
            <w:pPr>
              <w:suppressAutoHyphens w:val="0"/>
              <w:jc w:val="center"/>
              <w:rPr>
                <w:rFonts w:ascii="Calibri" w:hAnsi="Calibri" w:cs="Calibri"/>
                <w:sz w:val="16"/>
                <w:szCs w:val="16"/>
                <w:lang w:val="it-IT" w:eastAsia="it-IT"/>
              </w:rPr>
            </w:pPr>
            <w:r w:rsidRPr="001C114D">
              <w:rPr>
                <w:rFonts w:ascii="Calibri" w:hAnsi="Calibri" w:cs="Calibri"/>
                <w:sz w:val="16"/>
                <w:szCs w:val="16"/>
                <w:lang w:val="it-IT" w:eastAsia="it-IT"/>
              </w:rPr>
              <w:t>2019</w:t>
            </w:r>
          </w:p>
        </w:tc>
        <w:tc>
          <w:tcPr>
            <w:tcW w:w="1280" w:type="dxa"/>
            <w:tcBorders>
              <w:top w:val="nil"/>
              <w:left w:val="nil"/>
              <w:bottom w:val="single" w:sz="4" w:space="0" w:color="auto"/>
              <w:right w:val="single" w:sz="4" w:space="0" w:color="auto"/>
            </w:tcBorders>
            <w:shd w:val="clear" w:color="auto" w:fill="auto"/>
            <w:vAlign w:val="center"/>
            <w:hideMark/>
          </w:tcPr>
          <w:p w:rsidR="00A020ED" w:rsidRPr="001C114D" w:rsidRDefault="00A020ED" w:rsidP="00A020ED">
            <w:pPr>
              <w:suppressAutoHyphens w:val="0"/>
              <w:jc w:val="center"/>
              <w:rPr>
                <w:rFonts w:ascii="Calibri" w:hAnsi="Calibri" w:cs="Calibri"/>
                <w:sz w:val="16"/>
                <w:szCs w:val="16"/>
                <w:lang w:val="it-IT" w:eastAsia="it-IT"/>
              </w:rPr>
            </w:pPr>
            <w:r w:rsidRPr="001C114D">
              <w:rPr>
                <w:rFonts w:ascii="Calibri" w:hAnsi="Calibri" w:cs="Calibri"/>
                <w:sz w:val="16"/>
                <w:szCs w:val="16"/>
                <w:lang w:val="it-IT" w:eastAsia="it-IT"/>
              </w:rPr>
              <w:t>Gilead Sciences</w:t>
            </w:r>
          </w:p>
        </w:tc>
        <w:tc>
          <w:tcPr>
            <w:tcW w:w="1280" w:type="dxa"/>
            <w:tcBorders>
              <w:top w:val="nil"/>
              <w:left w:val="nil"/>
              <w:bottom w:val="single" w:sz="4" w:space="0" w:color="auto"/>
              <w:right w:val="single" w:sz="4" w:space="0" w:color="auto"/>
            </w:tcBorders>
            <w:shd w:val="clear" w:color="auto" w:fill="auto"/>
            <w:vAlign w:val="center"/>
            <w:hideMark/>
          </w:tcPr>
          <w:p w:rsidR="00A020ED" w:rsidRPr="001C114D" w:rsidRDefault="00A020ED" w:rsidP="00A020ED">
            <w:pPr>
              <w:suppressAutoHyphens w:val="0"/>
              <w:jc w:val="center"/>
              <w:rPr>
                <w:rFonts w:ascii="Calibri" w:hAnsi="Calibri" w:cs="Calibri"/>
                <w:sz w:val="16"/>
                <w:szCs w:val="16"/>
                <w:lang w:val="it-IT" w:eastAsia="it-IT"/>
              </w:rPr>
            </w:pPr>
            <w:r w:rsidRPr="001C114D">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1C114D" w:rsidRDefault="00A020ED" w:rsidP="00A020ED">
            <w:pPr>
              <w:suppressAutoHyphens w:val="0"/>
              <w:jc w:val="center"/>
              <w:rPr>
                <w:rFonts w:ascii="Calibri" w:hAnsi="Calibri" w:cs="Calibri"/>
                <w:sz w:val="16"/>
                <w:szCs w:val="16"/>
                <w:lang w:val="it-IT" w:eastAsia="it-IT"/>
              </w:rPr>
            </w:pPr>
            <w:r w:rsidRPr="001C114D">
              <w:rPr>
                <w:rFonts w:ascii="Calibri" w:hAnsi="Calibri" w:cs="Calibri"/>
                <w:sz w:val="16"/>
                <w:szCs w:val="16"/>
                <w:lang w:val="it-IT" w:eastAsia="it-IT"/>
              </w:rPr>
              <w:t>NCT01539512</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1C114D" w:rsidRDefault="00F85CBF"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178</w:t>
            </w:r>
          </w:p>
        </w:tc>
      </w:tr>
      <w:tr w:rsidR="00A020ED" w:rsidRPr="001C114D" w:rsidTr="00F85CBF">
        <w:trPr>
          <w:trHeight w:val="900"/>
        </w:trPr>
        <w:tc>
          <w:tcPr>
            <w:tcW w:w="540" w:type="dxa"/>
            <w:tcBorders>
              <w:top w:val="nil"/>
              <w:left w:val="single" w:sz="4" w:space="0" w:color="auto"/>
              <w:bottom w:val="single" w:sz="4" w:space="0" w:color="auto"/>
              <w:right w:val="nil"/>
            </w:tcBorders>
            <w:shd w:val="clear" w:color="auto" w:fill="auto"/>
            <w:vAlign w:val="center"/>
            <w:hideMark/>
          </w:tcPr>
          <w:p w:rsidR="00A020ED" w:rsidRPr="001C114D" w:rsidRDefault="00A020ED" w:rsidP="00A020ED">
            <w:pPr>
              <w:suppressAutoHyphens w:val="0"/>
              <w:jc w:val="center"/>
              <w:rPr>
                <w:rFonts w:ascii="Calibri" w:hAnsi="Calibri" w:cs="Calibri"/>
                <w:sz w:val="16"/>
                <w:szCs w:val="16"/>
                <w:lang w:val="it-IT" w:eastAsia="it-IT"/>
              </w:rPr>
            </w:pPr>
            <w:r w:rsidRPr="001C114D">
              <w:rPr>
                <w:rFonts w:ascii="Calibri" w:hAnsi="Calibri" w:cs="Calibri"/>
                <w:sz w:val="16"/>
                <w:szCs w:val="16"/>
                <w:lang w:val="it-IT" w:eastAsia="it-IT"/>
              </w:rPr>
              <w:t>3</w:t>
            </w:r>
          </w:p>
        </w:tc>
        <w:tc>
          <w:tcPr>
            <w:tcW w:w="1420" w:type="dxa"/>
            <w:tcBorders>
              <w:top w:val="nil"/>
              <w:left w:val="single" w:sz="4" w:space="0" w:color="auto"/>
              <w:bottom w:val="single" w:sz="4" w:space="0" w:color="auto"/>
              <w:right w:val="single" w:sz="4" w:space="0" w:color="auto"/>
            </w:tcBorders>
            <w:shd w:val="clear" w:color="auto" w:fill="auto"/>
            <w:vAlign w:val="center"/>
            <w:hideMark/>
          </w:tcPr>
          <w:p w:rsidR="00A020ED" w:rsidRPr="001C114D" w:rsidRDefault="00A020ED" w:rsidP="00A020ED">
            <w:pPr>
              <w:suppressAutoHyphens w:val="0"/>
              <w:jc w:val="center"/>
              <w:rPr>
                <w:rFonts w:ascii="Calibri" w:hAnsi="Calibri" w:cs="Calibri"/>
                <w:sz w:val="16"/>
                <w:szCs w:val="16"/>
                <w:lang w:val="it-IT" w:eastAsia="it-IT"/>
              </w:rPr>
            </w:pPr>
            <w:r w:rsidRPr="001C114D">
              <w:rPr>
                <w:rFonts w:ascii="Calibri" w:hAnsi="Calibri" w:cs="Calibri"/>
                <w:sz w:val="16"/>
                <w:szCs w:val="16"/>
                <w:lang w:val="it-IT" w:eastAsia="it-IT"/>
              </w:rPr>
              <w:t>Combination of idelalisib with rituximab</w:t>
            </w:r>
          </w:p>
        </w:tc>
        <w:tc>
          <w:tcPr>
            <w:tcW w:w="1480" w:type="dxa"/>
            <w:tcBorders>
              <w:top w:val="nil"/>
              <w:left w:val="nil"/>
              <w:bottom w:val="single" w:sz="4" w:space="0" w:color="auto"/>
              <w:right w:val="single" w:sz="4" w:space="0" w:color="auto"/>
            </w:tcBorders>
            <w:shd w:val="clear" w:color="auto" w:fill="auto"/>
            <w:vAlign w:val="center"/>
            <w:hideMark/>
          </w:tcPr>
          <w:p w:rsidR="00A020ED" w:rsidRPr="001C114D" w:rsidRDefault="00A020ED" w:rsidP="00A020ED">
            <w:pPr>
              <w:suppressAutoHyphens w:val="0"/>
              <w:jc w:val="center"/>
              <w:rPr>
                <w:rFonts w:ascii="Calibri" w:hAnsi="Calibri" w:cs="Calibri"/>
                <w:sz w:val="16"/>
                <w:szCs w:val="16"/>
                <w:lang w:val="it-IT" w:eastAsia="it-IT"/>
              </w:rPr>
            </w:pPr>
            <w:r w:rsidRPr="001C114D">
              <w:rPr>
                <w:rFonts w:ascii="Calibri" w:hAnsi="Calibri" w:cs="Calibri"/>
                <w:sz w:val="16"/>
                <w:szCs w:val="16"/>
                <w:lang w:val="it-IT" w:eastAsia="it-IT"/>
              </w:rPr>
              <w:t xml:space="preserve">Relapsed or refractory chronic lymphocytic leukemia </w:t>
            </w:r>
          </w:p>
        </w:tc>
        <w:tc>
          <w:tcPr>
            <w:tcW w:w="2800" w:type="dxa"/>
            <w:tcBorders>
              <w:top w:val="nil"/>
              <w:left w:val="nil"/>
              <w:bottom w:val="single" w:sz="4" w:space="0" w:color="auto"/>
              <w:right w:val="single" w:sz="4" w:space="0" w:color="auto"/>
            </w:tcBorders>
            <w:shd w:val="clear" w:color="auto" w:fill="auto"/>
            <w:vAlign w:val="center"/>
            <w:hideMark/>
          </w:tcPr>
          <w:p w:rsidR="00A020ED" w:rsidRPr="001C114D" w:rsidRDefault="00A020ED" w:rsidP="00A020ED">
            <w:pPr>
              <w:suppressAutoHyphens w:val="0"/>
              <w:jc w:val="center"/>
              <w:rPr>
                <w:rFonts w:ascii="Calibri" w:hAnsi="Calibri" w:cs="Calibri"/>
                <w:sz w:val="16"/>
                <w:szCs w:val="16"/>
                <w:lang w:val="it-IT" w:eastAsia="it-IT"/>
              </w:rPr>
            </w:pPr>
            <w:r w:rsidRPr="001C114D">
              <w:rPr>
                <w:rFonts w:ascii="Calibri" w:hAnsi="Calibri" w:cs="Calibri"/>
                <w:sz w:val="16"/>
                <w:szCs w:val="16"/>
                <w:lang w:val="it-IT" w:eastAsia="it-IT"/>
              </w:rPr>
              <w:t>PFS: 15.8 months, and estimated PFS (at 12 months): 68%.</w:t>
            </w:r>
          </w:p>
        </w:tc>
        <w:tc>
          <w:tcPr>
            <w:tcW w:w="500" w:type="dxa"/>
            <w:tcBorders>
              <w:top w:val="nil"/>
              <w:left w:val="nil"/>
              <w:bottom w:val="single" w:sz="4" w:space="0" w:color="auto"/>
              <w:right w:val="single" w:sz="4" w:space="0" w:color="auto"/>
            </w:tcBorders>
            <w:shd w:val="clear" w:color="auto" w:fill="auto"/>
            <w:vAlign w:val="center"/>
            <w:hideMark/>
          </w:tcPr>
          <w:p w:rsidR="00A020ED" w:rsidRPr="001C114D" w:rsidRDefault="00A020ED" w:rsidP="00A020ED">
            <w:pPr>
              <w:suppressAutoHyphens w:val="0"/>
              <w:jc w:val="center"/>
              <w:rPr>
                <w:rFonts w:ascii="Calibri" w:hAnsi="Calibri" w:cs="Calibri"/>
                <w:sz w:val="16"/>
                <w:szCs w:val="16"/>
                <w:lang w:val="it-IT" w:eastAsia="it-IT"/>
              </w:rPr>
            </w:pPr>
            <w:r w:rsidRPr="001C114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1C114D" w:rsidRDefault="00A020ED" w:rsidP="00A020ED">
            <w:pPr>
              <w:suppressAutoHyphens w:val="0"/>
              <w:jc w:val="center"/>
              <w:rPr>
                <w:rFonts w:ascii="Calibri" w:hAnsi="Calibri" w:cs="Calibri"/>
                <w:sz w:val="16"/>
                <w:szCs w:val="16"/>
                <w:lang w:val="it-IT" w:eastAsia="it-IT"/>
              </w:rPr>
            </w:pPr>
            <w:r w:rsidRPr="001C114D">
              <w:rPr>
                <w:rFonts w:ascii="Calibri" w:hAnsi="Calibri" w:cs="Calibri"/>
                <w:sz w:val="16"/>
                <w:szCs w:val="16"/>
                <w:lang w:val="it-IT" w:eastAsia="it-IT"/>
              </w:rPr>
              <w:t>A, NR</w:t>
            </w:r>
          </w:p>
        </w:tc>
        <w:tc>
          <w:tcPr>
            <w:tcW w:w="500" w:type="dxa"/>
            <w:tcBorders>
              <w:top w:val="nil"/>
              <w:left w:val="nil"/>
              <w:bottom w:val="single" w:sz="4" w:space="0" w:color="auto"/>
              <w:right w:val="single" w:sz="4" w:space="0" w:color="auto"/>
            </w:tcBorders>
            <w:shd w:val="clear" w:color="auto" w:fill="auto"/>
            <w:vAlign w:val="center"/>
            <w:hideMark/>
          </w:tcPr>
          <w:p w:rsidR="00A020ED" w:rsidRPr="001C114D" w:rsidRDefault="00A020ED" w:rsidP="00A020ED">
            <w:pPr>
              <w:suppressAutoHyphens w:val="0"/>
              <w:jc w:val="center"/>
              <w:rPr>
                <w:rFonts w:ascii="Calibri" w:hAnsi="Calibri" w:cs="Calibri"/>
                <w:sz w:val="16"/>
                <w:szCs w:val="16"/>
                <w:lang w:val="it-IT" w:eastAsia="it-IT"/>
              </w:rPr>
            </w:pPr>
            <w:r w:rsidRPr="001C114D">
              <w:rPr>
                <w:rFonts w:ascii="Calibri" w:hAnsi="Calibri" w:cs="Calibri"/>
                <w:sz w:val="16"/>
                <w:szCs w:val="16"/>
                <w:lang w:val="it-IT" w:eastAsia="it-IT"/>
              </w:rPr>
              <w:t>2016</w:t>
            </w:r>
          </w:p>
        </w:tc>
        <w:tc>
          <w:tcPr>
            <w:tcW w:w="500" w:type="dxa"/>
            <w:tcBorders>
              <w:top w:val="nil"/>
              <w:left w:val="nil"/>
              <w:bottom w:val="single" w:sz="4" w:space="0" w:color="auto"/>
              <w:right w:val="single" w:sz="4" w:space="0" w:color="auto"/>
            </w:tcBorders>
            <w:shd w:val="clear" w:color="auto" w:fill="auto"/>
            <w:vAlign w:val="center"/>
            <w:hideMark/>
          </w:tcPr>
          <w:p w:rsidR="00A020ED" w:rsidRPr="001C114D" w:rsidRDefault="00A020ED" w:rsidP="00A020ED">
            <w:pPr>
              <w:suppressAutoHyphens w:val="0"/>
              <w:jc w:val="center"/>
              <w:rPr>
                <w:rFonts w:ascii="Calibri" w:hAnsi="Calibri" w:cs="Calibri"/>
                <w:sz w:val="16"/>
                <w:szCs w:val="16"/>
                <w:lang w:val="it-IT" w:eastAsia="it-IT"/>
              </w:rPr>
            </w:pPr>
            <w:r w:rsidRPr="001C114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1C114D" w:rsidRDefault="00A020ED" w:rsidP="00A020ED">
            <w:pPr>
              <w:suppressAutoHyphens w:val="0"/>
              <w:jc w:val="center"/>
              <w:rPr>
                <w:rFonts w:ascii="Calibri" w:hAnsi="Calibri" w:cs="Calibri"/>
                <w:sz w:val="16"/>
                <w:szCs w:val="16"/>
                <w:lang w:val="it-IT" w:eastAsia="it-IT"/>
              </w:rPr>
            </w:pPr>
            <w:r w:rsidRPr="001C114D">
              <w:rPr>
                <w:rFonts w:ascii="Calibri" w:hAnsi="Calibri" w:cs="Calibri"/>
                <w:sz w:val="16"/>
                <w:szCs w:val="16"/>
                <w:lang w:val="it-IT" w:eastAsia="it-IT"/>
              </w:rPr>
              <w:t>2022</w:t>
            </w:r>
          </w:p>
        </w:tc>
        <w:tc>
          <w:tcPr>
            <w:tcW w:w="1280" w:type="dxa"/>
            <w:tcBorders>
              <w:top w:val="nil"/>
              <w:left w:val="nil"/>
              <w:bottom w:val="single" w:sz="4" w:space="0" w:color="auto"/>
              <w:right w:val="single" w:sz="4" w:space="0" w:color="auto"/>
            </w:tcBorders>
            <w:shd w:val="clear" w:color="auto" w:fill="auto"/>
            <w:vAlign w:val="center"/>
            <w:hideMark/>
          </w:tcPr>
          <w:p w:rsidR="00A020ED" w:rsidRPr="001C114D" w:rsidRDefault="00A020ED" w:rsidP="00A020ED">
            <w:pPr>
              <w:suppressAutoHyphens w:val="0"/>
              <w:jc w:val="center"/>
              <w:rPr>
                <w:rFonts w:ascii="Calibri" w:hAnsi="Calibri" w:cs="Calibri"/>
                <w:sz w:val="16"/>
                <w:szCs w:val="16"/>
                <w:lang w:val="it-IT" w:eastAsia="it-IT"/>
              </w:rPr>
            </w:pPr>
            <w:r w:rsidRPr="001C114D">
              <w:rPr>
                <w:rFonts w:ascii="Calibri" w:hAnsi="Calibri" w:cs="Calibri"/>
                <w:sz w:val="16"/>
                <w:szCs w:val="16"/>
                <w:lang w:val="it-IT" w:eastAsia="it-IT"/>
              </w:rPr>
              <w:t>Acerta Pharma BV</w:t>
            </w:r>
          </w:p>
        </w:tc>
        <w:tc>
          <w:tcPr>
            <w:tcW w:w="1280" w:type="dxa"/>
            <w:tcBorders>
              <w:top w:val="nil"/>
              <w:left w:val="nil"/>
              <w:bottom w:val="single" w:sz="4" w:space="0" w:color="auto"/>
              <w:right w:val="single" w:sz="4" w:space="0" w:color="auto"/>
            </w:tcBorders>
            <w:shd w:val="clear" w:color="auto" w:fill="auto"/>
            <w:vAlign w:val="center"/>
            <w:hideMark/>
          </w:tcPr>
          <w:p w:rsidR="00A020ED" w:rsidRPr="001C114D" w:rsidRDefault="00A020ED" w:rsidP="00A020ED">
            <w:pPr>
              <w:suppressAutoHyphens w:val="0"/>
              <w:jc w:val="center"/>
              <w:rPr>
                <w:rFonts w:ascii="Calibri" w:hAnsi="Calibri" w:cs="Calibri"/>
                <w:sz w:val="16"/>
                <w:szCs w:val="16"/>
                <w:lang w:val="it-IT" w:eastAsia="it-IT"/>
              </w:rPr>
            </w:pPr>
            <w:r w:rsidRPr="001C114D">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1C114D" w:rsidRDefault="00A020ED" w:rsidP="00A020ED">
            <w:pPr>
              <w:suppressAutoHyphens w:val="0"/>
              <w:jc w:val="center"/>
              <w:rPr>
                <w:rFonts w:ascii="Calibri" w:hAnsi="Calibri" w:cs="Calibri"/>
                <w:sz w:val="16"/>
                <w:szCs w:val="16"/>
                <w:lang w:val="it-IT" w:eastAsia="it-IT"/>
              </w:rPr>
            </w:pPr>
            <w:r w:rsidRPr="001C114D">
              <w:rPr>
                <w:rFonts w:ascii="Calibri" w:hAnsi="Calibri" w:cs="Calibri"/>
                <w:sz w:val="16"/>
                <w:szCs w:val="16"/>
                <w:lang w:val="it-IT" w:eastAsia="it-IT"/>
              </w:rPr>
              <w:t>NCT02970318</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1C114D" w:rsidRDefault="00F85CBF"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179</w:t>
            </w:r>
          </w:p>
        </w:tc>
      </w:tr>
      <w:tr w:rsidR="00A020ED" w:rsidRPr="00A020ED" w:rsidTr="00F85CBF">
        <w:trPr>
          <w:trHeight w:val="675"/>
        </w:trPr>
        <w:tc>
          <w:tcPr>
            <w:tcW w:w="540" w:type="dxa"/>
            <w:tcBorders>
              <w:top w:val="nil"/>
              <w:left w:val="single" w:sz="4" w:space="0" w:color="auto"/>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3</w:t>
            </w:r>
          </w:p>
        </w:tc>
        <w:tc>
          <w:tcPr>
            <w:tcW w:w="142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21D33">
              <w:rPr>
                <w:rFonts w:ascii="Calibri" w:hAnsi="Calibri" w:cs="Calibri"/>
                <w:sz w:val="16"/>
                <w:szCs w:val="16"/>
                <w:lang w:val="it-IT" w:eastAsia="it-IT"/>
              </w:rPr>
              <w:t xml:space="preserve">Combination of idelalisib with ofatumumab </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Relapsed chronic lymphocytic leukaemia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PFS: 16.3 months with idelalisib + ofatumumab vs PFS: 8 months with ofatumumab singularly</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2012</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2017</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2019</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Gilead Sciences</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 NCT01659021</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A020ED" w:rsidRDefault="00F85CBF"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180</w:t>
            </w:r>
          </w:p>
        </w:tc>
      </w:tr>
      <w:tr w:rsidR="00A020ED" w:rsidRPr="00A020ED" w:rsidTr="000B1AB4">
        <w:trPr>
          <w:trHeight w:val="1125"/>
        </w:trPr>
        <w:tc>
          <w:tcPr>
            <w:tcW w:w="540" w:type="dxa"/>
            <w:tcBorders>
              <w:top w:val="nil"/>
              <w:left w:val="single" w:sz="4" w:space="0" w:color="auto"/>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3</w:t>
            </w:r>
          </w:p>
        </w:tc>
        <w:tc>
          <w:tcPr>
            <w:tcW w:w="142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21D33">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Triple combination of idelalisib with </w:t>
            </w:r>
            <w:r w:rsidR="00A21D33" w:rsidRPr="00A020ED">
              <w:rPr>
                <w:rFonts w:ascii="Calibri" w:hAnsi="Calibri" w:cs="Calibri"/>
                <w:sz w:val="16"/>
                <w:szCs w:val="16"/>
                <w:lang w:val="it-IT" w:eastAsia="it-IT"/>
              </w:rPr>
              <w:t xml:space="preserve">rituximab </w:t>
            </w:r>
            <w:r w:rsidR="00A21D33">
              <w:rPr>
                <w:rFonts w:ascii="Calibri" w:hAnsi="Calibri" w:cs="Calibri"/>
                <w:sz w:val="16"/>
                <w:szCs w:val="16"/>
                <w:lang w:val="it-IT" w:eastAsia="it-IT"/>
              </w:rPr>
              <w:t>and bendamustine</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Relapsed or refra</w:t>
            </w:r>
            <w:r w:rsidR="00C436A5">
              <w:rPr>
                <w:rFonts w:ascii="Calibri" w:hAnsi="Calibri" w:cs="Calibri"/>
                <w:sz w:val="16"/>
                <w:szCs w:val="16"/>
                <w:lang w:val="it-IT" w:eastAsia="it-IT"/>
              </w:rPr>
              <w:t>ctory chronic lymphocytic leuke</w:t>
            </w:r>
            <w:r w:rsidRPr="00A020ED">
              <w:rPr>
                <w:rFonts w:ascii="Calibri" w:hAnsi="Calibri" w:cs="Calibri"/>
                <w:sz w:val="16"/>
                <w:szCs w:val="16"/>
                <w:lang w:val="it-IT" w:eastAsia="it-IT"/>
              </w:rPr>
              <w:t xml:space="preserve">mia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PFS: 20.8 months, and ORR: 58% with triple combination</w:t>
            </w:r>
            <w:r w:rsidR="00C261A9">
              <w:rPr>
                <w:rFonts w:ascii="Calibri" w:hAnsi="Calibri" w:cs="Calibri"/>
                <w:sz w:val="16"/>
                <w:szCs w:val="16"/>
                <w:lang w:val="it-IT" w:eastAsia="it-IT"/>
              </w:rPr>
              <w:t xml:space="preserve"> vs PFS: 11.1 months, and ORR: </w:t>
            </w:r>
            <w:r w:rsidRPr="00A020ED">
              <w:rPr>
                <w:rFonts w:ascii="Calibri" w:hAnsi="Calibri" w:cs="Calibri"/>
                <w:sz w:val="16"/>
                <w:szCs w:val="16"/>
                <w:lang w:val="it-IT" w:eastAsia="it-IT"/>
              </w:rPr>
              <w:t xml:space="preserve">23% with placebo + bendamustine + rituximab </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2012</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2018</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2020</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Gilead Sciences</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NCT01569295</w:t>
            </w:r>
          </w:p>
        </w:tc>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A020ED" w:rsidRPr="00A020ED" w:rsidRDefault="00F85CBF"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181</w:t>
            </w:r>
          </w:p>
        </w:tc>
      </w:tr>
      <w:tr w:rsidR="00A020ED" w:rsidRPr="00A020ED" w:rsidTr="000B1AB4">
        <w:trPr>
          <w:trHeight w:val="67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lastRenderedPageBreak/>
              <w:t>N/A</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Combination of idelalisib with rituximab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Chronic lymphocytic leukaemia </w:t>
            </w:r>
          </w:p>
        </w:tc>
        <w:tc>
          <w:tcPr>
            <w:tcW w:w="28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ORR: 88.2%; event-free survival: 20.3 months; 3-year OS: 56.1% </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2018</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2019</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Gilead Sciences</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single" w:sz="4" w:space="0" w:color="auto"/>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NCT03582098</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20ED" w:rsidRPr="00A020ED" w:rsidRDefault="00F85CBF"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182</w:t>
            </w:r>
          </w:p>
        </w:tc>
      </w:tr>
      <w:tr w:rsidR="00A020ED" w:rsidRPr="00A020ED" w:rsidTr="00A020ED">
        <w:trPr>
          <w:trHeight w:val="255"/>
        </w:trPr>
        <w:tc>
          <w:tcPr>
            <w:tcW w:w="13060" w:type="dxa"/>
            <w:gridSpan w:val="13"/>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A020ED" w:rsidRPr="00A020ED" w:rsidRDefault="00A020ED" w:rsidP="00A020ED">
            <w:pPr>
              <w:suppressAutoHyphens w:val="0"/>
              <w:jc w:val="center"/>
              <w:rPr>
                <w:rFonts w:ascii="Calibri" w:hAnsi="Calibri" w:cs="Calibri"/>
                <w:b/>
                <w:bCs/>
                <w:sz w:val="20"/>
                <w:szCs w:val="20"/>
                <w:lang w:val="it-IT" w:eastAsia="it-IT"/>
              </w:rPr>
            </w:pPr>
            <w:r w:rsidRPr="00A020ED">
              <w:rPr>
                <w:rFonts w:ascii="Calibri" w:hAnsi="Calibri" w:cs="Calibri"/>
                <w:b/>
                <w:bCs/>
                <w:sz w:val="20"/>
                <w:szCs w:val="20"/>
                <w:lang w:val="it-IT" w:eastAsia="it-IT"/>
              </w:rPr>
              <w:t xml:space="preserve">Linperlisib </w:t>
            </w:r>
            <w:r w:rsidRPr="00A020ED">
              <w:rPr>
                <w:rFonts w:ascii="Calibri" w:hAnsi="Calibri" w:cs="Calibri"/>
                <w:sz w:val="20"/>
                <w:szCs w:val="20"/>
                <w:lang w:val="it-IT" w:eastAsia="it-IT"/>
              </w:rPr>
              <w:t>(YY-20394, PI3Kδ-IN-2) [PI3Kδ Inhibitor]</w:t>
            </w:r>
          </w:p>
        </w:tc>
      </w:tr>
      <w:tr w:rsidR="00A020ED" w:rsidRPr="00A020ED" w:rsidTr="00A020ED">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Phase</w:t>
            </w:r>
          </w:p>
        </w:tc>
        <w:tc>
          <w:tcPr>
            <w:tcW w:w="142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Treatment</w:t>
            </w:r>
          </w:p>
        </w:tc>
        <w:tc>
          <w:tcPr>
            <w:tcW w:w="148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Disease</w:t>
            </w:r>
          </w:p>
        </w:tc>
        <w:tc>
          <w:tcPr>
            <w:tcW w:w="28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Outcome</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ISP</w:t>
            </w:r>
          </w:p>
        </w:tc>
        <w:tc>
          <w:tcPr>
            <w:tcW w:w="56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Status</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FP</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RFP</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LUP</w:t>
            </w:r>
          </w:p>
        </w:tc>
        <w:tc>
          <w:tcPr>
            <w:tcW w:w="1280" w:type="dxa"/>
            <w:tcBorders>
              <w:top w:val="nil"/>
              <w:left w:val="nil"/>
              <w:bottom w:val="nil"/>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Sponsor</w:t>
            </w:r>
          </w:p>
        </w:tc>
        <w:tc>
          <w:tcPr>
            <w:tcW w:w="1280" w:type="dxa"/>
            <w:tcBorders>
              <w:top w:val="nil"/>
              <w:left w:val="nil"/>
              <w:bottom w:val="nil"/>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Collaborator</w:t>
            </w:r>
          </w:p>
        </w:tc>
        <w:tc>
          <w:tcPr>
            <w:tcW w:w="122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NCT Identifier</w:t>
            </w:r>
          </w:p>
        </w:tc>
        <w:tc>
          <w:tcPr>
            <w:tcW w:w="48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color w:val="000000"/>
                <w:sz w:val="18"/>
                <w:szCs w:val="18"/>
                <w:lang w:val="it-IT" w:eastAsia="it-IT"/>
              </w:rPr>
            </w:pPr>
            <w:r w:rsidRPr="00A020ED">
              <w:rPr>
                <w:rFonts w:ascii="Calibri" w:hAnsi="Calibri" w:cs="Calibri"/>
                <w:b/>
                <w:bCs/>
                <w:color w:val="000000"/>
                <w:sz w:val="18"/>
                <w:szCs w:val="18"/>
                <w:lang w:val="it-IT" w:eastAsia="it-IT"/>
              </w:rPr>
              <w:t>R</w:t>
            </w:r>
          </w:p>
        </w:tc>
      </w:tr>
      <w:tr w:rsidR="00A020ED" w:rsidRPr="00A020ED" w:rsidTr="00A020ED">
        <w:trPr>
          <w:trHeight w:val="67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Linperlisib</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B-cell hematologic malignancies</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 ORR: 64.0%, CR: 20%,</w:t>
            </w:r>
            <w:r w:rsidR="000B1AB4">
              <w:rPr>
                <w:rFonts w:ascii="Calibri" w:hAnsi="Calibri" w:cs="Calibri"/>
                <w:sz w:val="16"/>
                <w:szCs w:val="16"/>
                <w:lang w:val="it-IT" w:eastAsia="it-IT"/>
              </w:rPr>
              <w:t xml:space="preserve"> PR: 44%, SD: 8%, and DCR: 72</w:t>
            </w:r>
            <w:r w:rsidR="00C261A9">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U</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2018</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2018</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Shanghai YingLi Pharmaceutical Co., Ltd</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NCT03757000</w:t>
            </w:r>
          </w:p>
        </w:tc>
        <w:tc>
          <w:tcPr>
            <w:tcW w:w="480" w:type="dxa"/>
            <w:tcBorders>
              <w:top w:val="nil"/>
              <w:left w:val="nil"/>
              <w:bottom w:val="single" w:sz="4" w:space="0" w:color="auto"/>
              <w:right w:val="single" w:sz="4" w:space="0" w:color="auto"/>
            </w:tcBorders>
            <w:shd w:val="clear" w:color="auto" w:fill="auto"/>
            <w:noWrap/>
            <w:vAlign w:val="center"/>
            <w:hideMark/>
          </w:tcPr>
          <w:p w:rsidR="00A020ED" w:rsidRPr="00A020ED" w:rsidRDefault="00CE41A3"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183</w:t>
            </w:r>
          </w:p>
        </w:tc>
      </w:tr>
      <w:tr w:rsidR="00A020ED" w:rsidRPr="00A020ED" w:rsidTr="00A020ED">
        <w:trPr>
          <w:trHeight w:val="9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1b</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Linperlisib</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Relapsed or refractory peripheral T-cell lymphoma</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ORR: 70.4%, CR: 25.9%, and PR: 44.4%. DCR: 100%</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 R</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2019</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2021</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Shanghai YingLi Pharmaceutical Co., Ltd</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NCT04108325</w:t>
            </w:r>
          </w:p>
        </w:tc>
        <w:tc>
          <w:tcPr>
            <w:tcW w:w="480" w:type="dxa"/>
            <w:tcBorders>
              <w:top w:val="nil"/>
              <w:left w:val="nil"/>
              <w:bottom w:val="single" w:sz="4" w:space="0" w:color="auto"/>
              <w:right w:val="single" w:sz="4" w:space="0" w:color="auto"/>
            </w:tcBorders>
            <w:shd w:val="clear" w:color="auto" w:fill="auto"/>
            <w:noWrap/>
            <w:vAlign w:val="center"/>
            <w:hideMark/>
          </w:tcPr>
          <w:p w:rsidR="00A020ED" w:rsidRPr="00A020ED" w:rsidRDefault="00CE41A3"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184</w:t>
            </w:r>
          </w:p>
        </w:tc>
      </w:tr>
      <w:tr w:rsidR="00A020ED" w:rsidRPr="00A020ED" w:rsidTr="00A020ED">
        <w:trPr>
          <w:trHeight w:val="255"/>
        </w:trPr>
        <w:tc>
          <w:tcPr>
            <w:tcW w:w="13060" w:type="dxa"/>
            <w:gridSpan w:val="13"/>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A020ED" w:rsidRPr="00A020ED" w:rsidRDefault="00A020ED" w:rsidP="00A020ED">
            <w:pPr>
              <w:suppressAutoHyphens w:val="0"/>
              <w:jc w:val="center"/>
              <w:rPr>
                <w:rFonts w:ascii="Calibri" w:hAnsi="Calibri" w:cs="Calibri"/>
                <w:b/>
                <w:bCs/>
                <w:sz w:val="20"/>
                <w:szCs w:val="20"/>
                <w:lang w:val="it-IT" w:eastAsia="it-IT"/>
              </w:rPr>
            </w:pPr>
            <w:r w:rsidRPr="00A020ED">
              <w:rPr>
                <w:rFonts w:ascii="Calibri" w:hAnsi="Calibri" w:cs="Calibri"/>
                <w:b/>
                <w:bCs/>
                <w:sz w:val="20"/>
                <w:szCs w:val="20"/>
                <w:lang w:val="it-IT" w:eastAsia="it-IT"/>
              </w:rPr>
              <w:t xml:space="preserve">Parsaclisib </w:t>
            </w:r>
            <w:r w:rsidRPr="00A020ED">
              <w:rPr>
                <w:rFonts w:ascii="Calibri" w:hAnsi="Calibri" w:cs="Calibri"/>
                <w:sz w:val="20"/>
                <w:szCs w:val="20"/>
                <w:lang w:val="it-IT" w:eastAsia="it-IT"/>
              </w:rPr>
              <w:t>(INCB050465, IBI-376) [PI3Kδ Inhibitor]</w:t>
            </w:r>
          </w:p>
        </w:tc>
      </w:tr>
      <w:tr w:rsidR="00A020ED" w:rsidRPr="00A020ED" w:rsidTr="00A020ED">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Phase</w:t>
            </w:r>
          </w:p>
        </w:tc>
        <w:tc>
          <w:tcPr>
            <w:tcW w:w="142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Treatment</w:t>
            </w:r>
          </w:p>
        </w:tc>
        <w:tc>
          <w:tcPr>
            <w:tcW w:w="148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Disease</w:t>
            </w:r>
          </w:p>
        </w:tc>
        <w:tc>
          <w:tcPr>
            <w:tcW w:w="28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Outcome</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ISP</w:t>
            </w:r>
          </w:p>
        </w:tc>
        <w:tc>
          <w:tcPr>
            <w:tcW w:w="56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Status</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FP</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RFP</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LUP</w:t>
            </w:r>
          </w:p>
        </w:tc>
        <w:tc>
          <w:tcPr>
            <w:tcW w:w="1280" w:type="dxa"/>
            <w:tcBorders>
              <w:top w:val="nil"/>
              <w:left w:val="nil"/>
              <w:bottom w:val="nil"/>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Sponsor</w:t>
            </w:r>
          </w:p>
        </w:tc>
        <w:tc>
          <w:tcPr>
            <w:tcW w:w="1280" w:type="dxa"/>
            <w:tcBorders>
              <w:top w:val="nil"/>
              <w:left w:val="nil"/>
              <w:bottom w:val="nil"/>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Collaborator</w:t>
            </w:r>
          </w:p>
        </w:tc>
        <w:tc>
          <w:tcPr>
            <w:tcW w:w="122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NCT Identifier</w:t>
            </w:r>
          </w:p>
        </w:tc>
        <w:tc>
          <w:tcPr>
            <w:tcW w:w="48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color w:val="000000"/>
                <w:sz w:val="18"/>
                <w:szCs w:val="18"/>
                <w:lang w:val="it-IT" w:eastAsia="it-IT"/>
              </w:rPr>
            </w:pPr>
            <w:r w:rsidRPr="00A020ED">
              <w:rPr>
                <w:rFonts w:ascii="Calibri" w:hAnsi="Calibri" w:cs="Calibri"/>
                <w:b/>
                <w:bCs/>
                <w:color w:val="000000"/>
                <w:sz w:val="18"/>
                <w:szCs w:val="18"/>
                <w:lang w:val="it-IT" w:eastAsia="it-IT"/>
              </w:rPr>
              <w:t>R</w:t>
            </w:r>
          </w:p>
        </w:tc>
      </w:tr>
      <w:tr w:rsidR="00A020ED" w:rsidRPr="00A020ED" w:rsidTr="0093652B">
        <w:trPr>
          <w:trHeight w:val="67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 Combination of parsaclisib with itacitinib</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Advanced solid tumor</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ORR: 7.1%, and SD: 26.2%. DOR: 6.3 months, and PFS: 2.1 months</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2015</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2019</w:t>
            </w:r>
          </w:p>
        </w:tc>
        <w:tc>
          <w:tcPr>
            <w:tcW w:w="1280" w:type="dxa"/>
            <w:tcBorders>
              <w:top w:val="single" w:sz="4" w:space="0" w:color="auto"/>
              <w:left w:val="nil"/>
              <w:bottom w:val="nil"/>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Incyte Corporation</w:t>
            </w:r>
          </w:p>
        </w:tc>
        <w:tc>
          <w:tcPr>
            <w:tcW w:w="1280" w:type="dxa"/>
            <w:tcBorders>
              <w:top w:val="single" w:sz="4" w:space="0" w:color="auto"/>
              <w:left w:val="nil"/>
              <w:bottom w:val="nil"/>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NCT02559492</w:t>
            </w:r>
          </w:p>
        </w:tc>
        <w:tc>
          <w:tcPr>
            <w:tcW w:w="480" w:type="dxa"/>
            <w:tcBorders>
              <w:top w:val="nil"/>
              <w:left w:val="single" w:sz="4" w:space="0" w:color="auto"/>
              <w:bottom w:val="single" w:sz="4" w:space="0" w:color="auto"/>
              <w:right w:val="single" w:sz="4" w:space="0" w:color="auto"/>
            </w:tcBorders>
            <w:shd w:val="clear" w:color="auto" w:fill="auto"/>
            <w:vAlign w:val="center"/>
          </w:tcPr>
          <w:p w:rsidR="00A020ED" w:rsidRPr="00A020ED" w:rsidRDefault="00E15644" w:rsidP="00A020ED">
            <w:pPr>
              <w:suppressAutoHyphens w:val="0"/>
              <w:jc w:val="center"/>
              <w:rPr>
                <w:rFonts w:ascii="Calibri" w:hAnsi="Calibri" w:cs="Calibri"/>
                <w:color w:val="000000"/>
                <w:sz w:val="16"/>
                <w:szCs w:val="16"/>
                <w:lang w:val="it-IT" w:eastAsia="it-IT"/>
              </w:rPr>
            </w:pPr>
            <w:r>
              <w:rPr>
                <w:rFonts w:ascii="Calibri" w:hAnsi="Calibri" w:cs="Calibri"/>
                <w:color w:val="000000"/>
                <w:sz w:val="16"/>
                <w:szCs w:val="16"/>
                <w:lang w:val="it-IT" w:eastAsia="it-IT"/>
              </w:rPr>
              <w:t>189</w:t>
            </w:r>
          </w:p>
        </w:tc>
      </w:tr>
      <w:tr w:rsidR="00A020ED" w:rsidRPr="00A020ED" w:rsidTr="0093652B">
        <w:trPr>
          <w:trHeight w:val="9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1b</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Parsaclisib</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Relapsed or refractory B-cell lymphoma</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ORR: 100% in follicular lymphoma and marginal zone lymphoma. ORR: 16.7% in diffuse large B-cell lymphoma</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 NR</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2017</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2022</w:t>
            </w:r>
          </w:p>
        </w:tc>
        <w:tc>
          <w:tcPr>
            <w:tcW w:w="1280" w:type="dxa"/>
            <w:tcBorders>
              <w:top w:val="single" w:sz="4" w:space="0" w:color="auto"/>
              <w:left w:val="nil"/>
              <w:bottom w:val="nil"/>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Incyte Corporation</w:t>
            </w:r>
          </w:p>
        </w:tc>
        <w:tc>
          <w:tcPr>
            <w:tcW w:w="1280" w:type="dxa"/>
            <w:tcBorders>
              <w:top w:val="single" w:sz="4" w:space="0" w:color="auto"/>
              <w:left w:val="nil"/>
              <w:bottom w:val="nil"/>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NCT03314922</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A020ED" w:rsidRDefault="00E15644" w:rsidP="00A020ED">
            <w:pPr>
              <w:suppressAutoHyphens w:val="0"/>
              <w:jc w:val="center"/>
              <w:rPr>
                <w:rFonts w:ascii="Calibri" w:hAnsi="Calibri" w:cs="Calibri"/>
                <w:color w:val="000000"/>
                <w:sz w:val="16"/>
                <w:szCs w:val="16"/>
                <w:lang w:val="it-IT" w:eastAsia="it-IT"/>
              </w:rPr>
            </w:pPr>
            <w:r>
              <w:rPr>
                <w:rFonts w:ascii="Calibri" w:hAnsi="Calibri" w:cs="Calibri"/>
                <w:color w:val="000000"/>
                <w:sz w:val="16"/>
                <w:szCs w:val="16"/>
                <w:lang w:val="it-IT" w:eastAsia="it-IT"/>
              </w:rPr>
              <w:t>190</w:t>
            </w:r>
          </w:p>
        </w:tc>
      </w:tr>
      <w:tr w:rsidR="00A020ED" w:rsidRPr="00A020ED" w:rsidTr="0093652B">
        <w:trPr>
          <w:trHeight w:val="9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1, 2</w:t>
            </w:r>
          </w:p>
        </w:tc>
        <w:tc>
          <w:tcPr>
            <w:tcW w:w="1420" w:type="dxa"/>
            <w:tcBorders>
              <w:top w:val="nil"/>
              <w:left w:val="nil"/>
              <w:bottom w:val="single" w:sz="4" w:space="0" w:color="auto"/>
              <w:right w:val="single" w:sz="4" w:space="0" w:color="auto"/>
            </w:tcBorders>
            <w:shd w:val="clear" w:color="auto" w:fill="auto"/>
            <w:vAlign w:val="center"/>
            <w:hideMark/>
          </w:tcPr>
          <w:p w:rsidR="00A020ED" w:rsidRPr="00B346A7" w:rsidRDefault="00A020ED" w:rsidP="00A020ED">
            <w:pPr>
              <w:suppressAutoHyphens w:val="0"/>
              <w:jc w:val="center"/>
              <w:rPr>
                <w:rFonts w:ascii="Calibri" w:hAnsi="Calibri" w:cs="Calibri"/>
                <w:sz w:val="16"/>
                <w:szCs w:val="16"/>
                <w:lang w:val="it-IT" w:eastAsia="it-IT"/>
              </w:rPr>
            </w:pPr>
            <w:r w:rsidRPr="00B346A7">
              <w:rPr>
                <w:rFonts w:ascii="Calibri" w:hAnsi="Calibri" w:cs="Calibri"/>
                <w:sz w:val="16"/>
                <w:szCs w:val="16"/>
                <w:lang w:val="it-IT" w:eastAsia="it-IT"/>
              </w:rPr>
              <w:t>Parsaclisib</w:t>
            </w:r>
          </w:p>
        </w:tc>
        <w:tc>
          <w:tcPr>
            <w:tcW w:w="1480" w:type="dxa"/>
            <w:tcBorders>
              <w:top w:val="nil"/>
              <w:left w:val="nil"/>
              <w:bottom w:val="single" w:sz="4" w:space="0" w:color="auto"/>
              <w:right w:val="single" w:sz="4" w:space="0" w:color="auto"/>
            </w:tcBorders>
            <w:shd w:val="clear" w:color="auto" w:fill="auto"/>
            <w:vAlign w:val="center"/>
            <w:hideMark/>
          </w:tcPr>
          <w:p w:rsidR="00A020ED" w:rsidRPr="00B346A7" w:rsidRDefault="00A020ED" w:rsidP="00A020ED">
            <w:pPr>
              <w:suppressAutoHyphens w:val="0"/>
              <w:jc w:val="center"/>
              <w:rPr>
                <w:rFonts w:ascii="Calibri" w:hAnsi="Calibri" w:cs="Calibri"/>
                <w:sz w:val="16"/>
                <w:szCs w:val="16"/>
                <w:lang w:val="it-IT" w:eastAsia="it-IT"/>
              </w:rPr>
            </w:pPr>
            <w:r w:rsidRPr="00B346A7">
              <w:rPr>
                <w:rFonts w:ascii="Calibri" w:hAnsi="Calibri" w:cs="Calibri"/>
                <w:sz w:val="16"/>
                <w:szCs w:val="16"/>
                <w:lang w:val="it-IT" w:eastAsia="it-IT"/>
              </w:rPr>
              <w:t xml:space="preserve">Relapsed or refractory B-cell non-Hodgkin lymphoma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ORR: 78% (marginal zone lymphoma). ORR: 71% (follicular lymphoma). ORR: 67% (mantle cell lymphoma). ORR: 30% (diffuse large B-cell lymphoma)</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2013</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2022</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Incyte Corporation</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NCT02018861</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A020ED" w:rsidRDefault="00E15644" w:rsidP="00A020ED">
            <w:pPr>
              <w:suppressAutoHyphens w:val="0"/>
              <w:jc w:val="center"/>
              <w:rPr>
                <w:rFonts w:ascii="Calibri" w:hAnsi="Calibri" w:cs="Calibri"/>
                <w:color w:val="000000"/>
                <w:sz w:val="16"/>
                <w:szCs w:val="16"/>
                <w:lang w:val="it-IT" w:eastAsia="it-IT"/>
              </w:rPr>
            </w:pPr>
            <w:r>
              <w:rPr>
                <w:rFonts w:ascii="Calibri" w:hAnsi="Calibri" w:cs="Calibri"/>
                <w:color w:val="000000"/>
                <w:sz w:val="16"/>
                <w:szCs w:val="16"/>
                <w:lang w:val="it-IT" w:eastAsia="it-IT"/>
              </w:rPr>
              <w:t>191</w:t>
            </w:r>
          </w:p>
        </w:tc>
      </w:tr>
      <w:tr w:rsidR="00A020ED" w:rsidRPr="00A020ED" w:rsidTr="0093652B">
        <w:trPr>
          <w:trHeight w:val="9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w:t>
            </w:r>
          </w:p>
        </w:tc>
        <w:tc>
          <w:tcPr>
            <w:tcW w:w="1420" w:type="dxa"/>
            <w:tcBorders>
              <w:top w:val="nil"/>
              <w:left w:val="nil"/>
              <w:bottom w:val="single" w:sz="4" w:space="0" w:color="auto"/>
              <w:right w:val="single" w:sz="4" w:space="0" w:color="auto"/>
            </w:tcBorders>
            <w:shd w:val="clear" w:color="auto" w:fill="auto"/>
            <w:vAlign w:val="center"/>
            <w:hideMark/>
          </w:tcPr>
          <w:p w:rsidR="00A020ED" w:rsidRPr="00B346A7" w:rsidRDefault="00A020ED" w:rsidP="00A020ED">
            <w:pPr>
              <w:suppressAutoHyphens w:val="0"/>
              <w:jc w:val="center"/>
              <w:rPr>
                <w:rFonts w:ascii="Calibri" w:hAnsi="Calibri" w:cs="Calibri"/>
                <w:sz w:val="16"/>
                <w:szCs w:val="16"/>
                <w:lang w:val="it-IT" w:eastAsia="it-IT"/>
              </w:rPr>
            </w:pPr>
            <w:r w:rsidRPr="00B346A7">
              <w:rPr>
                <w:rFonts w:ascii="Calibri" w:hAnsi="Calibri" w:cs="Calibri"/>
                <w:sz w:val="16"/>
                <w:szCs w:val="16"/>
                <w:lang w:val="it-IT" w:eastAsia="it-IT"/>
              </w:rPr>
              <w:t>Parsaclisib</w:t>
            </w:r>
          </w:p>
        </w:tc>
        <w:tc>
          <w:tcPr>
            <w:tcW w:w="1480" w:type="dxa"/>
            <w:tcBorders>
              <w:top w:val="nil"/>
              <w:left w:val="nil"/>
              <w:bottom w:val="single" w:sz="4" w:space="0" w:color="auto"/>
              <w:right w:val="single" w:sz="4" w:space="0" w:color="auto"/>
            </w:tcBorders>
            <w:shd w:val="clear" w:color="auto" w:fill="auto"/>
            <w:vAlign w:val="center"/>
            <w:hideMark/>
          </w:tcPr>
          <w:p w:rsidR="00A020ED" w:rsidRPr="00B346A7" w:rsidRDefault="00A020ED" w:rsidP="00A020ED">
            <w:pPr>
              <w:suppressAutoHyphens w:val="0"/>
              <w:jc w:val="center"/>
              <w:rPr>
                <w:rFonts w:ascii="Calibri" w:hAnsi="Calibri" w:cs="Calibri"/>
                <w:sz w:val="16"/>
                <w:szCs w:val="16"/>
                <w:lang w:val="it-IT" w:eastAsia="it-IT"/>
              </w:rPr>
            </w:pPr>
            <w:r w:rsidRPr="00B346A7">
              <w:rPr>
                <w:rFonts w:ascii="Calibri" w:hAnsi="Calibri" w:cs="Calibri"/>
                <w:sz w:val="16"/>
                <w:szCs w:val="16"/>
                <w:lang w:val="it-IT" w:eastAsia="it-IT"/>
              </w:rPr>
              <w:t xml:space="preserve">Relapsed or refractory diffuse large B-cell lymphoma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ORR: 25.5% (BTK inhibitor naïve cancer). ORR: 20% (BTK inhibitor-pretreated cancer)</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2016</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2020</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2021</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Incyte Corporation</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NCT02998476</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A020ED" w:rsidRDefault="00E15644" w:rsidP="00A020ED">
            <w:pPr>
              <w:suppressAutoHyphens w:val="0"/>
              <w:jc w:val="center"/>
              <w:rPr>
                <w:rFonts w:ascii="Calibri" w:hAnsi="Calibri" w:cs="Calibri"/>
                <w:color w:val="000000"/>
                <w:sz w:val="16"/>
                <w:szCs w:val="16"/>
                <w:lang w:val="it-IT" w:eastAsia="it-IT"/>
              </w:rPr>
            </w:pPr>
            <w:r>
              <w:rPr>
                <w:rFonts w:ascii="Calibri" w:hAnsi="Calibri" w:cs="Calibri"/>
                <w:color w:val="000000"/>
                <w:sz w:val="16"/>
                <w:szCs w:val="16"/>
                <w:lang w:val="it-IT" w:eastAsia="it-IT"/>
              </w:rPr>
              <w:t>192</w:t>
            </w:r>
          </w:p>
        </w:tc>
      </w:tr>
      <w:tr w:rsidR="00A020ED" w:rsidRPr="00A020ED" w:rsidTr="00A020ED">
        <w:trPr>
          <w:trHeight w:val="255"/>
        </w:trPr>
        <w:tc>
          <w:tcPr>
            <w:tcW w:w="13060" w:type="dxa"/>
            <w:gridSpan w:val="13"/>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A020ED" w:rsidRPr="00A020ED" w:rsidRDefault="00A020ED" w:rsidP="00A020ED">
            <w:pPr>
              <w:suppressAutoHyphens w:val="0"/>
              <w:jc w:val="center"/>
              <w:rPr>
                <w:rFonts w:ascii="Calibri" w:hAnsi="Calibri" w:cs="Calibri"/>
                <w:b/>
                <w:bCs/>
                <w:sz w:val="20"/>
                <w:szCs w:val="20"/>
                <w:lang w:val="it-IT" w:eastAsia="it-IT"/>
              </w:rPr>
            </w:pPr>
            <w:r w:rsidRPr="00A020ED">
              <w:rPr>
                <w:rFonts w:ascii="Calibri" w:hAnsi="Calibri" w:cs="Calibri"/>
                <w:b/>
                <w:bCs/>
                <w:sz w:val="20"/>
                <w:szCs w:val="20"/>
                <w:lang w:val="it-IT" w:eastAsia="it-IT"/>
              </w:rPr>
              <w:t xml:space="preserve">Umbralisib </w:t>
            </w:r>
            <w:r w:rsidRPr="00A020ED">
              <w:rPr>
                <w:rFonts w:ascii="Calibri" w:hAnsi="Calibri" w:cs="Calibri"/>
                <w:sz w:val="20"/>
                <w:szCs w:val="20"/>
                <w:lang w:val="it-IT" w:eastAsia="it-IT"/>
              </w:rPr>
              <w:t>(TGR-1202, RP5264) [PI3Kδ Inhibitor]</w:t>
            </w:r>
          </w:p>
        </w:tc>
      </w:tr>
      <w:tr w:rsidR="00A020ED" w:rsidRPr="00A020ED" w:rsidTr="000B1AB4">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Phase</w:t>
            </w:r>
          </w:p>
        </w:tc>
        <w:tc>
          <w:tcPr>
            <w:tcW w:w="142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Treatment</w:t>
            </w:r>
          </w:p>
        </w:tc>
        <w:tc>
          <w:tcPr>
            <w:tcW w:w="148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Disease</w:t>
            </w:r>
          </w:p>
        </w:tc>
        <w:tc>
          <w:tcPr>
            <w:tcW w:w="28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Outcome</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ISP</w:t>
            </w:r>
          </w:p>
        </w:tc>
        <w:tc>
          <w:tcPr>
            <w:tcW w:w="56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Status</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FP</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RFP</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LUP</w:t>
            </w:r>
          </w:p>
        </w:tc>
        <w:tc>
          <w:tcPr>
            <w:tcW w:w="128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Sponsor</w:t>
            </w:r>
          </w:p>
        </w:tc>
        <w:tc>
          <w:tcPr>
            <w:tcW w:w="128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Collaborator</w:t>
            </w:r>
          </w:p>
        </w:tc>
        <w:tc>
          <w:tcPr>
            <w:tcW w:w="122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NCT Identifier</w:t>
            </w:r>
          </w:p>
        </w:tc>
        <w:tc>
          <w:tcPr>
            <w:tcW w:w="48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color w:val="000000"/>
                <w:sz w:val="18"/>
                <w:szCs w:val="18"/>
                <w:lang w:val="it-IT" w:eastAsia="it-IT"/>
              </w:rPr>
            </w:pPr>
            <w:r w:rsidRPr="00A020ED">
              <w:rPr>
                <w:rFonts w:ascii="Calibri" w:hAnsi="Calibri" w:cs="Calibri"/>
                <w:b/>
                <w:bCs/>
                <w:color w:val="000000"/>
                <w:sz w:val="18"/>
                <w:szCs w:val="18"/>
                <w:lang w:val="it-IT" w:eastAsia="it-IT"/>
              </w:rPr>
              <w:t>R</w:t>
            </w:r>
          </w:p>
        </w:tc>
      </w:tr>
      <w:tr w:rsidR="00A020ED" w:rsidRPr="00A020ED" w:rsidTr="000B1AB4">
        <w:trPr>
          <w:trHeight w:val="18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 Umbralisib</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Relapsed or refractory hematologic malignancies </w:t>
            </w:r>
          </w:p>
        </w:tc>
        <w:tc>
          <w:tcPr>
            <w:tcW w:w="28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ORR: 37%; PR: 33%. ORR: 85%, and DOR: 13.4 months (chronic lymphocytic leukemia). ORR: 53%, and DOR: 9.3 months (follicular</w:t>
            </w:r>
            <w:r w:rsidR="00875061">
              <w:rPr>
                <w:rFonts w:ascii="Calibri" w:hAnsi="Calibri" w:cs="Calibri"/>
                <w:sz w:val="16"/>
                <w:szCs w:val="16"/>
                <w:lang w:val="it-IT" w:eastAsia="it-IT"/>
              </w:rPr>
              <w:t xml:space="preserve"> lymphoma). ORR: 31%, and DOR: </w:t>
            </w:r>
            <w:r w:rsidRPr="00A020ED">
              <w:rPr>
                <w:rFonts w:ascii="Calibri" w:hAnsi="Calibri" w:cs="Calibri"/>
                <w:sz w:val="16"/>
                <w:szCs w:val="16"/>
                <w:lang w:val="it-IT" w:eastAsia="it-IT"/>
              </w:rPr>
              <w:t xml:space="preserve">6.4 months (diffuse large B-cell lymphoma). MTD: 1200 mg/daily. RP2D: 800 mg/daily </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2013</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TG Therapeutics Inc</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SCRI Development Innovations, LLC</w:t>
            </w:r>
          </w:p>
        </w:tc>
        <w:tc>
          <w:tcPr>
            <w:tcW w:w="1220" w:type="dxa"/>
            <w:tcBorders>
              <w:top w:val="single" w:sz="4" w:space="0" w:color="auto"/>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NCT01767766</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20ED" w:rsidRPr="00A020ED" w:rsidRDefault="00547FF8"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196</w:t>
            </w:r>
          </w:p>
        </w:tc>
      </w:tr>
      <w:tr w:rsidR="00A020ED" w:rsidRPr="00A020ED" w:rsidTr="00BD7398">
        <w:trPr>
          <w:trHeight w:val="112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lastRenderedPageBreak/>
              <w:t>1</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Triple combination of umbralisib with ublituximab and ibrutinib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Advanced non-Hodgkin lymphoma and chronic lymphocytic leukaemia </w:t>
            </w:r>
          </w:p>
        </w:tc>
        <w:tc>
          <w:tcPr>
            <w:tcW w:w="28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ORR: 84%; PFS: 38.2 months</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2013</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2019</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TG Therapeutics Inc</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single" w:sz="4" w:space="0" w:color="auto"/>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NCT02006485</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20ED" w:rsidRPr="00A020ED" w:rsidRDefault="00547FF8"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197</w:t>
            </w:r>
          </w:p>
        </w:tc>
      </w:tr>
      <w:tr w:rsidR="00A020ED" w:rsidRPr="00A020ED" w:rsidTr="00BD7398">
        <w:trPr>
          <w:trHeight w:val="18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 1b</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Combination of umbralisib with ibrutinib </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Relapsed or refractory chronic lymphocytic leukaemia and relapsed or refractory mantle cell lymphoma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ORR: 90% (chronic lymphocytic leukaemia). ORR: 67% (mantle cell lymphoma). RP2D: 800 mg/daily</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 NR</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2014</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2020</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2022</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Dana-Farber Cancer Institute</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TG Therapeutics Inc, </w:t>
            </w:r>
            <w:r w:rsidRPr="00A020ED">
              <w:rPr>
                <w:rFonts w:ascii="Calibri" w:hAnsi="Calibri" w:cs="Calibri"/>
                <w:sz w:val="16"/>
                <w:szCs w:val="16"/>
                <w:lang w:val="it-IT" w:eastAsia="it-IT"/>
              </w:rPr>
              <w:br/>
              <w:t xml:space="preserve">The Leukemia and Lymphoma Society, and </w:t>
            </w:r>
            <w:r w:rsidRPr="00A020ED">
              <w:rPr>
                <w:rFonts w:ascii="Calibri" w:hAnsi="Calibri" w:cs="Calibri"/>
                <w:sz w:val="16"/>
                <w:szCs w:val="16"/>
                <w:lang w:val="it-IT" w:eastAsia="it-IT"/>
              </w:rPr>
              <w:br/>
              <w:t>Blood Cancer Research Partnership</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NCT02268851</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A020ED" w:rsidRDefault="00547FF8"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198</w:t>
            </w:r>
          </w:p>
        </w:tc>
      </w:tr>
      <w:tr w:rsidR="00A020ED" w:rsidRPr="00A020ED" w:rsidTr="00BD7398">
        <w:trPr>
          <w:trHeight w:val="157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 1b</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Combination of umbralisib with ublituximab </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Relapsed or refractory B-cell non-Hodgkin lymphoma and chronic lymphocytic leukemia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ORR: 46%; CR: 17%; DOR: 20 months</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2013</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2019</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TG Therapeutics Inc</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NCT02006485</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A020ED" w:rsidRDefault="00547FF8"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199</w:t>
            </w:r>
          </w:p>
        </w:tc>
      </w:tr>
      <w:tr w:rsidR="00A020ED" w:rsidRPr="00A020ED" w:rsidTr="00BD7398">
        <w:trPr>
          <w:trHeight w:val="112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Umbralisib</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Chronic lymphocytic leukemia intolerant to PI3Kδ or BTK inhibitors</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PFS: 23.5 months</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2016</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2022</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TG Therapeutics Inc</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NCT02742090</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A020ED" w:rsidRDefault="00547FF8"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200</w:t>
            </w:r>
          </w:p>
        </w:tc>
      </w:tr>
      <w:tr w:rsidR="00A020ED" w:rsidRPr="00A020ED" w:rsidTr="00BD7398">
        <w:trPr>
          <w:trHeight w:val="67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Combination of umbralisib with ublituximab</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Relapsed or refractory marginal zone lymphoma</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ORR: 68%, and CR: 19%. There was a 90%-reduction in disease burden from baseline </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2016</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2022</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TG Therapeutics Inc</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NCT02793583</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A020ED" w:rsidRDefault="00547FF8"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201</w:t>
            </w:r>
          </w:p>
        </w:tc>
      </w:tr>
      <w:tr w:rsidR="00A020ED" w:rsidRPr="00A020ED" w:rsidTr="00BD7398">
        <w:trPr>
          <w:trHeight w:val="202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2b</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Umbralisib</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Heavily pretreated relapsed or refractory indolent non-Hodgkin lymphoma</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ORR: 47.1%, with cancer reduction present in 86.4% of patients; median time to response: from 2.7 months to 4.6 months. DOR: 18.3 months, and PFS: 20.9 months (small lymphocytic lymphoma). DOR: 11.1 months, and PFS: 10.6 months (follicular lymphoma). DOR: none, and PFS: none (marginal zone lymphoma).</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2016</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2022</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TG Therapeutics Inc</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NCT02793583</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A020ED" w:rsidRDefault="00547FF8"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202</w:t>
            </w:r>
          </w:p>
        </w:tc>
      </w:tr>
      <w:tr w:rsidR="00A020ED" w:rsidRPr="00A020ED" w:rsidTr="00A020ED">
        <w:trPr>
          <w:trHeight w:val="300"/>
        </w:trPr>
        <w:tc>
          <w:tcPr>
            <w:tcW w:w="13060" w:type="dxa"/>
            <w:gridSpan w:val="13"/>
            <w:tcBorders>
              <w:top w:val="single" w:sz="4" w:space="0" w:color="auto"/>
              <w:left w:val="single" w:sz="4" w:space="0" w:color="auto"/>
              <w:bottom w:val="single" w:sz="4" w:space="0" w:color="auto"/>
              <w:right w:val="single" w:sz="4" w:space="0" w:color="000000"/>
            </w:tcBorders>
            <w:shd w:val="clear" w:color="000000" w:fill="000000"/>
            <w:noWrap/>
            <w:vAlign w:val="center"/>
            <w:hideMark/>
          </w:tcPr>
          <w:p w:rsidR="00A020ED" w:rsidRPr="00A020ED" w:rsidRDefault="00A020ED" w:rsidP="00A020ED">
            <w:pPr>
              <w:suppressAutoHyphens w:val="0"/>
              <w:jc w:val="center"/>
              <w:rPr>
                <w:rFonts w:ascii="Calibri" w:hAnsi="Calibri" w:cs="Calibri"/>
                <w:b/>
                <w:bCs/>
                <w:color w:val="FFFFFF"/>
                <w:sz w:val="22"/>
                <w:szCs w:val="22"/>
                <w:lang w:val="it-IT" w:eastAsia="it-IT"/>
              </w:rPr>
            </w:pPr>
            <w:r w:rsidRPr="00A020ED">
              <w:rPr>
                <w:rFonts w:ascii="Calibri" w:hAnsi="Calibri" w:cs="Calibri"/>
                <w:b/>
                <w:bCs/>
                <w:color w:val="FFFFFF"/>
                <w:sz w:val="22"/>
                <w:szCs w:val="22"/>
                <w:lang w:val="it-IT" w:eastAsia="it-IT"/>
              </w:rPr>
              <w:t>DUAL-PI3K/mTOR INHIBITORS</w:t>
            </w:r>
          </w:p>
        </w:tc>
      </w:tr>
      <w:tr w:rsidR="00A020ED" w:rsidRPr="00A020ED" w:rsidTr="00A020ED">
        <w:trPr>
          <w:trHeight w:val="255"/>
        </w:trPr>
        <w:tc>
          <w:tcPr>
            <w:tcW w:w="13060" w:type="dxa"/>
            <w:gridSpan w:val="13"/>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A020ED" w:rsidRPr="00A020ED" w:rsidRDefault="00A020ED" w:rsidP="00A020ED">
            <w:pPr>
              <w:suppressAutoHyphens w:val="0"/>
              <w:jc w:val="center"/>
              <w:rPr>
                <w:rFonts w:ascii="Calibri" w:hAnsi="Calibri" w:cs="Calibri"/>
                <w:b/>
                <w:bCs/>
                <w:sz w:val="20"/>
                <w:szCs w:val="20"/>
                <w:lang w:val="it-IT" w:eastAsia="it-IT"/>
              </w:rPr>
            </w:pPr>
            <w:r w:rsidRPr="008E77E1">
              <w:rPr>
                <w:rFonts w:ascii="Calibri" w:hAnsi="Calibri" w:cs="Calibri"/>
                <w:b/>
                <w:bCs/>
                <w:sz w:val="20"/>
                <w:szCs w:val="20"/>
                <w:lang w:val="it-IT" w:eastAsia="it-IT"/>
              </w:rPr>
              <w:t xml:space="preserve">Apitolisib </w:t>
            </w:r>
            <w:r w:rsidRPr="008E77E1">
              <w:rPr>
                <w:rFonts w:ascii="Calibri" w:hAnsi="Calibri" w:cs="Calibri"/>
                <w:sz w:val="20"/>
                <w:szCs w:val="20"/>
                <w:lang w:val="it-IT" w:eastAsia="it-IT"/>
              </w:rPr>
              <w:t>(GDC</w:t>
            </w:r>
            <w:r w:rsidRPr="00A020ED">
              <w:rPr>
                <w:rFonts w:ascii="Calibri" w:hAnsi="Calibri" w:cs="Calibri"/>
                <w:sz w:val="20"/>
                <w:szCs w:val="20"/>
                <w:lang w:val="it-IT" w:eastAsia="it-IT"/>
              </w:rPr>
              <w:t>-0980, RG7422, GNE 390)</w:t>
            </w:r>
          </w:p>
        </w:tc>
      </w:tr>
      <w:tr w:rsidR="00A020ED" w:rsidRPr="00A020ED" w:rsidTr="000B1AB4">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Phase</w:t>
            </w:r>
          </w:p>
        </w:tc>
        <w:tc>
          <w:tcPr>
            <w:tcW w:w="142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Treatment</w:t>
            </w:r>
          </w:p>
        </w:tc>
        <w:tc>
          <w:tcPr>
            <w:tcW w:w="148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Disease</w:t>
            </w:r>
          </w:p>
        </w:tc>
        <w:tc>
          <w:tcPr>
            <w:tcW w:w="28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Outcome</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ISP</w:t>
            </w:r>
          </w:p>
        </w:tc>
        <w:tc>
          <w:tcPr>
            <w:tcW w:w="56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Status</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FP</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RFP</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LUP</w:t>
            </w:r>
          </w:p>
        </w:tc>
        <w:tc>
          <w:tcPr>
            <w:tcW w:w="128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Sponsor</w:t>
            </w:r>
          </w:p>
        </w:tc>
        <w:tc>
          <w:tcPr>
            <w:tcW w:w="128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Collaborator</w:t>
            </w:r>
          </w:p>
        </w:tc>
        <w:tc>
          <w:tcPr>
            <w:tcW w:w="122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NCT Identifier</w:t>
            </w:r>
          </w:p>
        </w:tc>
        <w:tc>
          <w:tcPr>
            <w:tcW w:w="48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color w:val="000000"/>
                <w:sz w:val="18"/>
                <w:szCs w:val="18"/>
                <w:lang w:val="it-IT" w:eastAsia="it-IT"/>
              </w:rPr>
            </w:pPr>
            <w:r w:rsidRPr="00A020ED">
              <w:rPr>
                <w:rFonts w:ascii="Calibri" w:hAnsi="Calibri" w:cs="Calibri"/>
                <w:b/>
                <w:bCs/>
                <w:color w:val="000000"/>
                <w:sz w:val="18"/>
                <w:szCs w:val="18"/>
                <w:lang w:val="it-IT" w:eastAsia="it-IT"/>
              </w:rPr>
              <w:t>R</w:t>
            </w:r>
          </w:p>
        </w:tc>
      </w:tr>
      <w:tr w:rsidR="00A020ED" w:rsidRPr="00A020ED" w:rsidTr="00793E92">
        <w:trPr>
          <w:trHeight w:val="18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lastRenderedPageBreak/>
              <w:t>1</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Apitolisib</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Advanced solid tumor </w:t>
            </w:r>
          </w:p>
        </w:tc>
        <w:tc>
          <w:tcPr>
            <w:tcW w:w="28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In the dose-escalation stage, PR: 7.1%, CR: 3.5%, and SD: 77%. MTD: 50 mg/once daily on a 21 days/28 days dosing schedule. In the dose-expansion stage, PR: 7.8%, and SD with cancer regression: 31.2%. R2PD: 40 mg/once daily on a 28 days/28 days dosing schedule</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2009</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2016</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Genentech, Inc</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single" w:sz="4" w:space="0" w:color="auto"/>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NCT00854152</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20ED" w:rsidRPr="00A020ED" w:rsidRDefault="00E3744B"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205</w:t>
            </w:r>
          </w:p>
        </w:tc>
      </w:tr>
      <w:tr w:rsidR="00A020ED" w:rsidRPr="00A020ED" w:rsidTr="00793E92">
        <w:trPr>
          <w:trHeight w:val="9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Apitolisib</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Metastatic renal cell carcinoma</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ORR: 7.1%, PFS: 3.7 months, and OS: 16.5 months with apitolisib vs ORR: 11.6%, PFS: 6.1 months, and OS: 22.8 months with everolimus</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2011</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2016</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Genentech, Inc</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NCT01442090</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A020ED" w:rsidRDefault="00E3744B"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206</w:t>
            </w:r>
          </w:p>
        </w:tc>
      </w:tr>
      <w:tr w:rsidR="00A020ED" w:rsidRPr="00A020ED" w:rsidTr="00A020ED">
        <w:trPr>
          <w:trHeight w:val="255"/>
        </w:trPr>
        <w:tc>
          <w:tcPr>
            <w:tcW w:w="13060" w:type="dxa"/>
            <w:gridSpan w:val="13"/>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A020ED" w:rsidRPr="00A020ED" w:rsidRDefault="00A020ED" w:rsidP="00A020ED">
            <w:pPr>
              <w:suppressAutoHyphens w:val="0"/>
              <w:jc w:val="center"/>
              <w:rPr>
                <w:rFonts w:ascii="Calibri" w:hAnsi="Calibri" w:cs="Calibri"/>
                <w:b/>
                <w:bCs/>
                <w:sz w:val="20"/>
                <w:szCs w:val="20"/>
                <w:lang w:val="it-IT" w:eastAsia="it-IT"/>
              </w:rPr>
            </w:pPr>
            <w:r w:rsidRPr="00A020ED">
              <w:rPr>
                <w:rFonts w:ascii="Calibri" w:hAnsi="Calibri" w:cs="Calibri"/>
                <w:b/>
                <w:bCs/>
                <w:sz w:val="20"/>
                <w:szCs w:val="20"/>
                <w:lang w:val="it-IT" w:eastAsia="it-IT"/>
              </w:rPr>
              <w:t xml:space="preserve">Bimiralisib </w:t>
            </w:r>
            <w:r w:rsidRPr="00A020ED">
              <w:rPr>
                <w:rFonts w:ascii="Calibri" w:hAnsi="Calibri" w:cs="Calibri"/>
                <w:sz w:val="20"/>
                <w:szCs w:val="20"/>
                <w:lang w:val="it-IT" w:eastAsia="it-IT"/>
              </w:rPr>
              <w:t>(PQR309)</w:t>
            </w:r>
          </w:p>
        </w:tc>
      </w:tr>
      <w:tr w:rsidR="00A020ED" w:rsidRPr="00A020ED" w:rsidTr="00A020ED">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Phase</w:t>
            </w:r>
          </w:p>
        </w:tc>
        <w:tc>
          <w:tcPr>
            <w:tcW w:w="142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Treatment</w:t>
            </w:r>
          </w:p>
        </w:tc>
        <w:tc>
          <w:tcPr>
            <w:tcW w:w="148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Disease</w:t>
            </w:r>
          </w:p>
        </w:tc>
        <w:tc>
          <w:tcPr>
            <w:tcW w:w="28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Outcome</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ISP</w:t>
            </w:r>
          </w:p>
        </w:tc>
        <w:tc>
          <w:tcPr>
            <w:tcW w:w="56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Status</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FP</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RFP</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LUP</w:t>
            </w:r>
          </w:p>
        </w:tc>
        <w:tc>
          <w:tcPr>
            <w:tcW w:w="1280" w:type="dxa"/>
            <w:tcBorders>
              <w:top w:val="nil"/>
              <w:left w:val="nil"/>
              <w:bottom w:val="nil"/>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Sponsor</w:t>
            </w:r>
          </w:p>
        </w:tc>
        <w:tc>
          <w:tcPr>
            <w:tcW w:w="1280" w:type="dxa"/>
            <w:tcBorders>
              <w:top w:val="nil"/>
              <w:left w:val="nil"/>
              <w:bottom w:val="nil"/>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Collaborator</w:t>
            </w:r>
          </w:p>
        </w:tc>
        <w:tc>
          <w:tcPr>
            <w:tcW w:w="122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NCT Identifier</w:t>
            </w:r>
          </w:p>
        </w:tc>
        <w:tc>
          <w:tcPr>
            <w:tcW w:w="48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color w:val="000000"/>
                <w:sz w:val="18"/>
                <w:szCs w:val="18"/>
                <w:lang w:val="it-IT" w:eastAsia="it-IT"/>
              </w:rPr>
            </w:pPr>
            <w:r w:rsidRPr="00A020ED">
              <w:rPr>
                <w:rFonts w:ascii="Calibri" w:hAnsi="Calibri" w:cs="Calibri"/>
                <w:b/>
                <w:bCs/>
                <w:color w:val="000000"/>
                <w:sz w:val="18"/>
                <w:szCs w:val="18"/>
                <w:lang w:val="it-IT" w:eastAsia="it-IT"/>
              </w:rPr>
              <w:t>R</w:t>
            </w:r>
          </w:p>
        </w:tc>
      </w:tr>
      <w:tr w:rsidR="00A020ED" w:rsidRPr="00A020ED" w:rsidTr="00C36573">
        <w:trPr>
          <w:trHeight w:val="9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Bimiralisib</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Advanced solid tumor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Inhibition of several PAM-associated phosphoproteins. MTD and RP2D: 80 mg/once daily in tumors with activating PIK3CA mutations</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2013</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2017</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PIQUR Therapeutics AG</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NCT01940133</w:t>
            </w:r>
          </w:p>
        </w:tc>
        <w:tc>
          <w:tcPr>
            <w:tcW w:w="480" w:type="dxa"/>
            <w:tcBorders>
              <w:top w:val="nil"/>
              <w:left w:val="nil"/>
              <w:bottom w:val="single" w:sz="4" w:space="0" w:color="auto"/>
              <w:right w:val="single" w:sz="4" w:space="0" w:color="auto"/>
            </w:tcBorders>
            <w:shd w:val="clear" w:color="auto" w:fill="auto"/>
            <w:noWrap/>
            <w:vAlign w:val="center"/>
          </w:tcPr>
          <w:p w:rsidR="00A020ED" w:rsidRPr="00A020ED" w:rsidRDefault="00C36573"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215</w:t>
            </w:r>
          </w:p>
        </w:tc>
      </w:tr>
      <w:tr w:rsidR="00A020ED" w:rsidRPr="00A020ED" w:rsidTr="00C36573">
        <w:trPr>
          <w:trHeight w:val="13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Bimiralisib</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000B8D"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Relapsed or refractory l</w:t>
            </w:r>
            <w:r w:rsidR="00A020ED" w:rsidRPr="00A020ED">
              <w:rPr>
                <w:rFonts w:ascii="Calibri" w:hAnsi="Calibri" w:cs="Calibri"/>
                <w:sz w:val="16"/>
                <w:szCs w:val="16"/>
                <w:lang w:val="it-IT" w:eastAsia="it-IT"/>
              </w:rPr>
              <w:t>ymphoma</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ORR: 14%, CR: 4%, PR: 10%</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2017</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2019</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PIQUR Therapeutics AG</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University Hospital Basel (Switzerland), </w:t>
            </w:r>
            <w:r w:rsidRPr="00A020ED">
              <w:rPr>
                <w:rFonts w:ascii="Calibri" w:hAnsi="Calibri" w:cs="Calibri"/>
                <w:sz w:val="16"/>
                <w:szCs w:val="16"/>
                <w:lang w:val="it-IT" w:eastAsia="it-IT"/>
              </w:rPr>
              <w:br/>
              <w:t>and University Hospital Munich (Germany)</w:t>
            </w:r>
          </w:p>
        </w:tc>
        <w:tc>
          <w:tcPr>
            <w:tcW w:w="12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 NCT03127020</w:t>
            </w:r>
          </w:p>
        </w:tc>
        <w:tc>
          <w:tcPr>
            <w:tcW w:w="480" w:type="dxa"/>
            <w:tcBorders>
              <w:top w:val="nil"/>
              <w:left w:val="nil"/>
              <w:bottom w:val="single" w:sz="4" w:space="0" w:color="auto"/>
              <w:right w:val="single" w:sz="4" w:space="0" w:color="auto"/>
            </w:tcBorders>
            <w:shd w:val="clear" w:color="auto" w:fill="auto"/>
            <w:noWrap/>
            <w:vAlign w:val="center"/>
          </w:tcPr>
          <w:p w:rsidR="00A020ED" w:rsidRPr="00A020ED" w:rsidRDefault="00C36573"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216</w:t>
            </w:r>
          </w:p>
        </w:tc>
      </w:tr>
      <w:tr w:rsidR="00A020ED" w:rsidRPr="00A020ED" w:rsidTr="00A020ED">
        <w:trPr>
          <w:trHeight w:val="255"/>
        </w:trPr>
        <w:tc>
          <w:tcPr>
            <w:tcW w:w="13060" w:type="dxa"/>
            <w:gridSpan w:val="13"/>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A020ED" w:rsidRPr="00A020ED" w:rsidRDefault="00A020ED" w:rsidP="00A020ED">
            <w:pPr>
              <w:suppressAutoHyphens w:val="0"/>
              <w:jc w:val="center"/>
              <w:rPr>
                <w:rFonts w:ascii="Calibri" w:hAnsi="Calibri" w:cs="Calibri"/>
                <w:b/>
                <w:bCs/>
                <w:sz w:val="20"/>
                <w:szCs w:val="20"/>
                <w:lang w:val="it-IT" w:eastAsia="it-IT"/>
              </w:rPr>
            </w:pPr>
            <w:r w:rsidRPr="00B346A7">
              <w:rPr>
                <w:rFonts w:ascii="Calibri" w:hAnsi="Calibri" w:cs="Calibri"/>
                <w:b/>
                <w:bCs/>
                <w:sz w:val="20"/>
                <w:szCs w:val="20"/>
                <w:lang w:val="it-IT" w:eastAsia="it-IT"/>
              </w:rPr>
              <w:t xml:space="preserve">Dactolisib </w:t>
            </w:r>
            <w:r w:rsidRPr="00B346A7">
              <w:rPr>
                <w:rFonts w:ascii="Calibri" w:hAnsi="Calibri" w:cs="Calibri"/>
                <w:sz w:val="20"/>
                <w:szCs w:val="20"/>
                <w:lang w:val="it-IT" w:eastAsia="it-IT"/>
              </w:rPr>
              <w:t>(BEZ</w:t>
            </w:r>
            <w:r w:rsidRPr="00A020ED">
              <w:rPr>
                <w:rFonts w:ascii="Calibri" w:hAnsi="Calibri" w:cs="Calibri"/>
                <w:sz w:val="20"/>
                <w:szCs w:val="20"/>
                <w:lang w:val="it-IT" w:eastAsia="it-IT"/>
              </w:rPr>
              <w:t>-235, NVP-BEZ235)</w:t>
            </w:r>
          </w:p>
        </w:tc>
      </w:tr>
      <w:tr w:rsidR="00A020ED" w:rsidRPr="00A020ED" w:rsidTr="00A020ED">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Phase</w:t>
            </w:r>
          </w:p>
        </w:tc>
        <w:tc>
          <w:tcPr>
            <w:tcW w:w="142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Treatment</w:t>
            </w:r>
          </w:p>
        </w:tc>
        <w:tc>
          <w:tcPr>
            <w:tcW w:w="148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Disease</w:t>
            </w:r>
          </w:p>
        </w:tc>
        <w:tc>
          <w:tcPr>
            <w:tcW w:w="28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Outcome</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ISP</w:t>
            </w:r>
          </w:p>
        </w:tc>
        <w:tc>
          <w:tcPr>
            <w:tcW w:w="56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Status</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FP</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RFP</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LUP</w:t>
            </w:r>
          </w:p>
        </w:tc>
        <w:tc>
          <w:tcPr>
            <w:tcW w:w="1280" w:type="dxa"/>
            <w:tcBorders>
              <w:top w:val="nil"/>
              <w:left w:val="nil"/>
              <w:bottom w:val="nil"/>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Sponsor</w:t>
            </w:r>
          </w:p>
        </w:tc>
        <w:tc>
          <w:tcPr>
            <w:tcW w:w="1280" w:type="dxa"/>
            <w:tcBorders>
              <w:top w:val="nil"/>
              <w:left w:val="nil"/>
              <w:bottom w:val="nil"/>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Collaborator</w:t>
            </w:r>
          </w:p>
        </w:tc>
        <w:tc>
          <w:tcPr>
            <w:tcW w:w="122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NCT Identifier</w:t>
            </w:r>
          </w:p>
        </w:tc>
        <w:tc>
          <w:tcPr>
            <w:tcW w:w="48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color w:val="000000"/>
                <w:sz w:val="18"/>
                <w:szCs w:val="18"/>
                <w:lang w:val="it-IT" w:eastAsia="it-IT"/>
              </w:rPr>
            </w:pPr>
            <w:r w:rsidRPr="00A020ED">
              <w:rPr>
                <w:rFonts w:ascii="Calibri" w:hAnsi="Calibri" w:cs="Calibri"/>
                <w:b/>
                <w:bCs/>
                <w:color w:val="000000"/>
                <w:sz w:val="18"/>
                <w:szCs w:val="18"/>
                <w:lang w:val="it-IT" w:eastAsia="it-IT"/>
              </w:rPr>
              <w:t>R</w:t>
            </w:r>
          </w:p>
        </w:tc>
      </w:tr>
      <w:tr w:rsidR="00A020ED" w:rsidRPr="00A020ED" w:rsidTr="00FF37BF">
        <w:trPr>
          <w:trHeight w:val="67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Dactolisib</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Advanced solid tumor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SD: 45.4%. MTD and R2PD: 300 mg/twice daily</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2011</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2015</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SCRI Development Innovations, LLC</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Novartis</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NCT01343498</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A020ED" w:rsidRDefault="00FF37BF"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236</w:t>
            </w:r>
          </w:p>
        </w:tc>
      </w:tr>
      <w:tr w:rsidR="00A020ED" w:rsidRPr="00A020ED" w:rsidTr="00FF37BF">
        <w:trPr>
          <w:trHeight w:val="67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Dactolisib</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Advanced solid tumor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SD: 51.9%; reduced phosphorylation of ribosomal protein S6 (pS6). R2PD: 1000 mg/once daily</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2010</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2020</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Novartis</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NCT01195376</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A020ED" w:rsidRDefault="00FF37BF"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237</w:t>
            </w:r>
          </w:p>
        </w:tc>
      </w:tr>
      <w:tr w:rsidR="00A020ED" w:rsidRPr="00A020ED" w:rsidTr="00A020ED">
        <w:trPr>
          <w:trHeight w:val="255"/>
        </w:trPr>
        <w:tc>
          <w:tcPr>
            <w:tcW w:w="13060" w:type="dxa"/>
            <w:gridSpan w:val="13"/>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A020ED" w:rsidRPr="00A020ED" w:rsidRDefault="00A020ED" w:rsidP="00A020ED">
            <w:pPr>
              <w:suppressAutoHyphens w:val="0"/>
              <w:jc w:val="center"/>
              <w:rPr>
                <w:rFonts w:ascii="Calibri" w:hAnsi="Calibri" w:cs="Calibri"/>
                <w:b/>
                <w:bCs/>
                <w:sz w:val="20"/>
                <w:szCs w:val="20"/>
                <w:lang w:val="it-IT" w:eastAsia="it-IT"/>
              </w:rPr>
            </w:pPr>
            <w:r w:rsidRPr="00A020ED">
              <w:rPr>
                <w:rFonts w:ascii="Calibri" w:hAnsi="Calibri" w:cs="Calibri"/>
                <w:b/>
                <w:bCs/>
                <w:sz w:val="20"/>
                <w:szCs w:val="20"/>
                <w:lang w:val="it-IT" w:eastAsia="it-IT"/>
              </w:rPr>
              <w:t xml:space="preserve">DS-7423 </w:t>
            </w:r>
            <w:r w:rsidRPr="00A020ED">
              <w:rPr>
                <w:rFonts w:ascii="Calibri" w:hAnsi="Calibri" w:cs="Calibri"/>
                <w:sz w:val="20"/>
                <w:szCs w:val="20"/>
                <w:lang w:val="it-IT" w:eastAsia="it-IT"/>
              </w:rPr>
              <w:t>(DS7423)</w:t>
            </w:r>
          </w:p>
        </w:tc>
      </w:tr>
      <w:tr w:rsidR="00A020ED" w:rsidRPr="00A020ED" w:rsidTr="00A020ED">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Phase</w:t>
            </w:r>
          </w:p>
        </w:tc>
        <w:tc>
          <w:tcPr>
            <w:tcW w:w="142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Treatment</w:t>
            </w:r>
          </w:p>
        </w:tc>
        <w:tc>
          <w:tcPr>
            <w:tcW w:w="148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Disease</w:t>
            </w:r>
          </w:p>
        </w:tc>
        <w:tc>
          <w:tcPr>
            <w:tcW w:w="28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Outcome</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ISP</w:t>
            </w:r>
          </w:p>
        </w:tc>
        <w:tc>
          <w:tcPr>
            <w:tcW w:w="56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Status</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FP</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RFP</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LUP</w:t>
            </w:r>
          </w:p>
        </w:tc>
        <w:tc>
          <w:tcPr>
            <w:tcW w:w="1280" w:type="dxa"/>
            <w:tcBorders>
              <w:top w:val="nil"/>
              <w:left w:val="nil"/>
              <w:bottom w:val="nil"/>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Sponsor</w:t>
            </w:r>
          </w:p>
        </w:tc>
        <w:tc>
          <w:tcPr>
            <w:tcW w:w="1280" w:type="dxa"/>
            <w:tcBorders>
              <w:top w:val="nil"/>
              <w:left w:val="nil"/>
              <w:bottom w:val="nil"/>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Collaborator</w:t>
            </w:r>
          </w:p>
        </w:tc>
        <w:tc>
          <w:tcPr>
            <w:tcW w:w="122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NCT Identifier</w:t>
            </w:r>
          </w:p>
        </w:tc>
        <w:tc>
          <w:tcPr>
            <w:tcW w:w="48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color w:val="000000"/>
                <w:sz w:val="18"/>
                <w:szCs w:val="18"/>
                <w:lang w:val="it-IT" w:eastAsia="it-IT"/>
              </w:rPr>
            </w:pPr>
            <w:r w:rsidRPr="00A020ED">
              <w:rPr>
                <w:rFonts w:ascii="Calibri" w:hAnsi="Calibri" w:cs="Calibri"/>
                <w:b/>
                <w:bCs/>
                <w:color w:val="000000"/>
                <w:sz w:val="18"/>
                <w:szCs w:val="18"/>
                <w:lang w:val="it-IT" w:eastAsia="it-IT"/>
              </w:rPr>
              <w:t>R</w:t>
            </w:r>
          </w:p>
        </w:tc>
      </w:tr>
      <w:tr w:rsidR="00A020ED" w:rsidRPr="00A020ED" w:rsidTr="00A020ED">
        <w:trPr>
          <w:trHeight w:val="112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DS-7423</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Advanced solid tumor</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SD: 18.5% in Caucasian patients, and 20% in Asian patients. MTD and RP2D: 240 mg/daily for both Caucasian patients and Asian patients</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2011</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Daiichi Sankyo, Inc</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NCT01364844</w:t>
            </w:r>
          </w:p>
        </w:tc>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A020ED" w:rsidRPr="00A020ED" w:rsidRDefault="00F9308C"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241</w:t>
            </w:r>
          </w:p>
        </w:tc>
      </w:tr>
      <w:tr w:rsidR="00A020ED" w:rsidRPr="00A020ED" w:rsidTr="00171360">
        <w:trPr>
          <w:trHeight w:val="255"/>
        </w:trPr>
        <w:tc>
          <w:tcPr>
            <w:tcW w:w="13060" w:type="dxa"/>
            <w:gridSpan w:val="13"/>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A020ED" w:rsidRPr="00A020ED" w:rsidRDefault="00A020ED" w:rsidP="00A020ED">
            <w:pPr>
              <w:suppressAutoHyphens w:val="0"/>
              <w:jc w:val="center"/>
              <w:rPr>
                <w:rFonts w:ascii="Calibri" w:hAnsi="Calibri" w:cs="Calibri"/>
                <w:b/>
                <w:bCs/>
                <w:sz w:val="20"/>
                <w:szCs w:val="20"/>
                <w:lang w:val="it-IT" w:eastAsia="it-IT"/>
              </w:rPr>
            </w:pPr>
            <w:r w:rsidRPr="007B0C1D">
              <w:rPr>
                <w:rFonts w:ascii="Calibri" w:hAnsi="Calibri" w:cs="Calibri"/>
                <w:b/>
                <w:bCs/>
                <w:sz w:val="20"/>
                <w:szCs w:val="20"/>
                <w:lang w:val="it-IT" w:eastAsia="it-IT"/>
              </w:rPr>
              <w:t xml:space="preserve">Gedatolisib </w:t>
            </w:r>
            <w:r w:rsidRPr="007B0C1D">
              <w:rPr>
                <w:rFonts w:ascii="Calibri" w:hAnsi="Calibri" w:cs="Calibri"/>
                <w:sz w:val="20"/>
                <w:szCs w:val="20"/>
                <w:lang w:val="it-IT" w:eastAsia="it-IT"/>
              </w:rPr>
              <w:t>(PF</w:t>
            </w:r>
            <w:r w:rsidRPr="00A020ED">
              <w:rPr>
                <w:rFonts w:ascii="Calibri" w:hAnsi="Calibri" w:cs="Calibri"/>
                <w:sz w:val="20"/>
                <w:szCs w:val="20"/>
                <w:lang w:val="it-IT" w:eastAsia="it-IT"/>
              </w:rPr>
              <w:t>-05212384, PKI-587)</w:t>
            </w:r>
          </w:p>
        </w:tc>
      </w:tr>
      <w:tr w:rsidR="00A020ED" w:rsidRPr="00A020ED" w:rsidTr="00171360">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lastRenderedPageBreak/>
              <w:t>Phase</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Treatment</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Disease</w:t>
            </w:r>
          </w:p>
        </w:tc>
        <w:tc>
          <w:tcPr>
            <w:tcW w:w="2800" w:type="dxa"/>
            <w:tcBorders>
              <w:top w:val="single" w:sz="4" w:space="0" w:color="auto"/>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Outcome</w:t>
            </w:r>
          </w:p>
        </w:tc>
        <w:tc>
          <w:tcPr>
            <w:tcW w:w="500" w:type="dxa"/>
            <w:tcBorders>
              <w:top w:val="single" w:sz="4" w:space="0" w:color="auto"/>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ISP</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Status</w:t>
            </w:r>
          </w:p>
        </w:tc>
        <w:tc>
          <w:tcPr>
            <w:tcW w:w="500" w:type="dxa"/>
            <w:tcBorders>
              <w:top w:val="single" w:sz="4" w:space="0" w:color="auto"/>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FP</w:t>
            </w:r>
          </w:p>
        </w:tc>
        <w:tc>
          <w:tcPr>
            <w:tcW w:w="500" w:type="dxa"/>
            <w:tcBorders>
              <w:top w:val="single" w:sz="4" w:space="0" w:color="auto"/>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RFP</w:t>
            </w:r>
          </w:p>
        </w:tc>
        <w:tc>
          <w:tcPr>
            <w:tcW w:w="500" w:type="dxa"/>
            <w:tcBorders>
              <w:top w:val="single" w:sz="4" w:space="0" w:color="auto"/>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LUP</w:t>
            </w:r>
          </w:p>
        </w:tc>
        <w:tc>
          <w:tcPr>
            <w:tcW w:w="1280" w:type="dxa"/>
            <w:tcBorders>
              <w:top w:val="single" w:sz="4" w:space="0" w:color="auto"/>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Sponsor</w:t>
            </w:r>
          </w:p>
        </w:tc>
        <w:tc>
          <w:tcPr>
            <w:tcW w:w="1280" w:type="dxa"/>
            <w:tcBorders>
              <w:top w:val="single" w:sz="4" w:space="0" w:color="auto"/>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Collaborator</w:t>
            </w:r>
          </w:p>
        </w:tc>
        <w:tc>
          <w:tcPr>
            <w:tcW w:w="1220" w:type="dxa"/>
            <w:tcBorders>
              <w:top w:val="single" w:sz="4" w:space="0" w:color="auto"/>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NCT Identifier</w:t>
            </w:r>
          </w:p>
        </w:tc>
        <w:tc>
          <w:tcPr>
            <w:tcW w:w="480" w:type="dxa"/>
            <w:tcBorders>
              <w:top w:val="single" w:sz="4" w:space="0" w:color="auto"/>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color w:val="000000"/>
                <w:sz w:val="18"/>
                <w:szCs w:val="18"/>
                <w:lang w:val="it-IT" w:eastAsia="it-IT"/>
              </w:rPr>
            </w:pPr>
            <w:r w:rsidRPr="00A020ED">
              <w:rPr>
                <w:rFonts w:ascii="Calibri" w:hAnsi="Calibri" w:cs="Calibri"/>
                <w:b/>
                <w:bCs/>
                <w:color w:val="000000"/>
                <w:sz w:val="18"/>
                <w:szCs w:val="18"/>
                <w:lang w:val="it-IT" w:eastAsia="it-IT"/>
              </w:rPr>
              <w:t>R</w:t>
            </w:r>
          </w:p>
        </w:tc>
      </w:tr>
      <w:tr w:rsidR="00A020ED" w:rsidRPr="00A020ED" w:rsidTr="00172D2A">
        <w:trPr>
          <w:trHeight w:val="9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Gedatolisib</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Heavi</w:t>
            </w:r>
            <w:r w:rsidR="00000B8D">
              <w:rPr>
                <w:rFonts w:ascii="Calibri" w:hAnsi="Calibri" w:cs="Calibri"/>
                <w:sz w:val="16"/>
                <w:szCs w:val="16"/>
                <w:lang w:val="it-IT" w:eastAsia="it-IT"/>
              </w:rPr>
              <w:t>ly pretreated solid tumor</w:t>
            </w:r>
          </w:p>
        </w:tc>
        <w:tc>
          <w:tcPr>
            <w:tcW w:w="28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ORR: 2.6%; CBR: 13%; ≥ 6 month-enduring SD: 10.4%; reduction (10.6%) of pAKT Ser473. MTD and RP2D: 154 mg/once weekly</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2009</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2018</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2018</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Pfizer</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single" w:sz="4" w:space="0" w:color="auto"/>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NCT00940498</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20ED" w:rsidRPr="00A020ED" w:rsidRDefault="0082128B"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251</w:t>
            </w:r>
          </w:p>
        </w:tc>
      </w:tr>
      <w:tr w:rsidR="00A020ED" w:rsidRPr="00A020ED" w:rsidTr="00172D2A">
        <w:trPr>
          <w:trHeight w:val="9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Combination of gedatolisib with cofetuzumab pelidotin</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Metastatic triple negative breast cancer</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ORR: 16.7%, and SD: 16.7%. CBR at 18 months: 27.8%. PFS: 2 months</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2017</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2021</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Indiana University</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NCT03243331</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A020ED" w:rsidRDefault="008F7847"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252</w:t>
            </w:r>
          </w:p>
        </w:tc>
      </w:tr>
      <w:tr w:rsidR="00A020ED" w:rsidRPr="00A020ED" w:rsidTr="00172D2A">
        <w:trPr>
          <w:trHeight w:val="67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Combination of gedatolisib with irinotecan</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Advanced solid tumor</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ORR: 5%, CBR: 16%, and PFS: 2.8 months (colorectal cancer)</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2011</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2018</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2018</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Pfizer</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8F7847" w:rsidRDefault="00A020ED" w:rsidP="00A020ED">
            <w:pPr>
              <w:suppressAutoHyphens w:val="0"/>
              <w:jc w:val="center"/>
              <w:rPr>
                <w:rFonts w:ascii="Calibri" w:hAnsi="Calibri" w:cs="Calibri"/>
                <w:sz w:val="16"/>
                <w:szCs w:val="16"/>
                <w:lang w:val="it-IT" w:eastAsia="it-IT"/>
              </w:rPr>
            </w:pPr>
            <w:r w:rsidRPr="008F7847">
              <w:rPr>
                <w:rFonts w:ascii="Calibri" w:hAnsi="Calibri" w:cs="Calibri"/>
                <w:sz w:val="16"/>
                <w:szCs w:val="16"/>
                <w:lang w:val="it-IT" w:eastAsia="it-IT"/>
              </w:rPr>
              <w:t>NCT01347866</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A020ED" w:rsidRDefault="0082128B"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253</w:t>
            </w:r>
          </w:p>
        </w:tc>
      </w:tr>
      <w:tr w:rsidR="00A020ED" w:rsidRPr="00A020ED" w:rsidTr="00172D2A">
        <w:trPr>
          <w:trHeight w:val="67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Combination of gedatolisib with PD-0325901</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Advanced solid tumor</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PR: 60%, and SD: 40% (ovarian cancer). PR: 100% (endometrial cancer)</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2011</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2018</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2018</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Pfizer</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8F7847" w:rsidRDefault="00A020ED" w:rsidP="00A020ED">
            <w:pPr>
              <w:suppressAutoHyphens w:val="0"/>
              <w:jc w:val="center"/>
              <w:rPr>
                <w:rFonts w:ascii="Calibri" w:hAnsi="Calibri" w:cs="Calibri"/>
                <w:sz w:val="16"/>
                <w:szCs w:val="16"/>
                <w:lang w:val="it-IT" w:eastAsia="it-IT"/>
              </w:rPr>
            </w:pPr>
            <w:r w:rsidRPr="008F7847">
              <w:rPr>
                <w:rFonts w:ascii="Calibri" w:hAnsi="Calibri" w:cs="Calibri"/>
                <w:sz w:val="16"/>
                <w:szCs w:val="16"/>
                <w:lang w:val="it-IT" w:eastAsia="it-IT"/>
              </w:rPr>
              <w:t>NCT01347866</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A020ED" w:rsidRDefault="0082128B"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253</w:t>
            </w:r>
          </w:p>
        </w:tc>
      </w:tr>
      <w:tr w:rsidR="00A020ED" w:rsidRPr="00A020ED" w:rsidTr="00172D2A">
        <w:trPr>
          <w:trHeight w:val="112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Triple combination of gedatolisib with paclitaxel and carboplatin </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Advanced solid tumour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color w:val="0070C0"/>
                <w:sz w:val="16"/>
                <w:szCs w:val="16"/>
                <w:lang w:val="it-IT" w:eastAsia="it-IT"/>
              </w:rPr>
            </w:pPr>
            <w:r w:rsidRPr="00171360">
              <w:rPr>
                <w:rFonts w:ascii="Calibri" w:hAnsi="Calibri" w:cs="Calibri"/>
                <w:sz w:val="16"/>
                <w:szCs w:val="16"/>
                <w:lang w:val="it-IT" w:eastAsia="it-IT"/>
              </w:rPr>
              <w:t>ORR: 65%. ORR: 80% (clear cell ovarian cancer). RP2D: 110 mg/m</w:t>
            </w:r>
            <w:r w:rsidRPr="00171360">
              <w:rPr>
                <w:rFonts w:ascii="Calibri" w:hAnsi="Calibri" w:cs="Calibri"/>
                <w:sz w:val="16"/>
                <w:szCs w:val="16"/>
                <w:vertAlign w:val="superscript"/>
                <w:lang w:val="it-IT" w:eastAsia="it-IT"/>
              </w:rPr>
              <w:t>2</w:t>
            </w:r>
            <w:r w:rsidRPr="00171360">
              <w:rPr>
                <w:rFonts w:ascii="Calibri" w:hAnsi="Calibri" w:cs="Calibri"/>
                <w:sz w:val="16"/>
                <w:szCs w:val="16"/>
                <w:lang w:val="it-IT" w:eastAsia="it-IT"/>
              </w:rPr>
              <w:t xml:space="preserve"> on days 1, 8, 15, and 22</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2014</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2019</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Oncology Institute of Southern Switzerland</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NCT02069158</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A020ED" w:rsidRDefault="0082128B"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254</w:t>
            </w:r>
          </w:p>
        </w:tc>
      </w:tr>
      <w:tr w:rsidR="00A020ED" w:rsidRPr="00A020ED" w:rsidTr="00172D2A">
        <w:trPr>
          <w:trHeight w:val="67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Gedatolisib</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Recurrent endometrial cancer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CBR: 53% in low stathmin-expressing tumor, and 26% in high stathmin-expressing tumor</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2011</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2015</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2019</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Pfizer</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NCT01420081</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A020ED" w:rsidRDefault="0082128B"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255</w:t>
            </w:r>
          </w:p>
        </w:tc>
      </w:tr>
      <w:tr w:rsidR="00A020ED" w:rsidRPr="00A020ED" w:rsidTr="00A020ED">
        <w:trPr>
          <w:trHeight w:val="255"/>
        </w:trPr>
        <w:tc>
          <w:tcPr>
            <w:tcW w:w="13060" w:type="dxa"/>
            <w:gridSpan w:val="13"/>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A020ED" w:rsidRPr="00A020ED" w:rsidRDefault="00A020ED" w:rsidP="00A020ED">
            <w:pPr>
              <w:suppressAutoHyphens w:val="0"/>
              <w:jc w:val="center"/>
              <w:rPr>
                <w:rFonts w:ascii="Calibri" w:hAnsi="Calibri" w:cs="Calibri"/>
                <w:b/>
                <w:bCs/>
                <w:sz w:val="20"/>
                <w:szCs w:val="20"/>
                <w:lang w:val="it-IT" w:eastAsia="it-IT"/>
              </w:rPr>
            </w:pPr>
            <w:r w:rsidRPr="00A020ED">
              <w:rPr>
                <w:rFonts w:ascii="Calibri" w:hAnsi="Calibri" w:cs="Calibri"/>
                <w:b/>
                <w:bCs/>
                <w:sz w:val="20"/>
                <w:szCs w:val="20"/>
                <w:lang w:val="it-IT" w:eastAsia="it-IT"/>
              </w:rPr>
              <w:t xml:space="preserve">Omipalisib </w:t>
            </w:r>
            <w:r w:rsidRPr="00A020ED">
              <w:rPr>
                <w:rFonts w:ascii="Calibri" w:hAnsi="Calibri" w:cs="Calibri"/>
                <w:sz w:val="20"/>
                <w:szCs w:val="20"/>
                <w:lang w:val="it-IT" w:eastAsia="it-IT"/>
              </w:rPr>
              <w:t>(GSK2126458, GSK458)</w:t>
            </w:r>
          </w:p>
        </w:tc>
      </w:tr>
      <w:tr w:rsidR="00A020ED" w:rsidRPr="00A020ED" w:rsidTr="00A020ED">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Phase</w:t>
            </w:r>
          </w:p>
        </w:tc>
        <w:tc>
          <w:tcPr>
            <w:tcW w:w="142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Treatment</w:t>
            </w:r>
          </w:p>
        </w:tc>
        <w:tc>
          <w:tcPr>
            <w:tcW w:w="148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Disease</w:t>
            </w:r>
          </w:p>
        </w:tc>
        <w:tc>
          <w:tcPr>
            <w:tcW w:w="28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Outcome</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ISP</w:t>
            </w:r>
          </w:p>
        </w:tc>
        <w:tc>
          <w:tcPr>
            <w:tcW w:w="56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Status</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FP</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RFP</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LUP</w:t>
            </w:r>
          </w:p>
        </w:tc>
        <w:tc>
          <w:tcPr>
            <w:tcW w:w="1280" w:type="dxa"/>
            <w:tcBorders>
              <w:top w:val="nil"/>
              <w:left w:val="nil"/>
              <w:bottom w:val="nil"/>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Sponsor</w:t>
            </w:r>
          </w:p>
        </w:tc>
        <w:tc>
          <w:tcPr>
            <w:tcW w:w="1280" w:type="dxa"/>
            <w:tcBorders>
              <w:top w:val="nil"/>
              <w:left w:val="nil"/>
              <w:bottom w:val="nil"/>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Collaborator</w:t>
            </w:r>
          </w:p>
        </w:tc>
        <w:tc>
          <w:tcPr>
            <w:tcW w:w="122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NCT Identifier</w:t>
            </w:r>
          </w:p>
        </w:tc>
        <w:tc>
          <w:tcPr>
            <w:tcW w:w="48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color w:val="000000"/>
                <w:sz w:val="18"/>
                <w:szCs w:val="18"/>
                <w:lang w:val="it-IT" w:eastAsia="it-IT"/>
              </w:rPr>
            </w:pPr>
            <w:r w:rsidRPr="00A020ED">
              <w:rPr>
                <w:rFonts w:ascii="Calibri" w:hAnsi="Calibri" w:cs="Calibri"/>
                <w:b/>
                <w:bCs/>
                <w:color w:val="000000"/>
                <w:sz w:val="18"/>
                <w:szCs w:val="18"/>
                <w:lang w:val="it-IT" w:eastAsia="it-IT"/>
              </w:rPr>
              <w:t>R</w:t>
            </w:r>
          </w:p>
        </w:tc>
      </w:tr>
      <w:tr w:rsidR="00A020ED" w:rsidRPr="00A020ED" w:rsidTr="00A020ED">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Omipalisib</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Advanced solid tumor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Durable objective response. MTD: 2.5 mg/once daily</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2012</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2019</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GlaxoSmithKline</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NCT01725139</w:t>
            </w:r>
          </w:p>
        </w:tc>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A020ED" w:rsidRPr="00A020ED" w:rsidRDefault="007B6404" w:rsidP="007B6404">
            <w:pPr>
              <w:suppressAutoHyphens w:val="0"/>
              <w:jc w:val="center"/>
              <w:rPr>
                <w:rFonts w:ascii="Calibri" w:hAnsi="Calibri" w:cs="Calibri"/>
                <w:sz w:val="16"/>
                <w:szCs w:val="16"/>
                <w:lang w:val="it-IT" w:eastAsia="it-IT"/>
              </w:rPr>
            </w:pPr>
            <w:r>
              <w:rPr>
                <w:rFonts w:ascii="Calibri" w:hAnsi="Calibri" w:cs="Calibri"/>
                <w:sz w:val="16"/>
                <w:szCs w:val="16"/>
                <w:lang w:val="it-IT" w:eastAsia="it-IT"/>
              </w:rPr>
              <w:t>262</w:t>
            </w:r>
          </w:p>
        </w:tc>
      </w:tr>
      <w:tr w:rsidR="00A020ED" w:rsidRPr="00A020ED" w:rsidTr="00A020ED">
        <w:trPr>
          <w:trHeight w:val="255"/>
        </w:trPr>
        <w:tc>
          <w:tcPr>
            <w:tcW w:w="13060" w:type="dxa"/>
            <w:gridSpan w:val="13"/>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A020ED" w:rsidRPr="00A020ED" w:rsidRDefault="00A020ED" w:rsidP="00A020ED">
            <w:pPr>
              <w:suppressAutoHyphens w:val="0"/>
              <w:jc w:val="center"/>
              <w:rPr>
                <w:rFonts w:ascii="Calibri" w:hAnsi="Calibri" w:cs="Calibri"/>
                <w:b/>
                <w:bCs/>
                <w:sz w:val="20"/>
                <w:szCs w:val="20"/>
                <w:lang w:val="it-IT" w:eastAsia="it-IT"/>
              </w:rPr>
            </w:pPr>
            <w:r w:rsidRPr="00D54B83">
              <w:rPr>
                <w:rFonts w:ascii="Calibri" w:hAnsi="Calibri" w:cs="Calibri"/>
                <w:b/>
                <w:bCs/>
                <w:sz w:val="20"/>
                <w:szCs w:val="20"/>
                <w:lang w:val="it-IT" w:eastAsia="it-IT"/>
              </w:rPr>
              <w:t xml:space="preserve">Paxalisib </w:t>
            </w:r>
            <w:r w:rsidRPr="00D54B83">
              <w:rPr>
                <w:rFonts w:ascii="Calibri" w:hAnsi="Calibri" w:cs="Calibri"/>
                <w:sz w:val="20"/>
                <w:szCs w:val="20"/>
                <w:lang w:val="it-IT" w:eastAsia="it-IT"/>
              </w:rPr>
              <w:t>(</w:t>
            </w:r>
            <w:r w:rsidRPr="00A020ED">
              <w:rPr>
                <w:rFonts w:ascii="Calibri" w:hAnsi="Calibri" w:cs="Calibri"/>
                <w:sz w:val="20"/>
                <w:szCs w:val="20"/>
                <w:lang w:val="it-IT" w:eastAsia="it-IT"/>
              </w:rPr>
              <w:t xml:space="preserve">GDC-0084, RG7666) </w:t>
            </w:r>
          </w:p>
        </w:tc>
      </w:tr>
      <w:tr w:rsidR="00A020ED" w:rsidRPr="00A020ED" w:rsidTr="00A020ED">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Phase</w:t>
            </w:r>
          </w:p>
        </w:tc>
        <w:tc>
          <w:tcPr>
            <w:tcW w:w="142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Treatment</w:t>
            </w:r>
          </w:p>
        </w:tc>
        <w:tc>
          <w:tcPr>
            <w:tcW w:w="148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Disease</w:t>
            </w:r>
          </w:p>
        </w:tc>
        <w:tc>
          <w:tcPr>
            <w:tcW w:w="28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Outcome</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ISP</w:t>
            </w:r>
          </w:p>
        </w:tc>
        <w:tc>
          <w:tcPr>
            <w:tcW w:w="56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Status</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FP</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RFP</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LUP</w:t>
            </w:r>
          </w:p>
        </w:tc>
        <w:tc>
          <w:tcPr>
            <w:tcW w:w="1280" w:type="dxa"/>
            <w:tcBorders>
              <w:top w:val="nil"/>
              <w:left w:val="nil"/>
              <w:bottom w:val="nil"/>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Sponsor</w:t>
            </w:r>
          </w:p>
        </w:tc>
        <w:tc>
          <w:tcPr>
            <w:tcW w:w="1280" w:type="dxa"/>
            <w:tcBorders>
              <w:top w:val="nil"/>
              <w:left w:val="nil"/>
              <w:bottom w:val="nil"/>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Collaborator</w:t>
            </w:r>
          </w:p>
        </w:tc>
        <w:tc>
          <w:tcPr>
            <w:tcW w:w="122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NCT Identifier</w:t>
            </w:r>
          </w:p>
        </w:tc>
        <w:tc>
          <w:tcPr>
            <w:tcW w:w="48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color w:val="000000"/>
                <w:sz w:val="18"/>
                <w:szCs w:val="18"/>
                <w:lang w:val="it-IT" w:eastAsia="it-IT"/>
              </w:rPr>
            </w:pPr>
            <w:r w:rsidRPr="00A020ED">
              <w:rPr>
                <w:rFonts w:ascii="Calibri" w:hAnsi="Calibri" w:cs="Calibri"/>
                <w:b/>
                <w:bCs/>
                <w:color w:val="000000"/>
                <w:sz w:val="18"/>
                <w:szCs w:val="18"/>
                <w:lang w:val="it-IT" w:eastAsia="it-IT"/>
              </w:rPr>
              <w:t>R</w:t>
            </w:r>
          </w:p>
        </w:tc>
      </w:tr>
      <w:tr w:rsidR="00A020ED" w:rsidRPr="00A020ED" w:rsidTr="00A020ED">
        <w:trPr>
          <w:trHeight w:val="67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Paxalisib</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171360"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 xml:space="preserve">Progressive </w:t>
            </w:r>
            <w:r w:rsidR="00A020ED" w:rsidRPr="00A020ED">
              <w:rPr>
                <w:rFonts w:ascii="Calibri" w:hAnsi="Calibri" w:cs="Calibri"/>
                <w:sz w:val="16"/>
                <w:szCs w:val="16"/>
                <w:lang w:val="it-IT" w:eastAsia="it-IT"/>
              </w:rPr>
              <w:t xml:space="preserve">or recurrent high-grade glioma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SD: 40%. MTD: 45 mg/daily</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2012</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2016</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Genentech, Inc</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NCT01547546</w:t>
            </w:r>
          </w:p>
        </w:tc>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A020ED" w:rsidRPr="00A020ED" w:rsidRDefault="0099321B"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269</w:t>
            </w:r>
          </w:p>
        </w:tc>
      </w:tr>
      <w:tr w:rsidR="00A020ED" w:rsidRPr="00A020ED" w:rsidTr="00A020ED">
        <w:trPr>
          <w:trHeight w:val="255"/>
        </w:trPr>
        <w:tc>
          <w:tcPr>
            <w:tcW w:w="13060" w:type="dxa"/>
            <w:gridSpan w:val="13"/>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A020ED" w:rsidRPr="00A020ED" w:rsidRDefault="00A020ED" w:rsidP="00A020ED">
            <w:pPr>
              <w:suppressAutoHyphens w:val="0"/>
              <w:jc w:val="center"/>
              <w:rPr>
                <w:rFonts w:ascii="Calibri" w:hAnsi="Calibri" w:cs="Calibri"/>
                <w:b/>
                <w:bCs/>
                <w:sz w:val="20"/>
                <w:szCs w:val="20"/>
                <w:lang w:val="it-IT" w:eastAsia="it-IT"/>
              </w:rPr>
            </w:pPr>
            <w:r w:rsidRPr="007B0C1D">
              <w:rPr>
                <w:rFonts w:ascii="Calibri" w:hAnsi="Calibri" w:cs="Calibri"/>
                <w:b/>
                <w:bCs/>
                <w:sz w:val="20"/>
                <w:szCs w:val="20"/>
                <w:lang w:val="it-IT" w:eastAsia="it-IT"/>
              </w:rPr>
              <w:t xml:space="preserve">Samotolisib </w:t>
            </w:r>
            <w:r w:rsidRPr="007B0C1D">
              <w:rPr>
                <w:rFonts w:ascii="Calibri" w:hAnsi="Calibri" w:cs="Calibri"/>
                <w:sz w:val="20"/>
                <w:szCs w:val="20"/>
                <w:lang w:val="it-IT" w:eastAsia="it-IT"/>
              </w:rPr>
              <w:t>(LY3023414</w:t>
            </w:r>
            <w:r w:rsidRPr="00A020ED">
              <w:rPr>
                <w:rFonts w:ascii="Calibri" w:hAnsi="Calibri" w:cs="Calibri"/>
                <w:sz w:val="20"/>
                <w:szCs w:val="20"/>
                <w:lang w:val="it-IT" w:eastAsia="it-IT"/>
              </w:rPr>
              <w:t xml:space="preserve">, GTPL8918) </w:t>
            </w:r>
          </w:p>
        </w:tc>
      </w:tr>
      <w:tr w:rsidR="00A020ED" w:rsidRPr="00A020ED" w:rsidTr="00A020ED">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Phase</w:t>
            </w:r>
          </w:p>
        </w:tc>
        <w:tc>
          <w:tcPr>
            <w:tcW w:w="142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Treatment</w:t>
            </w:r>
          </w:p>
        </w:tc>
        <w:tc>
          <w:tcPr>
            <w:tcW w:w="148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Disease</w:t>
            </w:r>
          </w:p>
        </w:tc>
        <w:tc>
          <w:tcPr>
            <w:tcW w:w="28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Outcome</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ISP</w:t>
            </w:r>
          </w:p>
        </w:tc>
        <w:tc>
          <w:tcPr>
            <w:tcW w:w="56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Status</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FP</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RFP</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LUP</w:t>
            </w:r>
          </w:p>
        </w:tc>
        <w:tc>
          <w:tcPr>
            <w:tcW w:w="1280" w:type="dxa"/>
            <w:tcBorders>
              <w:top w:val="nil"/>
              <w:left w:val="nil"/>
              <w:bottom w:val="nil"/>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Sponsor</w:t>
            </w:r>
          </w:p>
        </w:tc>
        <w:tc>
          <w:tcPr>
            <w:tcW w:w="1280" w:type="dxa"/>
            <w:tcBorders>
              <w:top w:val="nil"/>
              <w:left w:val="nil"/>
              <w:bottom w:val="nil"/>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Collaborator</w:t>
            </w:r>
          </w:p>
        </w:tc>
        <w:tc>
          <w:tcPr>
            <w:tcW w:w="122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NCT Identifier</w:t>
            </w:r>
          </w:p>
        </w:tc>
        <w:tc>
          <w:tcPr>
            <w:tcW w:w="48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color w:val="000000"/>
                <w:sz w:val="18"/>
                <w:szCs w:val="18"/>
                <w:lang w:val="it-IT" w:eastAsia="it-IT"/>
              </w:rPr>
            </w:pPr>
            <w:r w:rsidRPr="00A020ED">
              <w:rPr>
                <w:rFonts w:ascii="Calibri" w:hAnsi="Calibri" w:cs="Calibri"/>
                <w:b/>
                <w:bCs/>
                <w:color w:val="000000"/>
                <w:sz w:val="18"/>
                <w:szCs w:val="18"/>
                <w:lang w:val="it-IT" w:eastAsia="it-IT"/>
              </w:rPr>
              <w:t>R</w:t>
            </w:r>
          </w:p>
        </w:tc>
      </w:tr>
      <w:tr w:rsidR="00A020ED" w:rsidRPr="00A020ED" w:rsidTr="009C01D4">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Samotolisib</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Advanced mesothelioma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PFS: 2.83 months; SD: 41%, ORR: 2.4%; DCR: 43%.</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2012</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Eli Lilly and Company</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NCT01655225</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A020ED" w:rsidRDefault="009C01D4"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287</w:t>
            </w:r>
          </w:p>
        </w:tc>
      </w:tr>
      <w:tr w:rsidR="00A020ED" w:rsidRPr="00A020ED" w:rsidTr="009C01D4">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Samotolisib</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Advanced solud tumor</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171360"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SD: 31.9%, and DCR: 34</w:t>
            </w:r>
            <w:r w:rsidR="00A020ED" w:rsidRPr="00A020ED">
              <w:rPr>
                <w:rFonts w:ascii="Calibri" w:hAnsi="Calibri" w:cs="Calibri"/>
                <w:sz w:val="16"/>
                <w:szCs w:val="16"/>
                <w:lang w:val="it-IT" w:eastAsia="it-IT"/>
              </w:rPr>
              <w:t xml:space="preserve">%. MTD: 325 mg/once daily or 200 mg/twice daily </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2012</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2022</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Eli Lilly and Company</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NCT01655225</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A020ED" w:rsidRDefault="009C01D4"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288</w:t>
            </w:r>
          </w:p>
        </w:tc>
      </w:tr>
      <w:tr w:rsidR="00A020ED" w:rsidRPr="00A020ED" w:rsidTr="009C01D4">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Samotolisib</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Advanced solud tumor</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DCR: 55.6% </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2015</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2018</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Eli Lilly and Company</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NCT02536586</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A020ED" w:rsidRDefault="009C01D4"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289</w:t>
            </w:r>
          </w:p>
        </w:tc>
      </w:tr>
      <w:tr w:rsidR="00A020ED" w:rsidRPr="00A020ED" w:rsidTr="009C01D4">
        <w:trPr>
          <w:trHeight w:val="67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lastRenderedPageBreak/>
              <w:t>1b</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Combination of samotolisib with prexasertib</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Advanced solud tumor</w:t>
            </w:r>
          </w:p>
        </w:tc>
        <w:tc>
          <w:tcPr>
            <w:tcW w:w="28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ORR: 15.4%; PR: 3.7%</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2014</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2020</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Eli Lilly and Company</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single" w:sz="4" w:space="0" w:color="auto"/>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NCT02124148</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20ED" w:rsidRPr="00A020ED" w:rsidRDefault="009C01D4"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290</w:t>
            </w:r>
          </w:p>
        </w:tc>
      </w:tr>
      <w:tr w:rsidR="00A020ED" w:rsidRPr="00A020ED" w:rsidTr="009C01D4">
        <w:trPr>
          <w:trHeight w:val="157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1b, 2</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Combination of samotolisib with enzalutamide</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Metastatic castration-resistant prostate cancer following tumor progression on abiraterone</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PFS: 3.8 months with samotolisib + enzalutamide versus 2.8 months with placebo + enzalutamide. Radiographic PFS: 10.2 months with samotolisib + enzalutamide versus 5.5 months with placebo + enzalutamide</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2015</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2021</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2021</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Eli Lilly and Company</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Sarah Cannon Development Innovations</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NCT02407054</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A020ED" w:rsidRDefault="009C01D4"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291</w:t>
            </w:r>
          </w:p>
        </w:tc>
      </w:tr>
      <w:tr w:rsidR="00A020ED" w:rsidRPr="00A020ED" w:rsidTr="009C01D4">
        <w:trPr>
          <w:trHeight w:val="13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Samotolisib</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Pretreated-advanced endometrial cancer with mutations in the PAM pathway</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ORR: 16%; CBR: 28%; PR: 16%; PFS: 2.5 months; OS: 9.2 months</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2015</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2022</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Memorial Sloan Kettering Cancer Center</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Eli Lilly and Company</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NCT02549989</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A020ED" w:rsidRDefault="009C01D4"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292</w:t>
            </w:r>
          </w:p>
        </w:tc>
      </w:tr>
      <w:tr w:rsidR="00A020ED" w:rsidRPr="00A020ED" w:rsidTr="00A020ED">
        <w:trPr>
          <w:trHeight w:val="255"/>
        </w:trPr>
        <w:tc>
          <w:tcPr>
            <w:tcW w:w="13060" w:type="dxa"/>
            <w:gridSpan w:val="13"/>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A020ED" w:rsidRPr="00A020ED" w:rsidRDefault="00A020ED" w:rsidP="00A020ED">
            <w:pPr>
              <w:suppressAutoHyphens w:val="0"/>
              <w:jc w:val="center"/>
              <w:rPr>
                <w:rFonts w:ascii="Calibri" w:hAnsi="Calibri" w:cs="Calibri"/>
                <w:b/>
                <w:bCs/>
                <w:sz w:val="20"/>
                <w:szCs w:val="20"/>
                <w:lang w:val="it-IT" w:eastAsia="it-IT"/>
              </w:rPr>
            </w:pPr>
            <w:r w:rsidRPr="00A6126D">
              <w:rPr>
                <w:rFonts w:ascii="Calibri" w:hAnsi="Calibri" w:cs="Calibri"/>
                <w:b/>
                <w:bCs/>
                <w:sz w:val="20"/>
                <w:szCs w:val="20"/>
                <w:lang w:val="it-IT" w:eastAsia="it-IT"/>
              </w:rPr>
              <w:t xml:space="preserve">Voxtalisib </w:t>
            </w:r>
            <w:r w:rsidRPr="00A6126D">
              <w:rPr>
                <w:rFonts w:ascii="Calibri" w:hAnsi="Calibri" w:cs="Calibri"/>
                <w:sz w:val="20"/>
                <w:szCs w:val="20"/>
                <w:lang w:val="it-IT" w:eastAsia="it-IT"/>
              </w:rPr>
              <w:t>(XL765, SAR245409</w:t>
            </w:r>
            <w:r w:rsidRPr="00A020ED">
              <w:rPr>
                <w:rFonts w:ascii="Calibri" w:hAnsi="Calibri" w:cs="Calibri"/>
                <w:sz w:val="20"/>
                <w:szCs w:val="20"/>
                <w:lang w:val="it-IT" w:eastAsia="it-IT"/>
              </w:rPr>
              <w:t>)</w:t>
            </w:r>
          </w:p>
        </w:tc>
      </w:tr>
      <w:tr w:rsidR="00A020ED" w:rsidRPr="00A020ED" w:rsidTr="00A020ED">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Phase</w:t>
            </w:r>
          </w:p>
        </w:tc>
        <w:tc>
          <w:tcPr>
            <w:tcW w:w="142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Treatment</w:t>
            </w:r>
          </w:p>
        </w:tc>
        <w:tc>
          <w:tcPr>
            <w:tcW w:w="148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Disease</w:t>
            </w:r>
          </w:p>
        </w:tc>
        <w:tc>
          <w:tcPr>
            <w:tcW w:w="28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Outcome</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ISP</w:t>
            </w:r>
          </w:p>
        </w:tc>
        <w:tc>
          <w:tcPr>
            <w:tcW w:w="56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Status</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FP</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RFP</w:t>
            </w:r>
          </w:p>
        </w:tc>
        <w:tc>
          <w:tcPr>
            <w:tcW w:w="50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LUP</w:t>
            </w:r>
          </w:p>
        </w:tc>
        <w:tc>
          <w:tcPr>
            <w:tcW w:w="1280" w:type="dxa"/>
            <w:tcBorders>
              <w:top w:val="nil"/>
              <w:left w:val="nil"/>
              <w:bottom w:val="nil"/>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Sponsor</w:t>
            </w:r>
          </w:p>
        </w:tc>
        <w:tc>
          <w:tcPr>
            <w:tcW w:w="1280" w:type="dxa"/>
            <w:tcBorders>
              <w:top w:val="nil"/>
              <w:left w:val="nil"/>
              <w:bottom w:val="nil"/>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Collaborator</w:t>
            </w:r>
          </w:p>
        </w:tc>
        <w:tc>
          <w:tcPr>
            <w:tcW w:w="122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sz w:val="18"/>
                <w:szCs w:val="18"/>
                <w:lang w:val="it-IT" w:eastAsia="it-IT"/>
              </w:rPr>
            </w:pPr>
            <w:r w:rsidRPr="00A020ED">
              <w:rPr>
                <w:rFonts w:ascii="Calibri" w:hAnsi="Calibri" w:cs="Calibri"/>
                <w:b/>
                <w:bCs/>
                <w:sz w:val="18"/>
                <w:szCs w:val="18"/>
                <w:lang w:val="it-IT" w:eastAsia="it-IT"/>
              </w:rPr>
              <w:t>NCT Identifier</w:t>
            </w:r>
          </w:p>
        </w:tc>
        <w:tc>
          <w:tcPr>
            <w:tcW w:w="480" w:type="dxa"/>
            <w:tcBorders>
              <w:top w:val="nil"/>
              <w:left w:val="nil"/>
              <w:bottom w:val="single" w:sz="4" w:space="0" w:color="auto"/>
              <w:right w:val="single" w:sz="4" w:space="0" w:color="auto"/>
            </w:tcBorders>
            <w:shd w:val="clear" w:color="auto" w:fill="auto"/>
            <w:noWrap/>
            <w:vAlign w:val="center"/>
            <w:hideMark/>
          </w:tcPr>
          <w:p w:rsidR="00A020ED" w:rsidRPr="00A020ED" w:rsidRDefault="00A020ED" w:rsidP="00A020ED">
            <w:pPr>
              <w:suppressAutoHyphens w:val="0"/>
              <w:jc w:val="center"/>
              <w:rPr>
                <w:rFonts w:ascii="Calibri" w:hAnsi="Calibri" w:cs="Calibri"/>
                <w:b/>
                <w:bCs/>
                <w:color w:val="000000"/>
                <w:sz w:val="18"/>
                <w:szCs w:val="18"/>
                <w:lang w:val="it-IT" w:eastAsia="it-IT"/>
              </w:rPr>
            </w:pPr>
            <w:r w:rsidRPr="00A020ED">
              <w:rPr>
                <w:rFonts w:ascii="Calibri" w:hAnsi="Calibri" w:cs="Calibri"/>
                <w:b/>
                <w:bCs/>
                <w:color w:val="000000"/>
                <w:sz w:val="18"/>
                <w:szCs w:val="18"/>
                <w:lang w:val="it-IT" w:eastAsia="it-IT"/>
              </w:rPr>
              <w:t>R</w:t>
            </w:r>
          </w:p>
        </w:tc>
      </w:tr>
      <w:tr w:rsidR="00A020ED" w:rsidRPr="00A020ED" w:rsidTr="00A020ED">
        <w:trPr>
          <w:trHeight w:val="67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Voxtalisib</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Recurrent glioma</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Inhibition of PAM signaling pathway; reduction of pS6K1; decrease of Ki67 expression</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2010</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Sanofi</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NCT01240460</w:t>
            </w:r>
          </w:p>
        </w:tc>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A020ED" w:rsidRPr="00A020ED" w:rsidRDefault="0000132C" w:rsidP="0000132C">
            <w:pPr>
              <w:suppressAutoHyphens w:val="0"/>
              <w:jc w:val="center"/>
              <w:rPr>
                <w:rFonts w:ascii="Calibri" w:hAnsi="Calibri" w:cs="Calibri"/>
                <w:sz w:val="16"/>
                <w:szCs w:val="16"/>
                <w:lang w:val="it-IT" w:eastAsia="it-IT"/>
              </w:rPr>
            </w:pPr>
            <w:r>
              <w:rPr>
                <w:rFonts w:ascii="Calibri" w:hAnsi="Calibri" w:cs="Calibri"/>
                <w:sz w:val="16"/>
                <w:szCs w:val="16"/>
                <w:lang w:val="it-IT" w:eastAsia="it-IT"/>
              </w:rPr>
              <w:t>296</w:t>
            </w:r>
          </w:p>
        </w:tc>
      </w:tr>
      <w:tr w:rsidR="00A020ED" w:rsidRPr="00A020ED" w:rsidTr="0000132C">
        <w:trPr>
          <w:trHeight w:val="112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Voxtalisib</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Advanced solid tumor</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SD: 48%; inhibition of PAM signaling pathway; reduction of pAKT(T308), pAKT(S473), and pEBP1 in paired cancer biopsises. MTD: 90 mg/once daily, and 50 mg/twice daily</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2007</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2013</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Sanofi</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NCT00485719</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A020ED" w:rsidRDefault="00A056F1"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297</w:t>
            </w:r>
          </w:p>
        </w:tc>
      </w:tr>
      <w:tr w:rsidR="00A020ED" w:rsidRPr="00A020ED" w:rsidTr="0000132C">
        <w:trPr>
          <w:trHeight w:val="9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Voxtalisib</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Advanced solid tumor</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SD: 29% in the once/daily conhort, and 50% in the twice/daily cohort. MTD: 60 mg/once daily, and 40 mg/twice daily</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2012</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2020</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Sanofi</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NCT01596270</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A020ED" w:rsidRDefault="00A056F1"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298</w:t>
            </w:r>
          </w:p>
        </w:tc>
      </w:tr>
      <w:tr w:rsidR="00A020ED" w:rsidRPr="00A020ED" w:rsidTr="0000132C">
        <w:trPr>
          <w:trHeight w:val="112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Combination of voxtalisib with erlotinib </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Advanced solid tumor</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SD: 37.5%; reduction of pAKT(T308), p4EBP1T70, pEGFRY1045, and pERKT202/Y204. RP2D: 90 mg/once daily, and 50 mg/twice daily. MTD: 70 mg/once daily, and 20 mg/twice daily</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2008</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2012</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Sanofi</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NCT00777699</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A020ED" w:rsidRDefault="00A056F1"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299</w:t>
            </w:r>
          </w:p>
        </w:tc>
      </w:tr>
      <w:tr w:rsidR="00A020ED" w:rsidRPr="00A020ED" w:rsidTr="0000132C">
        <w:trPr>
          <w:trHeight w:val="13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w:t>
            </w:r>
          </w:p>
        </w:tc>
        <w:tc>
          <w:tcPr>
            <w:tcW w:w="142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Combination of voxtalisib with temozolomide with/without radiotherapy</w:t>
            </w:r>
          </w:p>
        </w:tc>
        <w:tc>
          <w:tcPr>
            <w:tcW w:w="14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 xml:space="preserve">High-grade malignant glioma </w:t>
            </w:r>
          </w:p>
        </w:tc>
        <w:tc>
          <w:tcPr>
            <w:tcW w:w="28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SD: 68%; PR: 4%; suppression of PAM signaling pathway. MTD: 90 mg/once daily, and 40 mg/twice daily, with voxtalisib + temozolomide. MTD: not reached with voxtalisib + temozolomide + radiotherapy</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F</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2008</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2013</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Sanofi</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NCT00704080</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A020ED" w:rsidRDefault="00A056F1"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300</w:t>
            </w:r>
          </w:p>
        </w:tc>
      </w:tr>
      <w:tr w:rsidR="00A020ED" w:rsidRPr="00A020ED" w:rsidTr="0000132C">
        <w:trPr>
          <w:trHeight w:val="67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lastRenderedPageBreak/>
              <w:t>1b</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A020ED" w:rsidRPr="000C76DD" w:rsidRDefault="00A020ED" w:rsidP="00A020ED">
            <w:pPr>
              <w:suppressAutoHyphens w:val="0"/>
              <w:jc w:val="center"/>
              <w:rPr>
                <w:rFonts w:ascii="Calibri" w:hAnsi="Calibri" w:cs="Calibri"/>
                <w:sz w:val="16"/>
                <w:szCs w:val="16"/>
                <w:lang w:val="it-IT" w:eastAsia="it-IT"/>
              </w:rPr>
            </w:pPr>
            <w:r w:rsidRPr="000C76DD">
              <w:rPr>
                <w:rFonts w:ascii="Calibri" w:hAnsi="Calibri" w:cs="Calibri"/>
                <w:sz w:val="16"/>
                <w:szCs w:val="16"/>
                <w:lang w:val="it-IT" w:eastAsia="it-IT"/>
              </w:rPr>
              <w:t>Combination of voxtalisib with rituximab</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020ED" w:rsidRPr="000C76DD" w:rsidRDefault="00A020ED" w:rsidP="00A020ED">
            <w:pPr>
              <w:suppressAutoHyphens w:val="0"/>
              <w:jc w:val="center"/>
              <w:rPr>
                <w:rFonts w:ascii="Calibri" w:hAnsi="Calibri" w:cs="Calibri"/>
                <w:sz w:val="16"/>
                <w:szCs w:val="16"/>
                <w:lang w:val="it-IT" w:eastAsia="it-IT"/>
              </w:rPr>
            </w:pPr>
            <w:r w:rsidRPr="000C76DD">
              <w:rPr>
                <w:rFonts w:ascii="Calibri" w:hAnsi="Calibri" w:cs="Calibri"/>
                <w:sz w:val="16"/>
                <w:szCs w:val="16"/>
                <w:lang w:val="it-IT" w:eastAsia="it-IT"/>
              </w:rPr>
              <w:t>Relapsed or refractory B-cell malignancies</w:t>
            </w:r>
          </w:p>
        </w:tc>
        <w:tc>
          <w:tcPr>
            <w:tcW w:w="2800" w:type="dxa"/>
            <w:tcBorders>
              <w:top w:val="single" w:sz="4" w:space="0" w:color="auto"/>
              <w:left w:val="nil"/>
              <w:bottom w:val="single" w:sz="4" w:space="0" w:color="auto"/>
              <w:right w:val="single" w:sz="4" w:space="0" w:color="auto"/>
            </w:tcBorders>
            <w:shd w:val="clear" w:color="auto" w:fill="auto"/>
            <w:vAlign w:val="center"/>
            <w:hideMark/>
          </w:tcPr>
          <w:p w:rsidR="00A020ED" w:rsidRPr="000C76DD" w:rsidRDefault="00A020ED" w:rsidP="00A020ED">
            <w:pPr>
              <w:suppressAutoHyphens w:val="0"/>
              <w:jc w:val="center"/>
              <w:rPr>
                <w:rFonts w:ascii="Calibri" w:hAnsi="Calibri" w:cs="Calibri"/>
                <w:sz w:val="16"/>
                <w:szCs w:val="16"/>
                <w:lang w:val="it-IT" w:eastAsia="it-IT"/>
              </w:rPr>
            </w:pPr>
            <w:r w:rsidRPr="000C76DD">
              <w:rPr>
                <w:rFonts w:ascii="Calibri" w:hAnsi="Calibri" w:cs="Calibri"/>
                <w:sz w:val="16"/>
                <w:szCs w:val="16"/>
                <w:lang w:val="it-IT" w:eastAsia="it-IT"/>
              </w:rPr>
              <w:t>PR: 33.3%, CR: 6.7%, SD: 46.7%, and PFS: 33.4 weeks. RP2D: 50 mg/twice daily</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2011</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2016</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Sanofi</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single" w:sz="4" w:space="0" w:color="auto"/>
              <w:left w:val="nil"/>
              <w:bottom w:val="single" w:sz="4" w:space="0" w:color="auto"/>
              <w:right w:val="nil"/>
            </w:tcBorders>
            <w:shd w:val="clear" w:color="auto" w:fill="auto"/>
            <w:vAlign w:val="center"/>
            <w:hideMark/>
          </w:tcPr>
          <w:p w:rsidR="00A020ED" w:rsidRPr="00262219" w:rsidRDefault="00A020ED" w:rsidP="00A020ED">
            <w:pPr>
              <w:suppressAutoHyphens w:val="0"/>
              <w:jc w:val="center"/>
              <w:rPr>
                <w:rFonts w:ascii="Calibri" w:hAnsi="Calibri" w:cs="Calibri"/>
                <w:sz w:val="16"/>
                <w:szCs w:val="16"/>
                <w:lang w:val="it-IT" w:eastAsia="it-IT"/>
              </w:rPr>
            </w:pPr>
            <w:r w:rsidRPr="00262219">
              <w:rPr>
                <w:rFonts w:ascii="Calibri" w:hAnsi="Calibri" w:cs="Calibri"/>
                <w:sz w:val="16"/>
                <w:szCs w:val="16"/>
                <w:lang w:val="it-IT" w:eastAsia="it-IT"/>
              </w:rPr>
              <w:t>NCT01410513</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20ED" w:rsidRPr="00262219" w:rsidRDefault="00A056F1" w:rsidP="00A020ED">
            <w:pPr>
              <w:suppressAutoHyphens w:val="0"/>
              <w:jc w:val="center"/>
              <w:rPr>
                <w:rFonts w:ascii="Calibri" w:hAnsi="Calibri" w:cs="Calibri"/>
                <w:sz w:val="16"/>
                <w:szCs w:val="16"/>
                <w:lang w:val="it-IT" w:eastAsia="it-IT"/>
              </w:rPr>
            </w:pPr>
            <w:r w:rsidRPr="00262219">
              <w:rPr>
                <w:rFonts w:ascii="Calibri" w:hAnsi="Calibri" w:cs="Calibri"/>
                <w:sz w:val="16"/>
                <w:szCs w:val="16"/>
                <w:lang w:val="it-IT" w:eastAsia="it-IT"/>
              </w:rPr>
              <w:t>301</w:t>
            </w:r>
          </w:p>
        </w:tc>
      </w:tr>
      <w:tr w:rsidR="00A020ED" w:rsidRPr="00A020ED" w:rsidTr="0000132C">
        <w:trPr>
          <w:trHeight w:val="157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1b</w:t>
            </w:r>
          </w:p>
        </w:tc>
        <w:tc>
          <w:tcPr>
            <w:tcW w:w="1420" w:type="dxa"/>
            <w:tcBorders>
              <w:top w:val="nil"/>
              <w:left w:val="nil"/>
              <w:bottom w:val="single" w:sz="4" w:space="0" w:color="auto"/>
              <w:right w:val="single" w:sz="4" w:space="0" w:color="auto"/>
            </w:tcBorders>
            <w:shd w:val="clear" w:color="auto" w:fill="auto"/>
            <w:vAlign w:val="center"/>
            <w:hideMark/>
          </w:tcPr>
          <w:p w:rsidR="00A020ED" w:rsidRPr="000C76DD" w:rsidRDefault="00A020ED" w:rsidP="00A020ED">
            <w:pPr>
              <w:suppressAutoHyphens w:val="0"/>
              <w:jc w:val="center"/>
              <w:rPr>
                <w:rFonts w:ascii="Calibri" w:hAnsi="Calibri" w:cs="Calibri"/>
                <w:sz w:val="16"/>
                <w:szCs w:val="16"/>
                <w:lang w:val="it-IT" w:eastAsia="it-IT"/>
              </w:rPr>
            </w:pPr>
            <w:r w:rsidRPr="000C76DD">
              <w:rPr>
                <w:rFonts w:ascii="Calibri" w:hAnsi="Calibri" w:cs="Calibri"/>
                <w:sz w:val="16"/>
                <w:szCs w:val="16"/>
                <w:lang w:val="it-IT" w:eastAsia="it-IT"/>
              </w:rPr>
              <w:t>Triple combination of voxtalisib with rituximab and bendamustine</w:t>
            </w:r>
          </w:p>
        </w:tc>
        <w:tc>
          <w:tcPr>
            <w:tcW w:w="1480" w:type="dxa"/>
            <w:tcBorders>
              <w:top w:val="nil"/>
              <w:left w:val="nil"/>
              <w:bottom w:val="single" w:sz="4" w:space="0" w:color="auto"/>
              <w:right w:val="single" w:sz="4" w:space="0" w:color="auto"/>
            </w:tcBorders>
            <w:shd w:val="clear" w:color="auto" w:fill="auto"/>
            <w:vAlign w:val="center"/>
            <w:hideMark/>
          </w:tcPr>
          <w:p w:rsidR="00A020ED" w:rsidRPr="000C76DD" w:rsidRDefault="00A020ED" w:rsidP="00A020ED">
            <w:pPr>
              <w:suppressAutoHyphens w:val="0"/>
              <w:jc w:val="center"/>
              <w:rPr>
                <w:rFonts w:ascii="Calibri" w:hAnsi="Calibri" w:cs="Calibri"/>
                <w:sz w:val="16"/>
                <w:szCs w:val="16"/>
                <w:lang w:val="it-IT" w:eastAsia="it-IT"/>
              </w:rPr>
            </w:pPr>
            <w:r w:rsidRPr="000C76DD">
              <w:rPr>
                <w:rFonts w:ascii="Calibri" w:hAnsi="Calibri" w:cs="Calibri"/>
                <w:sz w:val="16"/>
                <w:szCs w:val="16"/>
                <w:lang w:val="it-IT" w:eastAsia="it-IT"/>
              </w:rPr>
              <w:t>Relapsed or refractory B-cell malignancies</w:t>
            </w:r>
          </w:p>
        </w:tc>
        <w:tc>
          <w:tcPr>
            <w:tcW w:w="2800" w:type="dxa"/>
            <w:tcBorders>
              <w:top w:val="nil"/>
              <w:left w:val="nil"/>
              <w:bottom w:val="single" w:sz="4" w:space="0" w:color="auto"/>
              <w:right w:val="single" w:sz="4" w:space="0" w:color="auto"/>
            </w:tcBorders>
            <w:shd w:val="clear" w:color="auto" w:fill="auto"/>
            <w:vAlign w:val="center"/>
            <w:hideMark/>
          </w:tcPr>
          <w:p w:rsidR="00A020ED" w:rsidRPr="000C76DD" w:rsidRDefault="00A020ED" w:rsidP="00A020ED">
            <w:pPr>
              <w:suppressAutoHyphens w:val="0"/>
              <w:jc w:val="center"/>
              <w:rPr>
                <w:rFonts w:ascii="Calibri" w:hAnsi="Calibri" w:cs="Calibri"/>
                <w:sz w:val="16"/>
                <w:szCs w:val="16"/>
                <w:lang w:val="it-IT" w:eastAsia="it-IT"/>
              </w:rPr>
            </w:pPr>
            <w:r w:rsidRPr="000C76DD">
              <w:rPr>
                <w:rFonts w:ascii="Calibri" w:hAnsi="Calibri" w:cs="Calibri"/>
                <w:sz w:val="16"/>
                <w:szCs w:val="16"/>
                <w:lang w:val="it-IT" w:eastAsia="it-IT"/>
              </w:rPr>
              <w:t>PR: 37.5%, CR: 12.5%, SD: 37.5%, and PFS: 33.4 weeks (indolent non-Hodgkin lymphoma or mantle cell lymphoma). PR: 41.7%, CR: 16.7%, SD: 33.3%, and PFS: 26.1 weeks (chronic lymphocytic leukaemia). RP2D: 50 mg/twice daily</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2011</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2016</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Sanofi</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262219" w:rsidRDefault="00A020ED" w:rsidP="00A020ED">
            <w:pPr>
              <w:suppressAutoHyphens w:val="0"/>
              <w:jc w:val="center"/>
              <w:rPr>
                <w:rFonts w:ascii="Calibri" w:hAnsi="Calibri" w:cs="Calibri"/>
                <w:sz w:val="16"/>
                <w:szCs w:val="16"/>
                <w:lang w:val="it-IT" w:eastAsia="it-IT"/>
              </w:rPr>
            </w:pPr>
            <w:r w:rsidRPr="00262219">
              <w:rPr>
                <w:rFonts w:ascii="Calibri" w:hAnsi="Calibri" w:cs="Calibri"/>
                <w:sz w:val="16"/>
                <w:szCs w:val="16"/>
                <w:lang w:val="it-IT" w:eastAsia="it-IT"/>
              </w:rPr>
              <w:t>NCT01410513</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262219" w:rsidRDefault="00A056F1" w:rsidP="00A020ED">
            <w:pPr>
              <w:suppressAutoHyphens w:val="0"/>
              <w:jc w:val="center"/>
              <w:rPr>
                <w:rFonts w:ascii="Calibri" w:hAnsi="Calibri" w:cs="Calibri"/>
                <w:sz w:val="16"/>
                <w:szCs w:val="16"/>
                <w:lang w:val="it-IT" w:eastAsia="it-IT"/>
              </w:rPr>
            </w:pPr>
            <w:r w:rsidRPr="00262219">
              <w:rPr>
                <w:rFonts w:ascii="Calibri" w:hAnsi="Calibri" w:cs="Calibri"/>
                <w:sz w:val="16"/>
                <w:szCs w:val="16"/>
                <w:lang w:val="it-IT" w:eastAsia="it-IT"/>
              </w:rPr>
              <w:t>301</w:t>
            </w:r>
          </w:p>
        </w:tc>
      </w:tr>
      <w:tr w:rsidR="00A020ED" w:rsidRPr="00A020ED" w:rsidTr="0000132C">
        <w:trPr>
          <w:trHeight w:val="18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020ED" w:rsidRPr="00177873" w:rsidRDefault="00A020ED" w:rsidP="00A020ED">
            <w:pPr>
              <w:suppressAutoHyphens w:val="0"/>
              <w:jc w:val="center"/>
              <w:rPr>
                <w:rFonts w:ascii="Calibri" w:hAnsi="Calibri" w:cs="Calibri"/>
                <w:sz w:val="16"/>
                <w:szCs w:val="16"/>
                <w:lang w:val="it-IT" w:eastAsia="it-IT"/>
              </w:rPr>
            </w:pPr>
            <w:r w:rsidRPr="00177873">
              <w:rPr>
                <w:rFonts w:ascii="Calibri" w:hAnsi="Calibri" w:cs="Calibri"/>
                <w:sz w:val="16"/>
                <w:szCs w:val="16"/>
                <w:lang w:val="it-IT" w:eastAsia="it-IT"/>
              </w:rPr>
              <w:t>2</w:t>
            </w:r>
          </w:p>
        </w:tc>
        <w:tc>
          <w:tcPr>
            <w:tcW w:w="1420" w:type="dxa"/>
            <w:tcBorders>
              <w:top w:val="nil"/>
              <w:left w:val="nil"/>
              <w:bottom w:val="single" w:sz="4" w:space="0" w:color="auto"/>
              <w:right w:val="single" w:sz="4" w:space="0" w:color="auto"/>
            </w:tcBorders>
            <w:shd w:val="clear" w:color="auto" w:fill="auto"/>
            <w:vAlign w:val="center"/>
            <w:hideMark/>
          </w:tcPr>
          <w:p w:rsidR="00A020ED" w:rsidRPr="000C76DD" w:rsidRDefault="00A020ED" w:rsidP="00A020ED">
            <w:pPr>
              <w:suppressAutoHyphens w:val="0"/>
              <w:jc w:val="center"/>
              <w:rPr>
                <w:rFonts w:ascii="Calibri" w:hAnsi="Calibri" w:cs="Calibri"/>
                <w:sz w:val="16"/>
                <w:szCs w:val="16"/>
                <w:lang w:val="it-IT" w:eastAsia="it-IT"/>
              </w:rPr>
            </w:pPr>
            <w:r w:rsidRPr="000C76DD">
              <w:rPr>
                <w:rFonts w:ascii="Calibri" w:hAnsi="Calibri" w:cs="Calibri"/>
                <w:sz w:val="16"/>
                <w:szCs w:val="16"/>
                <w:lang w:val="it-IT" w:eastAsia="it-IT"/>
              </w:rPr>
              <w:t>Voxtalisib</w:t>
            </w:r>
          </w:p>
        </w:tc>
        <w:tc>
          <w:tcPr>
            <w:tcW w:w="1480" w:type="dxa"/>
            <w:tcBorders>
              <w:top w:val="nil"/>
              <w:left w:val="nil"/>
              <w:bottom w:val="single" w:sz="4" w:space="0" w:color="auto"/>
              <w:right w:val="single" w:sz="4" w:space="0" w:color="auto"/>
            </w:tcBorders>
            <w:shd w:val="clear" w:color="auto" w:fill="auto"/>
            <w:vAlign w:val="center"/>
            <w:hideMark/>
          </w:tcPr>
          <w:p w:rsidR="00A020ED" w:rsidRPr="000C76DD" w:rsidRDefault="00A020ED" w:rsidP="00A020ED">
            <w:pPr>
              <w:suppressAutoHyphens w:val="0"/>
              <w:jc w:val="center"/>
              <w:rPr>
                <w:rFonts w:ascii="Calibri" w:hAnsi="Calibri" w:cs="Calibri"/>
                <w:sz w:val="16"/>
                <w:szCs w:val="16"/>
                <w:lang w:val="it-IT" w:eastAsia="it-IT"/>
              </w:rPr>
            </w:pPr>
            <w:r w:rsidRPr="000C76DD">
              <w:rPr>
                <w:rFonts w:ascii="Calibri" w:hAnsi="Calibri" w:cs="Calibri"/>
                <w:sz w:val="16"/>
                <w:szCs w:val="16"/>
                <w:lang w:val="it-IT" w:eastAsia="it-IT"/>
              </w:rPr>
              <w:t xml:space="preserve">Relapsed or refractory non-Hodgkin lymphoma or chronic lymphocytic leukaemia </w:t>
            </w:r>
          </w:p>
        </w:tc>
        <w:tc>
          <w:tcPr>
            <w:tcW w:w="2800" w:type="dxa"/>
            <w:tcBorders>
              <w:top w:val="nil"/>
              <w:left w:val="nil"/>
              <w:bottom w:val="single" w:sz="4" w:space="0" w:color="auto"/>
              <w:right w:val="single" w:sz="4" w:space="0" w:color="auto"/>
            </w:tcBorders>
            <w:shd w:val="clear" w:color="auto" w:fill="auto"/>
            <w:vAlign w:val="center"/>
            <w:hideMark/>
          </w:tcPr>
          <w:p w:rsidR="00A020ED" w:rsidRPr="000C76DD" w:rsidRDefault="00A020ED" w:rsidP="00A020ED">
            <w:pPr>
              <w:suppressAutoHyphens w:val="0"/>
              <w:jc w:val="center"/>
              <w:rPr>
                <w:rFonts w:ascii="Calibri" w:hAnsi="Calibri" w:cs="Calibri"/>
                <w:sz w:val="16"/>
                <w:szCs w:val="16"/>
                <w:lang w:val="it-IT" w:eastAsia="it-IT"/>
              </w:rPr>
            </w:pPr>
            <w:r w:rsidRPr="000C76DD">
              <w:rPr>
                <w:rFonts w:ascii="Calibri" w:hAnsi="Calibri" w:cs="Calibri"/>
                <w:sz w:val="16"/>
                <w:szCs w:val="16"/>
                <w:lang w:val="it-IT" w:eastAsia="it-IT"/>
              </w:rPr>
              <w:t xml:space="preserve"> ORR: 18.3%; CR: 5%; PR: 13.4%; SD: 33.5%; PFS: 14.4 weeks. ORR: 41.3% (follicular lymphoma); ORR: 11.9% (mantle cell lymphoma); ORR: 4.9% (diffuse large B-cell lymphoma); ORR: 11.4% (chronic lymphocytic leukaemia and small lymphocytic lymphoma)</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A</w:t>
            </w:r>
          </w:p>
        </w:tc>
        <w:tc>
          <w:tcPr>
            <w:tcW w:w="56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C</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2011</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50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2016</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Sanofi</w:t>
            </w:r>
          </w:p>
        </w:tc>
        <w:tc>
          <w:tcPr>
            <w:tcW w:w="1280" w:type="dxa"/>
            <w:tcBorders>
              <w:top w:val="nil"/>
              <w:left w:val="nil"/>
              <w:bottom w:val="single" w:sz="4" w:space="0" w:color="auto"/>
              <w:right w:val="single" w:sz="4" w:space="0" w:color="auto"/>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w:t>
            </w:r>
          </w:p>
        </w:tc>
        <w:tc>
          <w:tcPr>
            <w:tcW w:w="1220" w:type="dxa"/>
            <w:tcBorders>
              <w:top w:val="nil"/>
              <w:left w:val="nil"/>
              <w:bottom w:val="single" w:sz="4" w:space="0" w:color="auto"/>
              <w:right w:val="nil"/>
            </w:tcBorders>
            <w:shd w:val="clear" w:color="auto" w:fill="auto"/>
            <w:vAlign w:val="center"/>
            <w:hideMark/>
          </w:tcPr>
          <w:p w:rsidR="00A020ED" w:rsidRPr="00A020ED" w:rsidRDefault="00A020ED" w:rsidP="00A020ED">
            <w:pPr>
              <w:suppressAutoHyphens w:val="0"/>
              <w:jc w:val="center"/>
              <w:rPr>
                <w:rFonts w:ascii="Calibri" w:hAnsi="Calibri" w:cs="Calibri"/>
                <w:sz w:val="16"/>
                <w:szCs w:val="16"/>
                <w:lang w:val="it-IT" w:eastAsia="it-IT"/>
              </w:rPr>
            </w:pPr>
            <w:r w:rsidRPr="00A020ED">
              <w:rPr>
                <w:rFonts w:ascii="Calibri" w:hAnsi="Calibri" w:cs="Calibri"/>
                <w:sz w:val="16"/>
                <w:szCs w:val="16"/>
                <w:lang w:val="it-IT" w:eastAsia="it-IT"/>
              </w:rPr>
              <w:t>NCT01403636</w:t>
            </w:r>
          </w:p>
        </w:tc>
        <w:tc>
          <w:tcPr>
            <w:tcW w:w="480" w:type="dxa"/>
            <w:tcBorders>
              <w:top w:val="nil"/>
              <w:left w:val="single" w:sz="4" w:space="0" w:color="auto"/>
              <w:bottom w:val="single" w:sz="4" w:space="0" w:color="auto"/>
              <w:right w:val="single" w:sz="4" w:space="0" w:color="auto"/>
            </w:tcBorders>
            <w:shd w:val="clear" w:color="auto" w:fill="auto"/>
            <w:noWrap/>
            <w:vAlign w:val="center"/>
          </w:tcPr>
          <w:p w:rsidR="00A020ED" w:rsidRPr="00A020ED" w:rsidRDefault="00A056F1" w:rsidP="00A020ED">
            <w:pPr>
              <w:suppressAutoHyphens w:val="0"/>
              <w:jc w:val="center"/>
              <w:rPr>
                <w:rFonts w:ascii="Calibri" w:hAnsi="Calibri" w:cs="Calibri"/>
                <w:sz w:val="16"/>
                <w:szCs w:val="16"/>
                <w:lang w:val="it-IT" w:eastAsia="it-IT"/>
              </w:rPr>
            </w:pPr>
            <w:r>
              <w:rPr>
                <w:rFonts w:ascii="Calibri" w:hAnsi="Calibri" w:cs="Calibri"/>
                <w:sz w:val="16"/>
                <w:szCs w:val="16"/>
                <w:lang w:val="it-IT" w:eastAsia="it-IT"/>
              </w:rPr>
              <w:t>302</w:t>
            </w:r>
          </w:p>
        </w:tc>
      </w:tr>
    </w:tbl>
    <w:p w:rsidR="00A47BCB" w:rsidRPr="00B8084C" w:rsidRDefault="00A47BCB" w:rsidP="0067063A">
      <w:pPr>
        <w:rPr>
          <w:rFonts w:ascii="Georgia" w:hAnsi="Georgia"/>
          <w:color w:val="006600"/>
          <w:lang w:val="en-GB"/>
        </w:rPr>
      </w:pPr>
    </w:p>
    <w:sectPr w:rsidR="00A47BCB" w:rsidRPr="00B8084C" w:rsidSect="0067063A">
      <w:pgSz w:w="16838" w:h="11906" w:orient="landscape"/>
      <w:pgMar w:top="1134" w:right="141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activeWritingStyle w:appName="MSWord" w:lang="it-IT" w:vendorID="64" w:dllVersion="131078" w:nlCheck="1" w:checkStyle="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cienc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3304C3"/>
    <w:rsid w:val="00000B8D"/>
    <w:rsid w:val="0000132C"/>
    <w:rsid w:val="00024510"/>
    <w:rsid w:val="000475AC"/>
    <w:rsid w:val="000530BE"/>
    <w:rsid w:val="00056EBD"/>
    <w:rsid w:val="000648DA"/>
    <w:rsid w:val="00064C85"/>
    <w:rsid w:val="00066218"/>
    <w:rsid w:val="000762B4"/>
    <w:rsid w:val="00076902"/>
    <w:rsid w:val="00086130"/>
    <w:rsid w:val="00091A8E"/>
    <w:rsid w:val="00096C36"/>
    <w:rsid w:val="000A5F95"/>
    <w:rsid w:val="000A7962"/>
    <w:rsid w:val="000B1AB4"/>
    <w:rsid w:val="000B3E29"/>
    <w:rsid w:val="000C663F"/>
    <w:rsid w:val="000C76DD"/>
    <w:rsid w:val="000E44A8"/>
    <w:rsid w:val="000E5E81"/>
    <w:rsid w:val="000F0968"/>
    <w:rsid w:val="00100F0C"/>
    <w:rsid w:val="0010249D"/>
    <w:rsid w:val="001040A2"/>
    <w:rsid w:val="00164A12"/>
    <w:rsid w:val="00171360"/>
    <w:rsid w:val="00172D2A"/>
    <w:rsid w:val="00177873"/>
    <w:rsid w:val="001807C7"/>
    <w:rsid w:val="001901FD"/>
    <w:rsid w:val="00196025"/>
    <w:rsid w:val="001A7A64"/>
    <w:rsid w:val="001B29AE"/>
    <w:rsid w:val="001C114D"/>
    <w:rsid w:val="001D03AF"/>
    <w:rsid w:val="001F1E17"/>
    <w:rsid w:val="001F689B"/>
    <w:rsid w:val="00207CD7"/>
    <w:rsid w:val="0023300A"/>
    <w:rsid w:val="00236A6E"/>
    <w:rsid w:val="0024201A"/>
    <w:rsid w:val="00245F3D"/>
    <w:rsid w:val="002507AF"/>
    <w:rsid w:val="00262219"/>
    <w:rsid w:val="00263707"/>
    <w:rsid w:val="00275A61"/>
    <w:rsid w:val="00281DD6"/>
    <w:rsid w:val="0028617F"/>
    <w:rsid w:val="002A52E9"/>
    <w:rsid w:val="002A7756"/>
    <w:rsid w:val="002C3649"/>
    <w:rsid w:val="002C5B26"/>
    <w:rsid w:val="002C71B7"/>
    <w:rsid w:val="002D766B"/>
    <w:rsid w:val="002E7C78"/>
    <w:rsid w:val="002F3D4E"/>
    <w:rsid w:val="003223C8"/>
    <w:rsid w:val="003304C3"/>
    <w:rsid w:val="003412A2"/>
    <w:rsid w:val="0034505B"/>
    <w:rsid w:val="00353C63"/>
    <w:rsid w:val="00355502"/>
    <w:rsid w:val="00356624"/>
    <w:rsid w:val="00357CAE"/>
    <w:rsid w:val="003603B6"/>
    <w:rsid w:val="00374B50"/>
    <w:rsid w:val="003A1ADF"/>
    <w:rsid w:val="003B13CD"/>
    <w:rsid w:val="003B4F74"/>
    <w:rsid w:val="003B6CB9"/>
    <w:rsid w:val="003F1472"/>
    <w:rsid w:val="004116DC"/>
    <w:rsid w:val="0041321B"/>
    <w:rsid w:val="00416794"/>
    <w:rsid w:val="004362AA"/>
    <w:rsid w:val="004647C8"/>
    <w:rsid w:val="00473F80"/>
    <w:rsid w:val="004907CE"/>
    <w:rsid w:val="004B783E"/>
    <w:rsid w:val="004D1D21"/>
    <w:rsid w:val="004D6D1D"/>
    <w:rsid w:val="004E1284"/>
    <w:rsid w:val="004E51CD"/>
    <w:rsid w:val="004F603D"/>
    <w:rsid w:val="0050000A"/>
    <w:rsid w:val="00500801"/>
    <w:rsid w:val="00540FDD"/>
    <w:rsid w:val="00547FF8"/>
    <w:rsid w:val="00551753"/>
    <w:rsid w:val="00566FDF"/>
    <w:rsid w:val="005706E9"/>
    <w:rsid w:val="0057503E"/>
    <w:rsid w:val="00583D8B"/>
    <w:rsid w:val="0058451B"/>
    <w:rsid w:val="00593EEC"/>
    <w:rsid w:val="005A1B74"/>
    <w:rsid w:val="005B473C"/>
    <w:rsid w:val="005B5E56"/>
    <w:rsid w:val="005C1C1D"/>
    <w:rsid w:val="005C2227"/>
    <w:rsid w:val="005D0630"/>
    <w:rsid w:val="005D4EDD"/>
    <w:rsid w:val="005F250C"/>
    <w:rsid w:val="005F5FCB"/>
    <w:rsid w:val="00602502"/>
    <w:rsid w:val="00604B76"/>
    <w:rsid w:val="0061133F"/>
    <w:rsid w:val="006242B8"/>
    <w:rsid w:val="00625BA8"/>
    <w:rsid w:val="00632A82"/>
    <w:rsid w:val="00654E32"/>
    <w:rsid w:val="00661897"/>
    <w:rsid w:val="00661DAD"/>
    <w:rsid w:val="00663E6C"/>
    <w:rsid w:val="0067063A"/>
    <w:rsid w:val="006764DA"/>
    <w:rsid w:val="006809D6"/>
    <w:rsid w:val="0068230F"/>
    <w:rsid w:val="00693253"/>
    <w:rsid w:val="00697F60"/>
    <w:rsid w:val="006A12FB"/>
    <w:rsid w:val="006A3CDA"/>
    <w:rsid w:val="006A7FD6"/>
    <w:rsid w:val="006B17A0"/>
    <w:rsid w:val="006B7CE0"/>
    <w:rsid w:val="006C1D67"/>
    <w:rsid w:val="006C2714"/>
    <w:rsid w:val="006C67AB"/>
    <w:rsid w:val="006D09E3"/>
    <w:rsid w:val="006E3FB6"/>
    <w:rsid w:val="006E3FEC"/>
    <w:rsid w:val="006E76FD"/>
    <w:rsid w:val="006F66E9"/>
    <w:rsid w:val="00733336"/>
    <w:rsid w:val="00735638"/>
    <w:rsid w:val="0073680C"/>
    <w:rsid w:val="00774009"/>
    <w:rsid w:val="007809BB"/>
    <w:rsid w:val="0078660D"/>
    <w:rsid w:val="007908C0"/>
    <w:rsid w:val="00793E92"/>
    <w:rsid w:val="007A1B08"/>
    <w:rsid w:val="007B0C1D"/>
    <w:rsid w:val="007B5BFD"/>
    <w:rsid w:val="007B6404"/>
    <w:rsid w:val="007C056E"/>
    <w:rsid w:val="007C642B"/>
    <w:rsid w:val="007E13E0"/>
    <w:rsid w:val="007E3584"/>
    <w:rsid w:val="007F0CF8"/>
    <w:rsid w:val="007F3D53"/>
    <w:rsid w:val="00812843"/>
    <w:rsid w:val="0082128B"/>
    <w:rsid w:val="00824F59"/>
    <w:rsid w:val="00830FF6"/>
    <w:rsid w:val="00840366"/>
    <w:rsid w:val="00840C3C"/>
    <w:rsid w:val="00841818"/>
    <w:rsid w:val="00853C22"/>
    <w:rsid w:val="00855837"/>
    <w:rsid w:val="00875061"/>
    <w:rsid w:val="008A2123"/>
    <w:rsid w:val="008D3C05"/>
    <w:rsid w:val="008E396E"/>
    <w:rsid w:val="008E77E1"/>
    <w:rsid w:val="008F008A"/>
    <w:rsid w:val="008F57D5"/>
    <w:rsid w:val="008F7847"/>
    <w:rsid w:val="0090013E"/>
    <w:rsid w:val="00902B7C"/>
    <w:rsid w:val="00907FCD"/>
    <w:rsid w:val="0093397B"/>
    <w:rsid w:val="00936228"/>
    <w:rsid w:val="0093652B"/>
    <w:rsid w:val="00973CFE"/>
    <w:rsid w:val="00975419"/>
    <w:rsid w:val="00977A8B"/>
    <w:rsid w:val="0099321B"/>
    <w:rsid w:val="009A3FBC"/>
    <w:rsid w:val="009A40FF"/>
    <w:rsid w:val="009B7FD2"/>
    <w:rsid w:val="009C01D4"/>
    <w:rsid w:val="009D2D0D"/>
    <w:rsid w:val="009D5129"/>
    <w:rsid w:val="009E7F1C"/>
    <w:rsid w:val="009F166E"/>
    <w:rsid w:val="009F3954"/>
    <w:rsid w:val="00A020ED"/>
    <w:rsid w:val="00A03E8B"/>
    <w:rsid w:val="00A056F1"/>
    <w:rsid w:val="00A0575E"/>
    <w:rsid w:val="00A21D33"/>
    <w:rsid w:val="00A26D84"/>
    <w:rsid w:val="00A27C33"/>
    <w:rsid w:val="00A31BFD"/>
    <w:rsid w:val="00A40FE6"/>
    <w:rsid w:val="00A47BCB"/>
    <w:rsid w:val="00A60DDE"/>
    <w:rsid w:val="00A6126D"/>
    <w:rsid w:val="00A62360"/>
    <w:rsid w:val="00A67996"/>
    <w:rsid w:val="00A71C1E"/>
    <w:rsid w:val="00A72556"/>
    <w:rsid w:val="00A75A86"/>
    <w:rsid w:val="00A9166F"/>
    <w:rsid w:val="00A943EB"/>
    <w:rsid w:val="00A9670D"/>
    <w:rsid w:val="00AA0044"/>
    <w:rsid w:val="00AA2956"/>
    <w:rsid w:val="00AA3798"/>
    <w:rsid w:val="00AA7927"/>
    <w:rsid w:val="00AB19C4"/>
    <w:rsid w:val="00AB7432"/>
    <w:rsid w:val="00AD2880"/>
    <w:rsid w:val="00AD4FBE"/>
    <w:rsid w:val="00AD51E0"/>
    <w:rsid w:val="00AE2DBC"/>
    <w:rsid w:val="00AF5FC4"/>
    <w:rsid w:val="00B00CFC"/>
    <w:rsid w:val="00B01588"/>
    <w:rsid w:val="00B033F0"/>
    <w:rsid w:val="00B04824"/>
    <w:rsid w:val="00B063A2"/>
    <w:rsid w:val="00B11ADF"/>
    <w:rsid w:val="00B26EBC"/>
    <w:rsid w:val="00B27BA6"/>
    <w:rsid w:val="00B346A7"/>
    <w:rsid w:val="00B413D6"/>
    <w:rsid w:val="00B56FB0"/>
    <w:rsid w:val="00B8084C"/>
    <w:rsid w:val="00B81F7F"/>
    <w:rsid w:val="00B91452"/>
    <w:rsid w:val="00B93CE7"/>
    <w:rsid w:val="00B93D5D"/>
    <w:rsid w:val="00BB62A0"/>
    <w:rsid w:val="00BC5992"/>
    <w:rsid w:val="00BD6ABF"/>
    <w:rsid w:val="00BD7398"/>
    <w:rsid w:val="00BE3073"/>
    <w:rsid w:val="00C057EE"/>
    <w:rsid w:val="00C261A9"/>
    <w:rsid w:val="00C27144"/>
    <w:rsid w:val="00C36573"/>
    <w:rsid w:val="00C41D5B"/>
    <w:rsid w:val="00C436A5"/>
    <w:rsid w:val="00C62EE2"/>
    <w:rsid w:val="00CB0B1B"/>
    <w:rsid w:val="00CC55DB"/>
    <w:rsid w:val="00CC68FF"/>
    <w:rsid w:val="00CC6A7B"/>
    <w:rsid w:val="00CC6E52"/>
    <w:rsid w:val="00CE0DBE"/>
    <w:rsid w:val="00CE41A3"/>
    <w:rsid w:val="00CE4D96"/>
    <w:rsid w:val="00CF2C6F"/>
    <w:rsid w:val="00CF63FC"/>
    <w:rsid w:val="00D45A6F"/>
    <w:rsid w:val="00D501A8"/>
    <w:rsid w:val="00D54B83"/>
    <w:rsid w:val="00D63303"/>
    <w:rsid w:val="00D65643"/>
    <w:rsid w:val="00D679C8"/>
    <w:rsid w:val="00D71585"/>
    <w:rsid w:val="00D72B1E"/>
    <w:rsid w:val="00D85B81"/>
    <w:rsid w:val="00D861A2"/>
    <w:rsid w:val="00D91AF8"/>
    <w:rsid w:val="00D97F13"/>
    <w:rsid w:val="00DA0400"/>
    <w:rsid w:val="00DB3114"/>
    <w:rsid w:val="00DC454D"/>
    <w:rsid w:val="00DF0EBF"/>
    <w:rsid w:val="00DF6FC7"/>
    <w:rsid w:val="00E11E69"/>
    <w:rsid w:val="00E146D7"/>
    <w:rsid w:val="00E1513A"/>
    <w:rsid w:val="00E15644"/>
    <w:rsid w:val="00E22E0E"/>
    <w:rsid w:val="00E259B3"/>
    <w:rsid w:val="00E27FC7"/>
    <w:rsid w:val="00E3744B"/>
    <w:rsid w:val="00E43A63"/>
    <w:rsid w:val="00E46891"/>
    <w:rsid w:val="00E54D7B"/>
    <w:rsid w:val="00E67850"/>
    <w:rsid w:val="00E938AF"/>
    <w:rsid w:val="00EB2C85"/>
    <w:rsid w:val="00EB4C7A"/>
    <w:rsid w:val="00EB6976"/>
    <w:rsid w:val="00ED0810"/>
    <w:rsid w:val="00ED3367"/>
    <w:rsid w:val="00ED6340"/>
    <w:rsid w:val="00ED6E2B"/>
    <w:rsid w:val="00EF6F98"/>
    <w:rsid w:val="00F05E8C"/>
    <w:rsid w:val="00F3396D"/>
    <w:rsid w:val="00F52F7E"/>
    <w:rsid w:val="00F54D72"/>
    <w:rsid w:val="00F61B4F"/>
    <w:rsid w:val="00F63B17"/>
    <w:rsid w:val="00F70292"/>
    <w:rsid w:val="00F7183C"/>
    <w:rsid w:val="00F72C8C"/>
    <w:rsid w:val="00F85CBF"/>
    <w:rsid w:val="00F9308C"/>
    <w:rsid w:val="00FA7607"/>
    <w:rsid w:val="00FC65CE"/>
    <w:rsid w:val="00FC691D"/>
    <w:rsid w:val="00FD1857"/>
    <w:rsid w:val="00FF3233"/>
    <w:rsid w:val="00FF37BF"/>
    <w:rsid w:val="00FF4BB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27A92B-DC60-43A1-83F0-8A52B695D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412A2"/>
    <w:pPr>
      <w:suppressAutoHyphens/>
      <w:spacing w:after="0" w:line="240" w:lineRule="auto"/>
    </w:pPr>
    <w:rPr>
      <w:rFonts w:ascii="Times New Roman" w:eastAsia="Times New Roman" w:hAnsi="Times New Roman" w:cs="Times New Roman"/>
      <w:sz w:val="24"/>
      <w:szCs w:val="24"/>
      <w:lang w:val="en-US"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3304C3"/>
    <w:rPr>
      <w:color w:val="0563C1" w:themeColor="hyperlink"/>
      <w:u w:val="single"/>
    </w:rPr>
  </w:style>
  <w:style w:type="paragraph" w:customStyle="1" w:styleId="EndNoteBibliographyTitle">
    <w:name w:val="EndNote Bibliography Title"/>
    <w:basedOn w:val="Normale"/>
    <w:link w:val="EndNoteBibliographyTitleCarattere"/>
    <w:rsid w:val="000C663F"/>
    <w:pPr>
      <w:jc w:val="center"/>
    </w:pPr>
    <w:rPr>
      <w:rFonts w:ascii="Calibri" w:hAnsi="Calibri" w:cs="Calibri"/>
      <w:noProof/>
    </w:rPr>
  </w:style>
  <w:style w:type="character" w:customStyle="1" w:styleId="EndNoteBibliographyTitleCarattere">
    <w:name w:val="EndNote Bibliography Title Carattere"/>
    <w:basedOn w:val="Carpredefinitoparagrafo"/>
    <w:link w:val="EndNoteBibliographyTitle"/>
    <w:rsid w:val="000C663F"/>
    <w:rPr>
      <w:rFonts w:ascii="Calibri" w:hAnsi="Calibri" w:cs="Calibri"/>
      <w:noProof/>
      <w:lang w:val="en-US"/>
    </w:rPr>
  </w:style>
  <w:style w:type="paragraph" w:customStyle="1" w:styleId="EndNoteBibliography">
    <w:name w:val="EndNote Bibliography"/>
    <w:basedOn w:val="Normale"/>
    <w:link w:val="EndNoteBibliographyCarattere"/>
    <w:rsid w:val="000C663F"/>
    <w:pPr>
      <w:suppressAutoHyphens w:val="0"/>
      <w:spacing w:after="160"/>
    </w:pPr>
    <w:rPr>
      <w:rFonts w:ascii="Calibri" w:eastAsiaTheme="minorHAnsi" w:hAnsi="Calibri" w:cs="Calibri"/>
      <w:noProof/>
      <w:sz w:val="22"/>
      <w:szCs w:val="22"/>
      <w:lang w:eastAsia="en-US"/>
    </w:rPr>
  </w:style>
  <w:style w:type="character" w:customStyle="1" w:styleId="EndNoteBibliographyCarattere">
    <w:name w:val="EndNote Bibliography Carattere"/>
    <w:basedOn w:val="Carpredefinitoparagrafo"/>
    <w:link w:val="EndNoteBibliography"/>
    <w:rsid w:val="000C663F"/>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646403">
      <w:bodyDiv w:val="1"/>
      <w:marLeft w:val="0"/>
      <w:marRight w:val="0"/>
      <w:marTop w:val="0"/>
      <w:marBottom w:val="0"/>
      <w:divBdr>
        <w:top w:val="none" w:sz="0" w:space="0" w:color="auto"/>
        <w:left w:val="none" w:sz="0" w:space="0" w:color="auto"/>
        <w:bottom w:val="none" w:sz="0" w:space="0" w:color="auto"/>
        <w:right w:val="none" w:sz="0" w:space="0" w:color="auto"/>
      </w:divBdr>
    </w:div>
    <w:div w:id="1542595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654</TotalTime>
  <Pages>22</Pages>
  <Words>6723</Words>
  <Characters>38323</Characters>
  <Application>Microsoft Office Word</Application>
  <DocSecurity>0</DocSecurity>
  <Lines>319</Lines>
  <Paragraphs>89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Glaviano</dc:creator>
  <cp:keywords/>
  <dc:description/>
  <cp:lastModifiedBy>Account Microsoft</cp:lastModifiedBy>
  <cp:revision>277</cp:revision>
  <dcterms:created xsi:type="dcterms:W3CDTF">2021-12-03T13:48:00Z</dcterms:created>
  <dcterms:modified xsi:type="dcterms:W3CDTF">2023-06-10T07:49:00Z</dcterms:modified>
</cp:coreProperties>
</file>