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406" w:rsidRPr="006C16FE" w:rsidRDefault="00D86406" w:rsidP="00D8640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Figure S4.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 xml:space="preserve">The knockdown efficiency of LDHA/B in cells after transfection with </w:t>
      </w:r>
      <w:proofErr w:type="spellStart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>si</w:t>
      </w:r>
      <w:proofErr w:type="spellEnd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>-LDHA/B</w:t>
      </w:r>
    </w:p>
    <w:p w:rsidR="00D86406" w:rsidRPr="006C16FE" w:rsidRDefault="00D86406" w:rsidP="00D86406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The expression levels of LDHA and LDHB were measured in LDH-deficient cells by western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blotting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to confirm the knockdown efficiency of LDHA and LDHB.</w:t>
      </w:r>
    </w:p>
    <w:p w:rsidR="00E430DE" w:rsidRDefault="003815A7"/>
    <w:p w:rsidR="00B3235D" w:rsidRPr="006C16FE" w:rsidRDefault="00B3235D" w:rsidP="00B3235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S4</w:t>
      </w:r>
    </w:p>
    <w:p w:rsidR="00B3235D" w:rsidRPr="006C16FE" w:rsidRDefault="00B3235D" w:rsidP="00B3235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16542B69" wp14:editId="361222C7">
            <wp:extent cx="1811303" cy="1297459"/>
            <wp:effectExtent l="0" t="0" r="5080" b="0"/>
            <wp:docPr id="2126318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318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9236" cy="130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BAC" w:rsidRDefault="002F2BAC"/>
    <w:sectPr w:rsidR="002F2BAC" w:rsidSect="00A03231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A6"/>
    <w:rsid w:val="002F2BAC"/>
    <w:rsid w:val="003815A7"/>
    <w:rsid w:val="003F76A6"/>
    <w:rsid w:val="0062162D"/>
    <w:rsid w:val="009B3E77"/>
    <w:rsid w:val="00A03231"/>
    <w:rsid w:val="00B3235D"/>
    <w:rsid w:val="00BC6ACA"/>
    <w:rsid w:val="00D061CB"/>
    <w:rsid w:val="00D8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BAC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BAC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5</cp:revision>
  <dcterms:created xsi:type="dcterms:W3CDTF">2023-09-06T07:41:00Z</dcterms:created>
  <dcterms:modified xsi:type="dcterms:W3CDTF">2023-09-06T07:54:00Z</dcterms:modified>
</cp:coreProperties>
</file>