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6A6" w:rsidRPr="006C16FE" w:rsidRDefault="003F76A6" w:rsidP="003F76A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Figure S1.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CircXRN2 activates the Hippo signaling pathway to suppress tumorigenesis</w:t>
      </w:r>
    </w:p>
    <w:p w:rsidR="003F76A6" w:rsidRPr="006C16FE" w:rsidRDefault="003F76A6" w:rsidP="003F76A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C16FE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a.</w:t>
      </w: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CircXRN2 increased the expression level of LATS1 and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caused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corresponding alterations in TAZ and YAP.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b.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Overexpression of circXRN2 led to cytoplasmic retention of TAZ/YAP. Scale bar: 50 </w:t>
      </w:r>
      <w:proofErr w:type="spellStart"/>
      <w:r w:rsidRPr="006C16FE">
        <w:rPr>
          <w:rFonts w:ascii="Times New Roman" w:hAnsi="Times New Roman" w:cs="Times New Roman"/>
          <w:color w:val="000000" w:themeColor="text1"/>
          <w:sz w:val="24"/>
        </w:rPr>
        <w:t>μm</w:t>
      </w:r>
      <w:proofErr w:type="spellEnd"/>
      <w:r w:rsidRPr="006C16FE">
        <w:rPr>
          <w:rFonts w:ascii="Times New Roman" w:hAnsi="Times New Roman" w:cs="Times New Roman"/>
          <w:color w:val="000000" w:themeColor="text1"/>
          <w:sz w:val="24"/>
        </w:rPr>
        <w:t>.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c. </w:t>
      </w: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C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CK-8 assay proved that the Hippo pathway was vital for cell viability.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d.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Deficiency of TAZ/YAP inhibited colony formation in T24 and EJ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 cells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e</w:t>
      </w:r>
      <w:r w:rsidRPr="006C16FE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 The cell apoptosis</w:t>
      </w: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 xml:space="preserve"> rate was investigated by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flow cytometry</w:t>
      </w: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 xml:space="preserve"> with </w:t>
      </w:r>
      <w:proofErr w:type="spellStart"/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Annexin</w:t>
      </w:r>
      <w:proofErr w:type="spellEnd"/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 xml:space="preserve">V-FITC and PI staining.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f.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TAZ/YAP-deficient group had fewer migrated cells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than the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control group in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proofErr w:type="spellStart"/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ranswell</w:t>
      </w:r>
      <w:proofErr w:type="spellEnd"/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migration assay.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g.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Wound healing assay showed that TAZ/YAP promoted cell migration. All the data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presented as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 the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mean ± standard deviation (n=3). *P &lt;0.05, **P&lt;0.01, compared with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control group.</w:t>
      </w:r>
    </w:p>
    <w:p w:rsidR="00E430DE" w:rsidRDefault="007A628F"/>
    <w:p w:rsidR="00167489" w:rsidRPr="006C16FE" w:rsidRDefault="00167489" w:rsidP="00167489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Figure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S1</w:t>
      </w:r>
    </w:p>
    <w:p w:rsidR="00167489" w:rsidRPr="006C16FE" w:rsidRDefault="00167489" w:rsidP="00167489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r w:rsidRPr="006C16FE">
        <w:rPr>
          <w:rFonts w:ascii="Times New Roman" w:hAnsi="Times New Roman" w:cs="Times New Roman"/>
          <w:noProof/>
          <w:color w:val="000000" w:themeColor="text1"/>
          <w:sz w:val="24"/>
          <w:lang w:eastAsia="en-US"/>
        </w:rPr>
        <w:drawing>
          <wp:inline distT="0" distB="0" distL="0" distR="0" wp14:anchorId="693CDC5E" wp14:editId="5EDEEF3E">
            <wp:extent cx="5274310" cy="315087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E3C4F" w:rsidRDefault="007E3C4F"/>
    <w:sectPr w:rsidR="007E3C4F" w:rsidSect="007E3C4F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A6"/>
    <w:rsid w:val="00167489"/>
    <w:rsid w:val="003F76A6"/>
    <w:rsid w:val="0062162D"/>
    <w:rsid w:val="007A628F"/>
    <w:rsid w:val="007E3C4F"/>
    <w:rsid w:val="009B3E77"/>
    <w:rsid w:val="00B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C4F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C4F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4</cp:revision>
  <dcterms:created xsi:type="dcterms:W3CDTF">2023-09-06T07:38:00Z</dcterms:created>
  <dcterms:modified xsi:type="dcterms:W3CDTF">2023-09-06T07:53:00Z</dcterms:modified>
</cp:coreProperties>
</file>