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0A4DF" w14:textId="77777777" w:rsidR="00F65691" w:rsidRPr="003E3986" w:rsidRDefault="00F65691" w:rsidP="00F65691">
      <w:pPr>
        <w:spacing w:line="480" w:lineRule="auto"/>
        <w:jc w:val="left"/>
        <w:rPr>
          <w:rFonts w:ascii="Arial" w:eastAsia="Times New Roman" w:hAnsi="Arial" w:cs="Arial"/>
          <w:b/>
          <w:sz w:val="24"/>
          <w:szCs w:val="24"/>
        </w:rPr>
      </w:pPr>
      <w:bookmarkStart w:id="0" w:name="_Hlk149288735"/>
      <w:bookmarkStart w:id="1" w:name="_Hlk105398549"/>
      <w:r w:rsidRPr="003E3986">
        <w:rPr>
          <w:rFonts w:ascii="Arial" w:eastAsia="Times New Roman" w:hAnsi="Arial" w:cs="Arial"/>
          <w:b/>
          <w:sz w:val="24"/>
          <w:szCs w:val="24"/>
        </w:rPr>
        <w:t>Supplementary Files</w:t>
      </w:r>
      <w:bookmarkEnd w:id="0"/>
      <w:r w:rsidRPr="003E3986">
        <w:rPr>
          <w:rFonts w:ascii="Arial" w:eastAsia="Times New Roman" w:hAnsi="Arial" w:cs="Arial"/>
          <w:b/>
          <w:sz w:val="24"/>
          <w:szCs w:val="24"/>
        </w:rPr>
        <w:t xml:space="preserve"> for</w:t>
      </w:r>
    </w:p>
    <w:p w14:paraId="0B53A24A" w14:textId="77777777" w:rsidR="003B032F" w:rsidRPr="007F64DA" w:rsidRDefault="003B032F" w:rsidP="003B032F">
      <w:pPr>
        <w:spacing w:line="360" w:lineRule="auto"/>
        <w:jc w:val="center"/>
        <w:rPr>
          <w:rFonts w:ascii="Arial" w:hAnsi="Arial" w:cs="Arial"/>
          <w:b/>
          <w:bCs/>
          <w:sz w:val="24"/>
          <w:szCs w:val="24"/>
        </w:rPr>
      </w:pPr>
      <w:bookmarkStart w:id="2" w:name="_Hlk129006938"/>
      <w:r w:rsidRPr="007F64DA">
        <w:rPr>
          <w:rFonts w:ascii="Arial" w:hAnsi="Arial" w:cs="Arial"/>
          <w:b/>
          <w:bCs/>
          <w:sz w:val="24"/>
          <w:szCs w:val="24"/>
        </w:rPr>
        <w:t>Pan-cancer characterization of cell-free i</w:t>
      </w:r>
      <w:r w:rsidRPr="007F64DA">
        <w:rPr>
          <w:rFonts w:ascii="Arial" w:hAnsi="Arial" w:cs="Arial" w:hint="eastAsia"/>
          <w:b/>
          <w:bCs/>
          <w:sz w:val="24"/>
          <w:szCs w:val="24"/>
        </w:rPr>
        <w:t>mmune</w:t>
      </w:r>
      <w:r w:rsidRPr="007F64DA">
        <w:rPr>
          <w:rFonts w:ascii="Arial" w:hAnsi="Arial" w:cs="Arial"/>
          <w:b/>
          <w:bCs/>
          <w:sz w:val="24"/>
          <w:szCs w:val="24"/>
        </w:rPr>
        <w:t>-related miRNA identified as a robust</w:t>
      </w:r>
      <w:bookmarkStart w:id="3" w:name="OLE_LINK1"/>
      <w:r w:rsidRPr="007F64DA">
        <w:rPr>
          <w:rFonts w:ascii="Arial" w:hAnsi="Arial" w:cs="Arial"/>
          <w:b/>
          <w:bCs/>
          <w:sz w:val="24"/>
          <w:szCs w:val="24"/>
        </w:rPr>
        <w:t xml:space="preserve"> biomarker</w:t>
      </w:r>
      <w:bookmarkEnd w:id="3"/>
      <w:r w:rsidRPr="007F64DA">
        <w:rPr>
          <w:rFonts w:ascii="Arial" w:hAnsi="Arial" w:cs="Arial"/>
          <w:b/>
          <w:bCs/>
          <w:sz w:val="24"/>
          <w:szCs w:val="24"/>
        </w:rPr>
        <w:t xml:space="preserve"> for cancer diagnosis</w:t>
      </w:r>
    </w:p>
    <w:p w14:paraId="28C4A496" w14:textId="77777777" w:rsidR="00FA77EF" w:rsidRPr="00935501" w:rsidRDefault="00FA77EF" w:rsidP="00FA77EF">
      <w:pPr>
        <w:spacing w:line="360" w:lineRule="auto"/>
        <w:rPr>
          <w:rFonts w:ascii="Arial" w:hAnsi="Arial" w:cs="Arial"/>
          <w:sz w:val="24"/>
          <w:szCs w:val="24"/>
          <w:vertAlign w:val="superscript"/>
        </w:rPr>
      </w:pPr>
      <w:bookmarkStart w:id="4" w:name="_Hlk126665938"/>
      <w:bookmarkEnd w:id="2"/>
      <w:r w:rsidRPr="00821A1F">
        <w:rPr>
          <w:rFonts w:ascii="Arial" w:hAnsi="Arial" w:cs="Arial"/>
          <w:sz w:val="24"/>
          <w:szCs w:val="24"/>
        </w:rPr>
        <w:t>Peng Wu</w:t>
      </w:r>
      <w:r w:rsidRPr="00821A1F">
        <w:rPr>
          <w:rFonts w:ascii="Arial" w:hAnsi="Arial" w:cs="Arial"/>
          <w:sz w:val="24"/>
          <w:szCs w:val="24"/>
          <w:vertAlign w:val="superscript"/>
        </w:rPr>
        <w:t>1#</w:t>
      </w:r>
      <w:r w:rsidRPr="00821A1F">
        <w:rPr>
          <w:rFonts w:ascii="Arial" w:hAnsi="Arial" w:cs="Arial"/>
          <w:sz w:val="24"/>
          <w:szCs w:val="24"/>
        </w:rPr>
        <w:t xml:space="preserve">, </w:t>
      </w:r>
      <w:proofErr w:type="spellStart"/>
      <w:r w:rsidRPr="00821A1F">
        <w:rPr>
          <w:rFonts w:ascii="Arial" w:hAnsi="Arial" w:cs="Arial"/>
          <w:sz w:val="24"/>
          <w:szCs w:val="24"/>
        </w:rPr>
        <w:t>Chaoqi</w:t>
      </w:r>
      <w:proofErr w:type="spellEnd"/>
      <w:r w:rsidRPr="00821A1F">
        <w:rPr>
          <w:rFonts w:ascii="Arial" w:hAnsi="Arial" w:cs="Arial"/>
          <w:sz w:val="24"/>
          <w:szCs w:val="24"/>
        </w:rPr>
        <w:t xml:space="preserve"> Zhang</w:t>
      </w:r>
      <w:r w:rsidRPr="00821A1F">
        <w:rPr>
          <w:rFonts w:ascii="Arial" w:hAnsi="Arial" w:cs="Arial"/>
          <w:sz w:val="24"/>
          <w:szCs w:val="24"/>
          <w:vertAlign w:val="superscript"/>
        </w:rPr>
        <w:t>1#</w:t>
      </w:r>
      <w:r w:rsidRPr="00821A1F">
        <w:rPr>
          <w:rFonts w:ascii="Arial" w:hAnsi="Arial" w:cs="Arial"/>
          <w:sz w:val="24"/>
          <w:szCs w:val="24"/>
        </w:rPr>
        <w:t xml:space="preserve">, </w:t>
      </w:r>
      <w:proofErr w:type="spellStart"/>
      <w:r w:rsidRPr="00821A1F">
        <w:rPr>
          <w:rFonts w:ascii="Arial" w:hAnsi="Arial" w:cs="Arial"/>
          <w:sz w:val="24"/>
          <w:szCs w:val="24"/>
        </w:rPr>
        <w:t>X</w:t>
      </w:r>
      <w:r w:rsidRPr="00821A1F">
        <w:rPr>
          <w:rFonts w:ascii="Arial" w:hAnsi="Arial" w:cs="Arial" w:hint="eastAsia"/>
          <w:sz w:val="24"/>
          <w:szCs w:val="24"/>
        </w:rPr>
        <w:t>iao</w:t>
      </w:r>
      <w:r w:rsidRPr="00821A1F">
        <w:rPr>
          <w:rFonts w:ascii="Arial" w:hAnsi="Arial" w:cs="Arial"/>
          <w:sz w:val="24"/>
          <w:szCs w:val="24"/>
        </w:rPr>
        <w:t>ya</w:t>
      </w:r>
      <w:proofErr w:type="spellEnd"/>
      <w:r w:rsidRPr="00821A1F">
        <w:rPr>
          <w:rFonts w:ascii="Arial" w:hAnsi="Arial" w:cs="Arial"/>
          <w:sz w:val="24"/>
          <w:szCs w:val="24"/>
        </w:rPr>
        <w:t xml:space="preserve"> Tang</w:t>
      </w:r>
      <w:r w:rsidRPr="00821A1F">
        <w:rPr>
          <w:rFonts w:ascii="Arial" w:hAnsi="Arial" w:cs="Arial"/>
          <w:sz w:val="24"/>
          <w:szCs w:val="24"/>
          <w:vertAlign w:val="superscript"/>
        </w:rPr>
        <w:t>1#</w:t>
      </w:r>
      <w:r w:rsidRPr="00821A1F">
        <w:rPr>
          <w:rFonts w:ascii="Arial" w:hAnsi="Arial" w:cs="Arial"/>
          <w:sz w:val="24"/>
          <w:szCs w:val="24"/>
        </w:rPr>
        <w:t>, Dongyu Li</w:t>
      </w:r>
      <w:r w:rsidRPr="00821A1F">
        <w:rPr>
          <w:rFonts w:ascii="Arial" w:hAnsi="Arial" w:cs="Arial"/>
          <w:sz w:val="24"/>
          <w:szCs w:val="24"/>
          <w:vertAlign w:val="superscript"/>
        </w:rPr>
        <w:t>1,2</w:t>
      </w:r>
      <w:r w:rsidRPr="00821A1F">
        <w:rPr>
          <w:rFonts w:ascii="Arial" w:hAnsi="Arial" w:cs="Arial"/>
          <w:sz w:val="24"/>
          <w:szCs w:val="24"/>
        </w:rPr>
        <w:t xml:space="preserve">, </w:t>
      </w:r>
      <w:proofErr w:type="spellStart"/>
      <w:r w:rsidRPr="00821A1F">
        <w:rPr>
          <w:rFonts w:ascii="Arial" w:hAnsi="Arial" w:cs="Arial"/>
          <w:sz w:val="24"/>
          <w:szCs w:val="24"/>
        </w:rPr>
        <w:t>Guochao</w:t>
      </w:r>
      <w:proofErr w:type="spellEnd"/>
      <w:r w:rsidRPr="00821A1F">
        <w:rPr>
          <w:rFonts w:ascii="Arial" w:hAnsi="Arial" w:cs="Arial"/>
          <w:sz w:val="24"/>
          <w:szCs w:val="24"/>
        </w:rPr>
        <w:t xml:space="preserve"> Zhang</w:t>
      </w:r>
      <w:r w:rsidRPr="00821A1F">
        <w:rPr>
          <w:rFonts w:ascii="Arial" w:hAnsi="Arial" w:cs="Arial"/>
          <w:sz w:val="24"/>
          <w:szCs w:val="24"/>
          <w:vertAlign w:val="superscript"/>
        </w:rPr>
        <w:t>1</w:t>
      </w:r>
      <w:r w:rsidRPr="00821A1F">
        <w:rPr>
          <w:rFonts w:ascii="Arial" w:hAnsi="Arial" w:cs="Arial"/>
          <w:sz w:val="24"/>
          <w:szCs w:val="24"/>
        </w:rPr>
        <w:t>, X</w:t>
      </w:r>
      <w:r w:rsidRPr="00821A1F">
        <w:rPr>
          <w:rFonts w:ascii="Arial" w:hAnsi="Arial" w:cs="Arial" w:hint="eastAsia"/>
          <w:sz w:val="24"/>
          <w:szCs w:val="24"/>
        </w:rPr>
        <w:t>iao</w:t>
      </w:r>
      <w:r w:rsidRPr="00821A1F">
        <w:rPr>
          <w:rFonts w:ascii="Arial" w:hAnsi="Arial" w:cs="Arial"/>
          <w:sz w:val="24"/>
          <w:szCs w:val="24"/>
        </w:rPr>
        <w:t>hui Zi</w:t>
      </w:r>
      <w:r w:rsidRPr="00821A1F">
        <w:rPr>
          <w:rFonts w:ascii="Arial" w:hAnsi="Arial" w:cs="Arial"/>
          <w:sz w:val="24"/>
          <w:szCs w:val="24"/>
          <w:vertAlign w:val="superscript"/>
        </w:rPr>
        <w:t>1</w:t>
      </w:r>
      <w:r w:rsidRPr="00821A1F">
        <w:rPr>
          <w:rFonts w:ascii="Arial" w:hAnsi="Arial" w:cs="Arial"/>
          <w:sz w:val="24"/>
          <w:szCs w:val="24"/>
        </w:rPr>
        <w:t>, Jingjing Liu</w:t>
      </w:r>
      <w:r w:rsidRPr="00821A1F">
        <w:rPr>
          <w:rFonts w:ascii="Arial" w:hAnsi="Arial" w:cs="Arial"/>
          <w:sz w:val="24"/>
          <w:szCs w:val="24"/>
          <w:vertAlign w:val="superscript"/>
        </w:rPr>
        <w:t>1</w:t>
      </w:r>
      <w:r w:rsidRPr="00821A1F">
        <w:rPr>
          <w:rFonts w:ascii="Arial" w:hAnsi="Arial" w:cs="Arial"/>
          <w:sz w:val="24"/>
          <w:szCs w:val="24"/>
        </w:rPr>
        <w:t xml:space="preserve">, </w:t>
      </w:r>
      <w:proofErr w:type="spellStart"/>
      <w:r w:rsidRPr="00821A1F">
        <w:rPr>
          <w:rFonts w:ascii="Arial" w:hAnsi="Arial" w:cs="Arial"/>
          <w:sz w:val="24"/>
          <w:szCs w:val="24"/>
        </w:rPr>
        <w:t>Enzhi</w:t>
      </w:r>
      <w:proofErr w:type="spellEnd"/>
      <w:r w:rsidRPr="00821A1F">
        <w:rPr>
          <w:rFonts w:ascii="Arial" w:hAnsi="Arial" w:cs="Arial"/>
          <w:sz w:val="24"/>
          <w:szCs w:val="24"/>
        </w:rPr>
        <w:t xml:space="preserve"> Yin</w:t>
      </w:r>
      <w:r w:rsidRPr="00821A1F">
        <w:rPr>
          <w:rFonts w:ascii="Arial" w:hAnsi="Arial" w:cs="Arial"/>
          <w:sz w:val="24"/>
          <w:szCs w:val="24"/>
          <w:vertAlign w:val="superscript"/>
        </w:rPr>
        <w:t>1</w:t>
      </w:r>
      <w:r w:rsidRPr="00821A1F">
        <w:rPr>
          <w:rFonts w:ascii="Arial" w:hAnsi="Arial" w:cs="Arial"/>
          <w:sz w:val="24"/>
          <w:szCs w:val="24"/>
        </w:rPr>
        <w:t xml:space="preserve">, </w:t>
      </w:r>
      <w:proofErr w:type="spellStart"/>
      <w:r w:rsidRPr="00821A1F">
        <w:rPr>
          <w:rFonts w:ascii="Arial" w:hAnsi="Arial" w:cs="Arial"/>
          <w:sz w:val="24"/>
          <w:szCs w:val="24"/>
        </w:rPr>
        <w:t>Jiapeng</w:t>
      </w:r>
      <w:proofErr w:type="spellEnd"/>
      <w:r w:rsidRPr="00821A1F">
        <w:rPr>
          <w:rFonts w:ascii="Arial" w:hAnsi="Arial" w:cs="Arial"/>
          <w:sz w:val="24"/>
          <w:szCs w:val="24"/>
        </w:rPr>
        <w:t xml:space="preserve"> Zhao</w:t>
      </w:r>
      <w:r w:rsidRPr="00821A1F">
        <w:rPr>
          <w:rFonts w:ascii="Arial" w:hAnsi="Arial" w:cs="Arial"/>
          <w:sz w:val="24"/>
          <w:szCs w:val="24"/>
          <w:vertAlign w:val="superscript"/>
        </w:rPr>
        <w:t>2</w:t>
      </w:r>
      <w:r w:rsidRPr="00821A1F">
        <w:rPr>
          <w:rFonts w:ascii="Arial" w:hAnsi="Arial" w:cs="Arial"/>
          <w:sz w:val="24"/>
          <w:szCs w:val="24"/>
        </w:rPr>
        <w:t>, Pan Wang</w:t>
      </w:r>
      <w:r w:rsidRPr="00821A1F">
        <w:rPr>
          <w:rFonts w:ascii="Arial" w:hAnsi="Arial" w:cs="Arial"/>
          <w:sz w:val="24"/>
          <w:szCs w:val="24"/>
          <w:vertAlign w:val="superscript"/>
        </w:rPr>
        <w:t>1</w:t>
      </w:r>
      <w:r w:rsidRPr="00821A1F">
        <w:rPr>
          <w:rFonts w:ascii="Arial" w:hAnsi="Arial" w:cs="Arial"/>
          <w:sz w:val="24"/>
          <w:szCs w:val="24"/>
        </w:rPr>
        <w:t>, Le Wang</w:t>
      </w:r>
      <w:r w:rsidRPr="00821A1F">
        <w:rPr>
          <w:rFonts w:ascii="Arial" w:hAnsi="Arial" w:cs="Arial"/>
          <w:sz w:val="24"/>
          <w:szCs w:val="24"/>
          <w:vertAlign w:val="superscript"/>
        </w:rPr>
        <w:t>3</w:t>
      </w:r>
      <w:r w:rsidRPr="00821A1F">
        <w:rPr>
          <w:rFonts w:ascii="Arial" w:hAnsi="Arial" w:cs="Arial"/>
          <w:sz w:val="24"/>
          <w:szCs w:val="24"/>
        </w:rPr>
        <w:t xml:space="preserve">, </w:t>
      </w:r>
      <w:proofErr w:type="spellStart"/>
      <w:r w:rsidRPr="00821A1F">
        <w:rPr>
          <w:rFonts w:ascii="Arial" w:hAnsi="Arial" w:cs="Arial"/>
          <w:sz w:val="24"/>
          <w:szCs w:val="24"/>
        </w:rPr>
        <w:t>Ruirui</w:t>
      </w:r>
      <w:proofErr w:type="spellEnd"/>
      <w:r w:rsidRPr="00821A1F">
        <w:rPr>
          <w:rFonts w:ascii="Arial" w:hAnsi="Arial" w:cs="Arial"/>
          <w:sz w:val="24"/>
          <w:szCs w:val="24"/>
        </w:rPr>
        <w:t xml:space="preserve"> Li</w:t>
      </w:r>
      <w:r w:rsidRPr="00821A1F">
        <w:rPr>
          <w:rFonts w:ascii="Arial" w:hAnsi="Arial" w:cs="Arial"/>
          <w:sz w:val="24"/>
          <w:szCs w:val="24"/>
          <w:vertAlign w:val="superscript"/>
        </w:rPr>
        <w:t>4</w:t>
      </w:r>
      <w:r w:rsidRPr="00821A1F">
        <w:rPr>
          <w:rFonts w:ascii="Arial" w:hAnsi="Arial" w:cs="Arial"/>
          <w:sz w:val="24"/>
          <w:szCs w:val="24"/>
        </w:rPr>
        <w:t>, Yue Wu</w:t>
      </w:r>
      <w:r w:rsidRPr="00821A1F">
        <w:rPr>
          <w:rFonts w:ascii="Arial" w:hAnsi="Arial" w:cs="Arial"/>
          <w:sz w:val="24"/>
          <w:szCs w:val="24"/>
          <w:vertAlign w:val="superscript"/>
        </w:rPr>
        <w:t>5</w:t>
      </w:r>
      <w:r w:rsidRPr="00821A1F">
        <w:rPr>
          <w:rFonts w:ascii="Arial" w:hAnsi="Arial" w:cs="Arial"/>
          <w:sz w:val="24"/>
          <w:szCs w:val="24"/>
        </w:rPr>
        <w:t>, Nan Sun</w:t>
      </w:r>
      <w:r w:rsidRPr="00821A1F">
        <w:rPr>
          <w:rFonts w:ascii="Arial" w:hAnsi="Arial" w:cs="Arial"/>
          <w:sz w:val="24"/>
          <w:szCs w:val="24"/>
          <w:vertAlign w:val="superscript"/>
        </w:rPr>
        <w:t>1*</w:t>
      </w:r>
      <w:r w:rsidRPr="00821A1F">
        <w:rPr>
          <w:rFonts w:ascii="Arial" w:hAnsi="Arial" w:cs="Arial"/>
          <w:sz w:val="24"/>
          <w:szCs w:val="24"/>
        </w:rPr>
        <w:t>, Jie He</w:t>
      </w:r>
      <w:r w:rsidRPr="00821A1F">
        <w:rPr>
          <w:rFonts w:ascii="Arial" w:hAnsi="Arial" w:cs="Arial"/>
          <w:sz w:val="24"/>
          <w:szCs w:val="24"/>
          <w:vertAlign w:val="superscript"/>
        </w:rPr>
        <w:t>1</w:t>
      </w:r>
      <w:r w:rsidRPr="007F64DA">
        <w:rPr>
          <w:rFonts w:ascii="Arial" w:hAnsi="Arial" w:cs="Arial"/>
          <w:sz w:val="24"/>
          <w:szCs w:val="24"/>
          <w:vertAlign w:val="superscript"/>
        </w:rPr>
        <w:t>*</w:t>
      </w:r>
    </w:p>
    <w:bookmarkEnd w:id="4"/>
    <w:p w14:paraId="7BC5B1AD" w14:textId="77777777" w:rsidR="003B032F" w:rsidRPr="00FA77EF" w:rsidRDefault="003B032F" w:rsidP="003B032F">
      <w:pPr>
        <w:spacing w:line="360" w:lineRule="auto"/>
        <w:rPr>
          <w:rFonts w:ascii="Arial" w:hAnsi="Arial" w:cs="Arial"/>
          <w:sz w:val="24"/>
          <w:szCs w:val="24"/>
        </w:rPr>
      </w:pPr>
    </w:p>
    <w:p w14:paraId="6A3E3F4B" w14:textId="77777777" w:rsidR="003B032F" w:rsidRDefault="003B032F" w:rsidP="003B032F">
      <w:pPr>
        <w:pStyle w:val="af"/>
        <w:numPr>
          <w:ilvl w:val="0"/>
          <w:numId w:val="4"/>
        </w:numPr>
        <w:spacing w:line="360" w:lineRule="auto"/>
        <w:ind w:firstLineChars="0"/>
        <w:rPr>
          <w:rFonts w:ascii="Arial" w:hAnsi="Arial" w:cs="Arial"/>
          <w:sz w:val="24"/>
          <w:szCs w:val="24"/>
        </w:rPr>
      </w:pPr>
      <w:r w:rsidRPr="00001D04">
        <w:rPr>
          <w:rFonts w:ascii="Arial" w:hAnsi="Arial" w:cs="Arial"/>
          <w:sz w:val="24"/>
          <w:szCs w:val="24"/>
        </w:rPr>
        <w:t>Department of Thoracic Surgery, National Cancer Center/National Clinical Research Center for Cancer/Cancer Hospital, Chinese Academy of Medical Sciences and Peking Union Medical College, Beijing, 100021, China</w:t>
      </w:r>
    </w:p>
    <w:p w14:paraId="710F0D6A" w14:textId="77777777" w:rsidR="003B032F" w:rsidRDefault="003B032F" w:rsidP="003B032F">
      <w:pPr>
        <w:pStyle w:val="af"/>
        <w:numPr>
          <w:ilvl w:val="0"/>
          <w:numId w:val="4"/>
        </w:numPr>
        <w:spacing w:line="360" w:lineRule="auto"/>
        <w:ind w:firstLineChars="0"/>
        <w:rPr>
          <w:rFonts w:ascii="Arial" w:hAnsi="Arial" w:cs="Arial"/>
          <w:sz w:val="24"/>
          <w:szCs w:val="24"/>
        </w:rPr>
      </w:pPr>
      <w:r w:rsidRPr="00001D04">
        <w:rPr>
          <w:rFonts w:ascii="Arial" w:hAnsi="Arial" w:cs="Arial"/>
          <w:sz w:val="24"/>
          <w:szCs w:val="24"/>
        </w:rPr>
        <w:t>4+4 Medical Doctor Program, Chinese Academy of Medical Sciences and Peking Union Medical College, Beijing, 100021, China</w:t>
      </w:r>
    </w:p>
    <w:p w14:paraId="69828E4C" w14:textId="77777777" w:rsidR="003B032F" w:rsidRPr="006171B7" w:rsidRDefault="003B032F" w:rsidP="003B032F">
      <w:pPr>
        <w:pStyle w:val="af"/>
        <w:numPr>
          <w:ilvl w:val="0"/>
          <w:numId w:val="4"/>
        </w:numPr>
        <w:spacing w:line="360" w:lineRule="auto"/>
        <w:ind w:firstLineChars="0"/>
        <w:rPr>
          <w:rFonts w:ascii="Arial" w:hAnsi="Arial" w:cs="Arial"/>
          <w:sz w:val="24"/>
          <w:szCs w:val="24"/>
        </w:rPr>
      </w:pPr>
      <w:r w:rsidRPr="00001D04">
        <w:rPr>
          <w:rFonts w:ascii="Arial" w:hAnsi="Arial" w:cs="Arial"/>
          <w:sz w:val="24"/>
          <w:szCs w:val="24"/>
        </w:rPr>
        <w:t>Department of Pathology, National Cancer Center/ National Clinical Research Center for Cancer/Cancer Hospital, Chinese Academy of Medical Sciences and Peking Union Medical College, Beijing, 100021, China</w:t>
      </w:r>
    </w:p>
    <w:p w14:paraId="5099DDF0" w14:textId="77777777" w:rsidR="003B032F" w:rsidRDefault="003B032F" w:rsidP="003B032F">
      <w:pPr>
        <w:pStyle w:val="af"/>
        <w:numPr>
          <w:ilvl w:val="0"/>
          <w:numId w:val="4"/>
        </w:numPr>
        <w:spacing w:line="360" w:lineRule="auto"/>
        <w:ind w:firstLineChars="0"/>
        <w:rPr>
          <w:rFonts w:ascii="Arial" w:hAnsi="Arial" w:cs="Arial"/>
          <w:sz w:val="24"/>
          <w:szCs w:val="24"/>
        </w:rPr>
      </w:pPr>
      <w:r w:rsidRPr="00001D04">
        <w:rPr>
          <w:rFonts w:ascii="Arial" w:hAnsi="Arial" w:cs="Arial"/>
          <w:sz w:val="24"/>
          <w:szCs w:val="24"/>
        </w:rPr>
        <w:t>Department of Otolaryngology-Head and Neck Surgery, The First Affiliated Hospital of Zhengzhou University, Zhengzhou 450052, China.</w:t>
      </w:r>
    </w:p>
    <w:p w14:paraId="39E42258" w14:textId="77777777" w:rsidR="003B032F" w:rsidRDefault="003B032F" w:rsidP="003B032F">
      <w:pPr>
        <w:pStyle w:val="af"/>
        <w:numPr>
          <w:ilvl w:val="0"/>
          <w:numId w:val="4"/>
        </w:numPr>
        <w:spacing w:line="360" w:lineRule="auto"/>
        <w:ind w:firstLineChars="0"/>
        <w:rPr>
          <w:rFonts w:ascii="Arial" w:hAnsi="Arial" w:cs="Arial"/>
          <w:sz w:val="24"/>
          <w:szCs w:val="24"/>
        </w:rPr>
      </w:pPr>
      <w:r w:rsidRPr="00001D04">
        <w:rPr>
          <w:rFonts w:ascii="Arial" w:hAnsi="Arial" w:cs="Arial"/>
          <w:sz w:val="24"/>
          <w:szCs w:val="24"/>
        </w:rPr>
        <w:t>Department of Clinical Laboratory, National Cancer Center/National Clinical Research Center for Cancer/Cancer Hospital, Chinese Academy of Medical Sciences and Peking Union Medical College, Beijing 100021, China.</w:t>
      </w:r>
    </w:p>
    <w:p w14:paraId="000661DD" w14:textId="77777777" w:rsidR="003B032F" w:rsidRPr="00D36DFB" w:rsidRDefault="003B032F" w:rsidP="003B032F">
      <w:pPr>
        <w:spacing w:line="360" w:lineRule="auto"/>
        <w:rPr>
          <w:rFonts w:ascii="Arial" w:hAnsi="Arial" w:cs="Arial"/>
          <w:sz w:val="24"/>
          <w:szCs w:val="24"/>
        </w:rPr>
      </w:pPr>
    </w:p>
    <w:p w14:paraId="0FE5113D" w14:textId="77777777" w:rsidR="003B032F" w:rsidRPr="00935501" w:rsidRDefault="003B032F" w:rsidP="003B032F">
      <w:pPr>
        <w:spacing w:line="360" w:lineRule="auto"/>
        <w:rPr>
          <w:rFonts w:ascii="Arial" w:hAnsi="Arial" w:cs="Arial"/>
          <w:sz w:val="24"/>
          <w:szCs w:val="24"/>
        </w:rPr>
      </w:pPr>
      <w:r w:rsidRPr="00935501">
        <w:rPr>
          <w:rFonts w:ascii="Arial" w:hAnsi="Arial" w:cs="Arial" w:hint="eastAsia"/>
          <w:sz w:val="24"/>
          <w:szCs w:val="24"/>
        </w:rPr>
        <w:t>Run</w:t>
      </w:r>
      <w:r w:rsidRPr="00935501">
        <w:rPr>
          <w:rFonts w:ascii="Arial" w:hAnsi="Arial" w:cs="Arial"/>
          <w:sz w:val="24"/>
          <w:szCs w:val="24"/>
        </w:rPr>
        <w:t>ning title: cell-free immune-related miRNA in cancer detection</w:t>
      </w:r>
    </w:p>
    <w:p w14:paraId="61D2FC3E" w14:textId="77777777" w:rsidR="003B032F" w:rsidRPr="00935501" w:rsidRDefault="003B032F" w:rsidP="003B032F">
      <w:pPr>
        <w:spacing w:line="360" w:lineRule="auto"/>
        <w:rPr>
          <w:rFonts w:ascii="Arial" w:hAnsi="Arial" w:cs="Arial"/>
          <w:sz w:val="24"/>
          <w:szCs w:val="24"/>
        </w:rPr>
      </w:pPr>
    </w:p>
    <w:p w14:paraId="7623CF06" w14:textId="77777777" w:rsidR="003B032F" w:rsidRPr="00935501" w:rsidRDefault="003B032F" w:rsidP="003B032F">
      <w:pPr>
        <w:spacing w:line="360" w:lineRule="auto"/>
        <w:rPr>
          <w:rFonts w:ascii="Arial" w:hAnsi="Arial" w:cs="Arial"/>
          <w:sz w:val="24"/>
          <w:szCs w:val="24"/>
        </w:rPr>
      </w:pPr>
      <w:r w:rsidRPr="00935501">
        <w:rPr>
          <w:rFonts w:ascii="Arial" w:hAnsi="Arial" w:cs="Arial"/>
          <w:sz w:val="24"/>
          <w:szCs w:val="24"/>
        </w:rPr>
        <w:t>#These authors contributed equally to this work</w:t>
      </w:r>
      <w:r w:rsidRPr="00935501">
        <w:rPr>
          <w:rFonts w:ascii="Arial" w:hAnsi="Arial" w:cs="Arial" w:hint="eastAsia"/>
          <w:sz w:val="24"/>
          <w:szCs w:val="24"/>
        </w:rPr>
        <w:t>.</w:t>
      </w:r>
    </w:p>
    <w:p w14:paraId="56CA1483" w14:textId="77777777" w:rsidR="003B032F" w:rsidRPr="00935501" w:rsidRDefault="003B032F" w:rsidP="003B032F">
      <w:pPr>
        <w:spacing w:line="360" w:lineRule="auto"/>
        <w:rPr>
          <w:rFonts w:ascii="Arial" w:hAnsi="Arial" w:cs="Arial"/>
          <w:sz w:val="24"/>
          <w:szCs w:val="24"/>
        </w:rPr>
      </w:pPr>
      <w:r w:rsidRPr="00935501">
        <w:rPr>
          <w:rFonts w:ascii="Arial" w:hAnsi="Arial" w:cs="Arial"/>
          <w:sz w:val="24"/>
          <w:szCs w:val="24"/>
        </w:rPr>
        <w:t>*Correspondence to: Jie He (prof.jiehe@gmail.com) and Nan Sun (</w:t>
      </w:r>
      <w:r w:rsidRPr="006D60EA">
        <w:rPr>
          <w:rFonts w:ascii="Arial" w:hAnsi="Arial" w:cs="Arial"/>
          <w:sz w:val="24"/>
          <w:szCs w:val="24"/>
        </w:rPr>
        <w:t>sunnan@cicams.ac.cn</w:t>
      </w:r>
      <w:hyperlink r:id="rId8" w:history="1"/>
      <w:r w:rsidRPr="00935501">
        <w:rPr>
          <w:rFonts w:ascii="Arial" w:hAnsi="Arial" w:cs="Arial"/>
          <w:sz w:val="24"/>
          <w:szCs w:val="24"/>
        </w:rPr>
        <w:t>)</w:t>
      </w:r>
    </w:p>
    <w:p w14:paraId="4ED1FF5E" w14:textId="77777777" w:rsidR="00F50D71" w:rsidRPr="003B032F" w:rsidRDefault="00F50D71" w:rsidP="008667B2">
      <w:pPr>
        <w:spacing w:line="360" w:lineRule="auto"/>
        <w:rPr>
          <w:rFonts w:ascii="Arial" w:hAnsi="Arial" w:cs="Arial"/>
          <w:b/>
          <w:bCs/>
          <w:sz w:val="24"/>
          <w:szCs w:val="24"/>
        </w:rPr>
      </w:pPr>
    </w:p>
    <w:p w14:paraId="5360D0BB" w14:textId="77777777" w:rsidR="00D8363A" w:rsidRPr="003E3986" w:rsidRDefault="00D8363A">
      <w:pPr>
        <w:widowControl/>
        <w:jc w:val="left"/>
        <w:rPr>
          <w:rFonts w:ascii="Arial" w:hAnsi="Arial" w:cs="Arial"/>
          <w:b/>
          <w:bCs/>
          <w:sz w:val="24"/>
          <w:szCs w:val="24"/>
        </w:rPr>
      </w:pPr>
      <w:r w:rsidRPr="003E3986">
        <w:rPr>
          <w:rFonts w:ascii="Arial" w:hAnsi="Arial" w:cs="Arial"/>
          <w:b/>
          <w:bCs/>
          <w:sz w:val="24"/>
          <w:szCs w:val="24"/>
        </w:rPr>
        <w:br w:type="page"/>
      </w:r>
    </w:p>
    <w:p w14:paraId="59604A66" w14:textId="10F64925" w:rsidR="004E1107" w:rsidRPr="003E3986" w:rsidRDefault="00BC1BD5" w:rsidP="008667B2">
      <w:pPr>
        <w:spacing w:line="360" w:lineRule="auto"/>
        <w:rPr>
          <w:rFonts w:ascii="Arial" w:hAnsi="Arial" w:cs="Arial"/>
          <w:b/>
          <w:bCs/>
          <w:sz w:val="24"/>
          <w:szCs w:val="24"/>
        </w:rPr>
      </w:pPr>
      <w:r w:rsidRPr="003E3986">
        <w:rPr>
          <w:rFonts w:ascii="Arial" w:hAnsi="Arial" w:cs="Arial"/>
          <w:b/>
          <w:bCs/>
          <w:sz w:val="24"/>
          <w:szCs w:val="24"/>
        </w:rPr>
        <w:lastRenderedPageBreak/>
        <w:t>M</w:t>
      </w:r>
      <w:r w:rsidR="00930FD7" w:rsidRPr="003E3986">
        <w:rPr>
          <w:rFonts w:ascii="Arial" w:hAnsi="Arial" w:cs="Arial"/>
          <w:b/>
          <w:bCs/>
          <w:sz w:val="24"/>
          <w:szCs w:val="24"/>
        </w:rPr>
        <w:t>ethod and materials</w:t>
      </w:r>
      <w:bookmarkEnd w:id="1"/>
    </w:p>
    <w:p w14:paraId="5B8B9687" w14:textId="42BA2E82" w:rsidR="00930FD7" w:rsidRPr="003E3986" w:rsidRDefault="00930FD7" w:rsidP="008667B2">
      <w:pPr>
        <w:spacing w:line="360" w:lineRule="auto"/>
        <w:rPr>
          <w:rFonts w:ascii="Arial" w:hAnsi="Arial" w:cs="Arial"/>
          <w:b/>
          <w:bCs/>
          <w:sz w:val="24"/>
          <w:szCs w:val="24"/>
        </w:rPr>
      </w:pPr>
      <w:r w:rsidRPr="003E3986">
        <w:rPr>
          <w:rFonts w:ascii="Arial" w:hAnsi="Arial" w:cs="Arial"/>
          <w:b/>
          <w:bCs/>
          <w:sz w:val="24"/>
          <w:szCs w:val="24"/>
        </w:rPr>
        <w:t xml:space="preserve">Study design and </w:t>
      </w:r>
      <w:r w:rsidR="00C56F71" w:rsidRPr="003E3986">
        <w:rPr>
          <w:rFonts w:ascii="Arial" w:hAnsi="Arial" w:cs="Arial"/>
          <w:b/>
          <w:bCs/>
          <w:sz w:val="24"/>
          <w:szCs w:val="24"/>
        </w:rPr>
        <w:t>population</w:t>
      </w:r>
    </w:p>
    <w:p w14:paraId="1CC7255F" w14:textId="6BA157E2" w:rsidR="004C60BA" w:rsidRDefault="008A0048" w:rsidP="00A34D69">
      <w:pPr>
        <w:spacing w:line="360" w:lineRule="auto"/>
        <w:rPr>
          <w:rFonts w:ascii="Arial" w:hAnsi="Arial" w:cs="Arial"/>
          <w:sz w:val="24"/>
          <w:szCs w:val="24"/>
        </w:rPr>
      </w:pPr>
      <w:r w:rsidRPr="00456192">
        <w:rPr>
          <w:rFonts w:ascii="Arial" w:hAnsi="Arial" w:cs="Arial"/>
          <w:sz w:val="24"/>
          <w:szCs w:val="24"/>
        </w:rPr>
        <w:t xml:space="preserve">We conducted a retrospective study with the largest sample size to date to collect and analyze the miRNA expression profiles of malignant and non-malignant samples. Our goal was to develop a new </w:t>
      </w:r>
      <w:r w:rsidR="004C60BA" w:rsidRPr="00456192">
        <w:rPr>
          <w:rFonts w:ascii="Arial" w:hAnsi="Arial" w:cs="Arial" w:hint="eastAsia"/>
          <w:sz w:val="24"/>
          <w:szCs w:val="24"/>
        </w:rPr>
        <w:t>tool</w:t>
      </w:r>
      <w:r w:rsidRPr="00456192">
        <w:rPr>
          <w:rFonts w:ascii="Arial" w:hAnsi="Arial" w:cs="Arial"/>
          <w:sz w:val="24"/>
          <w:szCs w:val="24"/>
        </w:rPr>
        <w:t xml:space="preserve"> for early detection of cancers. Serum miRNA array data and corresponding clinical information were obtained from ten publicly available datasets from the Gene Expression Omnibus (GEO)</w:t>
      </w:r>
      <w:r w:rsidR="007302E7" w:rsidRPr="00456192">
        <w:rPr>
          <w:rFonts w:ascii="Arial" w:hAnsi="Arial" w:cs="Arial"/>
          <w:sz w:val="24"/>
          <w:szCs w:val="24"/>
        </w:rPr>
        <w:t xml:space="preserve">, including </w:t>
      </w:r>
      <w:bookmarkStart w:id="5" w:name="OLE_LINK8"/>
      <w:r w:rsidR="007302E7" w:rsidRPr="00456192">
        <w:rPr>
          <w:rFonts w:ascii="Arial" w:hAnsi="Arial" w:cs="Arial"/>
          <w:sz w:val="24"/>
          <w:szCs w:val="24"/>
        </w:rPr>
        <w:t>GSE137140</w:t>
      </w:r>
      <w:r w:rsidR="00C6189C">
        <w:rPr>
          <w:rFonts w:ascii="Arial" w:hAnsi="Arial" w:cs="Arial"/>
          <w:sz w:val="24"/>
          <w:szCs w:val="24"/>
        </w:rPr>
        <w:fldChar w:fldCharType="begin"/>
      </w:r>
      <w:r w:rsidR="00BD5994">
        <w:rPr>
          <w:rFonts w:ascii="Arial" w:hAnsi="Arial" w:cs="Arial"/>
          <w:sz w:val="24"/>
          <w:szCs w:val="24"/>
        </w:rPr>
        <w:instrText xml:space="preserve"> ADDIN NE.Ref.{2A38E34C-D061-4939-83D4-D1AB262996D5}</w:instrText>
      </w:r>
      <w:r w:rsidR="00C6189C">
        <w:rPr>
          <w:rFonts w:ascii="Arial" w:hAnsi="Arial" w:cs="Arial"/>
          <w:sz w:val="24"/>
          <w:szCs w:val="24"/>
        </w:rPr>
        <w:fldChar w:fldCharType="separate"/>
      </w:r>
      <w:r w:rsidR="00BD5994">
        <w:rPr>
          <w:rFonts w:ascii="Arial" w:hAnsi="Arial" w:cs="Arial"/>
          <w:color w:val="000000"/>
          <w:kern w:val="0"/>
          <w:sz w:val="24"/>
          <w:szCs w:val="24"/>
        </w:rPr>
        <w:t>[1]</w:t>
      </w:r>
      <w:r w:rsidR="00C6189C">
        <w:rPr>
          <w:rFonts w:ascii="Arial" w:hAnsi="Arial" w:cs="Arial"/>
          <w:sz w:val="24"/>
          <w:szCs w:val="24"/>
        </w:rPr>
        <w:fldChar w:fldCharType="end"/>
      </w:r>
      <w:r w:rsidR="007302E7" w:rsidRPr="00456192">
        <w:rPr>
          <w:rFonts w:ascii="Arial" w:hAnsi="Arial" w:cs="Arial"/>
          <w:sz w:val="24"/>
          <w:szCs w:val="24"/>
        </w:rPr>
        <w:t>, GSE122497</w:t>
      </w:r>
      <w:r w:rsidR="00C6189C">
        <w:rPr>
          <w:rFonts w:ascii="Arial" w:hAnsi="Arial" w:cs="Arial"/>
          <w:sz w:val="24"/>
          <w:szCs w:val="24"/>
        </w:rPr>
        <w:fldChar w:fldCharType="begin"/>
      </w:r>
      <w:r w:rsidR="00BD5994">
        <w:rPr>
          <w:rFonts w:ascii="Arial" w:hAnsi="Arial" w:cs="Arial"/>
          <w:sz w:val="24"/>
          <w:szCs w:val="24"/>
        </w:rPr>
        <w:instrText xml:space="preserve"> ADDIN NE.Ref.{ECE15EE2-F06D-45C8-85D9-EC4017793005}</w:instrText>
      </w:r>
      <w:r w:rsidR="00C6189C">
        <w:rPr>
          <w:rFonts w:ascii="Arial" w:hAnsi="Arial" w:cs="Arial"/>
          <w:sz w:val="24"/>
          <w:szCs w:val="24"/>
        </w:rPr>
        <w:fldChar w:fldCharType="separate"/>
      </w:r>
      <w:r w:rsidR="00BD5994">
        <w:rPr>
          <w:rFonts w:ascii="Arial" w:hAnsi="Arial" w:cs="Arial"/>
          <w:color w:val="000000"/>
          <w:kern w:val="0"/>
          <w:sz w:val="24"/>
          <w:szCs w:val="24"/>
        </w:rPr>
        <w:t>[2]</w:t>
      </w:r>
      <w:r w:rsidR="00C6189C">
        <w:rPr>
          <w:rFonts w:ascii="Arial" w:hAnsi="Arial" w:cs="Arial"/>
          <w:sz w:val="24"/>
          <w:szCs w:val="24"/>
        </w:rPr>
        <w:fldChar w:fldCharType="end"/>
      </w:r>
      <w:r w:rsidR="007302E7" w:rsidRPr="00456192">
        <w:rPr>
          <w:rFonts w:ascii="Arial" w:hAnsi="Arial" w:cs="Arial"/>
          <w:sz w:val="24"/>
          <w:szCs w:val="24"/>
        </w:rPr>
        <w:t xml:space="preserve"> </w:t>
      </w:r>
      <w:bookmarkStart w:id="6" w:name="OLE_LINK4"/>
      <w:r w:rsidR="007302E7" w:rsidRPr="00456192">
        <w:rPr>
          <w:rFonts w:ascii="Arial" w:hAnsi="Arial" w:cs="Arial"/>
          <w:sz w:val="24"/>
          <w:szCs w:val="24"/>
        </w:rPr>
        <w:t>GSE124158</w:t>
      </w:r>
      <w:bookmarkEnd w:id="6"/>
      <w:r w:rsidR="00FE571F">
        <w:rPr>
          <w:rFonts w:ascii="Arial" w:hAnsi="Arial" w:cs="Arial"/>
          <w:sz w:val="24"/>
          <w:szCs w:val="24"/>
        </w:rPr>
        <w:fldChar w:fldCharType="begin"/>
      </w:r>
      <w:r w:rsidR="00BD5994">
        <w:rPr>
          <w:rFonts w:ascii="Arial" w:hAnsi="Arial" w:cs="Arial"/>
          <w:sz w:val="24"/>
          <w:szCs w:val="24"/>
        </w:rPr>
        <w:instrText xml:space="preserve"> ADDIN NE.Ref.{6C572FB3-F1CA-4A5A-8E51-6CE832756A76}</w:instrText>
      </w:r>
      <w:r w:rsidR="00FE571F">
        <w:rPr>
          <w:rFonts w:ascii="Arial" w:hAnsi="Arial" w:cs="Arial"/>
          <w:sz w:val="24"/>
          <w:szCs w:val="24"/>
        </w:rPr>
        <w:fldChar w:fldCharType="separate"/>
      </w:r>
      <w:r w:rsidR="00BD5994">
        <w:rPr>
          <w:rFonts w:ascii="Arial" w:hAnsi="Arial" w:cs="Arial"/>
          <w:color w:val="000000"/>
          <w:kern w:val="0"/>
          <w:sz w:val="24"/>
          <w:szCs w:val="24"/>
        </w:rPr>
        <w:t>[3]</w:t>
      </w:r>
      <w:r w:rsidR="00FE571F">
        <w:rPr>
          <w:rFonts w:ascii="Arial" w:hAnsi="Arial" w:cs="Arial"/>
          <w:sz w:val="24"/>
          <w:szCs w:val="24"/>
        </w:rPr>
        <w:fldChar w:fldCharType="end"/>
      </w:r>
      <w:r w:rsidR="007302E7" w:rsidRPr="00456192">
        <w:rPr>
          <w:rFonts w:ascii="Arial" w:hAnsi="Arial" w:cs="Arial"/>
          <w:sz w:val="24"/>
          <w:szCs w:val="24"/>
        </w:rPr>
        <w:t>, GSE113486</w:t>
      </w:r>
      <w:r w:rsidR="009F45DF">
        <w:rPr>
          <w:rFonts w:ascii="Arial" w:hAnsi="Arial" w:cs="Arial"/>
          <w:sz w:val="24"/>
          <w:szCs w:val="24"/>
        </w:rPr>
        <w:fldChar w:fldCharType="begin"/>
      </w:r>
      <w:r w:rsidR="00BD5994">
        <w:rPr>
          <w:rFonts w:ascii="Arial" w:hAnsi="Arial" w:cs="Arial"/>
          <w:sz w:val="24"/>
          <w:szCs w:val="24"/>
        </w:rPr>
        <w:instrText xml:space="preserve"> ADDIN NE.Ref.{BF4F6254-DAFC-4E3B-AE30-764A6380E4A8}</w:instrText>
      </w:r>
      <w:r w:rsidR="009F45DF">
        <w:rPr>
          <w:rFonts w:ascii="Arial" w:hAnsi="Arial" w:cs="Arial"/>
          <w:sz w:val="24"/>
          <w:szCs w:val="24"/>
        </w:rPr>
        <w:fldChar w:fldCharType="separate"/>
      </w:r>
      <w:r w:rsidR="00BD5994">
        <w:rPr>
          <w:rFonts w:ascii="Arial" w:hAnsi="Arial" w:cs="Arial"/>
          <w:color w:val="000000"/>
          <w:kern w:val="0"/>
          <w:sz w:val="24"/>
          <w:szCs w:val="24"/>
        </w:rPr>
        <w:t>[4]</w:t>
      </w:r>
      <w:r w:rsidR="009F45DF">
        <w:rPr>
          <w:rFonts w:ascii="Arial" w:hAnsi="Arial" w:cs="Arial"/>
          <w:sz w:val="24"/>
          <w:szCs w:val="24"/>
        </w:rPr>
        <w:fldChar w:fldCharType="end"/>
      </w:r>
      <w:r w:rsidR="007302E7" w:rsidRPr="00456192">
        <w:rPr>
          <w:rFonts w:ascii="Arial" w:hAnsi="Arial" w:cs="Arial"/>
          <w:sz w:val="24"/>
          <w:szCs w:val="24"/>
        </w:rPr>
        <w:t>, GSE106817</w:t>
      </w:r>
      <w:r w:rsidR="009F45DF">
        <w:rPr>
          <w:rFonts w:ascii="Arial" w:hAnsi="Arial" w:cs="Arial"/>
          <w:sz w:val="24"/>
          <w:szCs w:val="24"/>
        </w:rPr>
        <w:fldChar w:fldCharType="begin"/>
      </w:r>
      <w:r w:rsidR="00BD5994">
        <w:rPr>
          <w:rFonts w:ascii="Arial" w:hAnsi="Arial" w:cs="Arial"/>
          <w:sz w:val="24"/>
          <w:szCs w:val="24"/>
        </w:rPr>
        <w:instrText xml:space="preserve"> ADDIN NE.Ref.{BBC8BB39-D15C-4CB1-9F68-7F9CA0D780C4}</w:instrText>
      </w:r>
      <w:r w:rsidR="009F45DF">
        <w:rPr>
          <w:rFonts w:ascii="Arial" w:hAnsi="Arial" w:cs="Arial"/>
          <w:sz w:val="24"/>
          <w:szCs w:val="24"/>
        </w:rPr>
        <w:fldChar w:fldCharType="separate"/>
      </w:r>
      <w:r w:rsidR="00BD5994">
        <w:rPr>
          <w:rFonts w:ascii="Arial" w:hAnsi="Arial" w:cs="Arial"/>
          <w:color w:val="000000"/>
          <w:kern w:val="0"/>
          <w:sz w:val="24"/>
          <w:szCs w:val="24"/>
        </w:rPr>
        <w:t>[5]</w:t>
      </w:r>
      <w:r w:rsidR="009F45DF">
        <w:rPr>
          <w:rFonts w:ascii="Arial" w:hAnsi="Arial" w:cs="Arial"/>
          <w:sz w:val="24"/>
          <w:szCs w:val="24"/>
        </w:rPr>
        <w:fldChar w:fldCharType="end"/>
      </w:r>
      <w:r w:rsidR="007302E7" w:rsidRPr="00456192">
        <w:rPr>
          <w:rFonts w:ascii="Arial" w:hAnsi="Arial" w:cs="Arial"/>
          <w:sz w:val="24"/>
          <w:szCs w:val="24"/>
        </w:rPr>
        <w:t>, GSE164174</w:t>
      </w:r>
      <w:r w:rsidR="009F45DF">
        <w:rPr>
          <w:rFonts w:ascii="Arial" w:hAnsi="Arial" w:cs="Arial"/>
          <w:sz w:val="24"/>
          <w:szCs w:val="24"/>
        </w:rPr>
        <w:fldChar w:fldCharType="begin"/>
      </w:r>
      <w:r w:rsidR="00BD5994">
        <w:rPr>
          <w:rFonts w:ascii="Arial" w:hAnsi="Arial" w:cs="Arial"/>
          <w:sz w:val="24"/>
          <w:szCs w:val="24"/>
        </w:rPr>
        <w:instrText xml:space="preserve"> ADDIN NE.Ref.{763A5146-1B6F-473A-9F1C-D15E3747D209}</w:instrText>
      </w:r>
      <w:r w:rsidR="009F45DF">
        <w:rPr>
          <w:rFonts w:ascii="Arial" w:hAnsi="Arial" w:cs="Arial"/>
          <w:sz w:val="24"/>
          <w:szCs w:val="24"/>
        </w:rPr>
        <w:fldChar w:fldCharType="separate"/>
      </w:r>
      <w:r w:rsidR="00BD5994">
        <w:rPr>
          <w:rFonts w:ascii="Arial" w:hAnsi="Arial" w:cs="Arial"/>
          <w:color w:val="000000"/>
          <w:kern w:val="0"/>
          <w:sz w:val="24"/>
          <w:szCs w:val="24"/>
        </w:rPr>
        <w:t>[6]</w:t>
      </w:r>
      <w:r w:rsidR="009F45DF">
        <w:rPr>
          <w:rFonts w:ascii="Arial" w:hAnsi="Arial" w:cs="Arial"/>
          <w:sz w:val="24"/>
          <w:szCs w:val="24"/>
        </w:rPr>
        <w:fldChar w:fldCharType="end"/>
      </w:r>
      <w:r w:rsidR="007302E7" w:rsidRPr="00456192">
        <w:rPr>
          <w:rFonts w:ascii="Arial" w:hAnsi="Arial" w:cs="Arial"/>
          <w:sz w:val="24"/>
          <w:szCs w:val="24"/>
        </w:rPr>
        <w:t>, GSE113740</w:t>
      </w:r>
      <w:r w:rsidR="009F45DF">
        <w:rPr>
          <w:rFonts w:ascii="Arial" w:hAnsi="Arial" w:cs="Arial"/>
          <w:sz w:val="24"/>
          <w:szCs w:val="24"/>
        </w:rPr>
        <w:fldChar w:fldCharType="begin"/>
      </w:r>
      <w:r w:rsidR="00BD5994">
        <w:rPr>
          <w:rFonts w:ascii="Arial" w:hAnsi="Arial" w:cs="Arial"/>
          <w:sz w:val="24"/>
          <w:szCs w:val="24"/>
        </w:rPr>
        <w:instrText xml:space="preserve"> ADDIN NE.Ref.{7EC23317-E5BA-4CBD-A80C-264B5B973E14}</w:instrText>
      </w:r>
      <w:r w:rsidR="009F45DF">
        <w:rPr>
          <w:rFonts w:ascii="Arial" w:hAnsi="Arial" w:cs="Arial"/>
          <w:sz w:val="24"/>
          <w:szCs w:val="24"/>
        </w:rPr>
        <w:fldChar w:fldCharType="separate"/>
      </w:r>
      <w:r w:rsidR="00BD5994">
        <w:rPr>
          <w:rFonts w:ascii="Arial" w:hAnsi="Arial" w:cs="Arial"/>
          <w:color w:val="000000"/>
          <w:kern w:val="0"/>
          <w:sz w:val="24"/>
          <w:szCs w:val="24"/>
        </w:rPr>
        <w:t>[7]</w:t>
      </w:r>
      <w:r w:rsidR="009F45DF">
        <w:rPr>
          <w:rFonts w:ascii="Arial" w:hAnsi="Arial" w:cs="Arial"/>
          <w:sz w:val="24"/>
          <w:szCs w:val="24"/>
        </w:rPr>
        <w:fldChar w:fldCharType="end"/>
      </w:r>
      <w:r w:rsidR="007302E7" w:rsidRPr="00456192">
        <w:rPr>
          <w:rFonts w:ascii="Arial" w:hAnsi="Arial" w:cs="Arial"/>
          <w:sz w:val="24"/>
          <w:szCs w:val="24"/>
        </w:rPr>
        <w:t>, GSE112264</w:t>
      </w:r>
      <w:r w:rsidR="009F45DF">
        <w:rPr>
          <w:rFonts w:ascii="Arial" w:hAnsi="Arial" w:cs="Arial"/>
          <w:sz w:val="24"/>
          <w:szCs w:val="24"/>
        </w:rPr>
        <w:fldChar w:fldCharType="begin"/>
      </w:r>
      <w:r w:rsidR="00BD5994">
        <w:rPr>
          <w:rFonts w:ascii="Arial" w:hAnsi="Arial" w:cs="Arial"/>
          <w:sz w:val="24"/>
          <w:szCs w:val="24"/>
        </w:rPr>
        <w:instrText xml:space="preserve"> ADDIN NE.Ref.{6B06F288-17B7-4716-81FA-B19DF312AA58}</w:instrText>
      </w:r>
      <w:r w:rsidR="009F45DF">
        <w:rPr>
          <w:rFonts w:ascii="Arial" w:hAnsi="Arial" w:cs="Arial"/>
          <w:sz w:val="24"/>
          <w:szCs w:val="24"/>
        </w:rPr>
        <w:fldChar w:fldCharType="separate"/>
      </w:r>
      <w:r w:rsidR="00BD5994">
        <w:rPr>
          <w:rFonts w:ascii="Arial" w:hAnsi="Arial" w:cs="Arial"/>
          <w:color w:val="000000"/>
          <w:kern w:val="0"/>
          <w:sz w:val="24"/>
          <w:szCs w:val="24"/>
        </w:rPr>
        <w:t>[8]</w:t>
      </w:r>
      <w:r w:rsidR="009F45DF">
        <w:rPr>
          <w:rFonts w:ascii="Arial" w:hAnsi="Arial" w:cs="Arial"/>
          <w:sz w:val="24"/>
          <w:szCs w:val="24"/>
        </w:rPr>
        <w:fldChar w:fldCharType="end"/>
      </w:r>
      <w:r w:rsidR="007302E7" w:rsidRPr="00456192">
        <w:rPr>
          <w:rFonts w:ascii="Arial" w:hAnsi="Arial" w:cs="Arial"/>
          <w:sz w:val="24"/>
          <w:szCs w:val="24"/>
        </w:rPr>
        <w:t>,</w:t>
      </w:r>
      <w:r w:rsidR="007302E7" w:rsidRPr="00456192">
        <w:rPr>
          <w:rFonts w:hAnsi="Calibri"/>
          <w:color w:val="000000" w:themeColor="text1"/>
          <w:kern w:val="24"/>
          <w:sz w:val="36"/>
          <w:szCs w:val="36"/>
        </w:rPr>
        <w:t xml:space="preserve"> </w:t>
      </w:r>
      <w:r w:rsidR="007302E7" w:rsidRPr="00456192">
        <w:rPr>
          <w:rFonts w:ascii="Arial" w:hAnsi="Arial" w:cs="Arial"/>
          <w:sz w:val="24"/>
          <w:szCs w:val="24"/>
        </w:rPr>
        <w:t>GSE139031</w:t>
      </w:r>
      <w:r w:rsidR="009F45DF">
        <w:rPr>
          <w:rFonts w:ascii="Arial" w:hAnsi="Arial" w:cs="Arial"/>
          <w:sz w:val="24"/>
          <w:szCs w:val="24"/>
        </w:rPr>
        <w:fldChar w:fldCharType="begin"/>
      </w:r>
      <w:r w:rsidR="00BD5994">
        <w:rPr>
          <w:rFonts w:ascii="Arial" w:hAnsi="Arial" w:cs="Arial"/>
          <w:sz w:val="24"/>
          <w:szCs w:val="24"/>
        </w:rPr>
        <w:instrText xml:space="preserve"> ADDIN NE.Ref.{EAB997F2-14BD-4F54-B915-DA4B69F7BEBC}</w:instrText>
      </w:r>
      <w:r w:rsidR="009F45DF">
        <w:rPr>
          <w:rFonts w:ascii="Arial" w:hAnsi="Arial" w:cs="Arial"/>
          <w:sz w:val="24"/>
          <w:szCs w:val="24"/>
        </w:rPr>
        <w:fldChar w:fldCharType="separate"/>
      </w:r>
      <w:r w:rsidR="00BD5994">
        <w:rPr>
          <w:rFonts w:ascii="Arial" w:hAnsi="Arial" w:cs="Arial"/>
          <w:color w:val="000000"/>
          <w:kern w:val="0"/>
          <w:sz w:val="24"/>
          <w:szCs w:val="24"/>
        </w:rPr>
        <w:t>[9]</w:t>
      </w:r>
      <w:r w:rsidR="009F45DF">
        <w:rPr>
          <w:rFonts w:ascii="Arial" w:hAnsi="Arial" w:cs="Arial"/>
          <w:sz w:val="24"/>
          <w:szCs w:val="24"/>
        </w:rPr>
        <w:fldChar w:fldCharType="end"/>
      </w:r>
      <w:r w:rsidR="007302E7" w:rsidRPr="00456192">
        <w:rPr>
          <w:rFonts w:ascii="Arial" w:hAnsi="Arial" w:cs="Arial"/>
          <w:sz w:val="24"/>
          <w:szCs w:val="24"/>
        </w:rPr>
        <w:t>, and GSE73002</w:t>
      </w:r>
      <w:r w:rsidR="009F45DF">
        <w:rPr>
          <w:rFonts w:ascii="Arial" w:hAnsi="Arial" w:cs="Arial"/>
          <w:sz w:val="24"/>
          <w:szCs w:val="24"/>
        </w:rPr>
        <w:fldChar w:fldCharType="begin"/>
      </w:r>
      <w:r w:rsidR="00BD5994">
        <w:rPr>
          <w:rFonts w:ascii="Arial" w:hAnsi="Arial" w:cs="Arial"/>
          <w:sz w:val="24"/>
          <w:szCs w:val="24"/>
        </w:rPr>
        <w:instrText xml:space="preserve"> ADDIN NE.Ref.{BD4AED46-563F-4818-B404-40F1E2793E71}</w:instrText>
      </w:r>
      <w:r w:rsidR="009F45DF">
        <w:rPr>
          <w:rFonts w:ascii="Arial" w:hAnsi="Arial" w:cs="Arial"/>
          <w:sz w:val="24"/>
          <w:szCs w:val="24"/>
        </w:rPr>
        <w:fldChar w:fldCharType="separate"/>
      </w:r>
      <w:r w:rsidR="00BD5994">
        <w:rPr>
          <w:rFonts w:ascii="Arial" w:hAnsi="Arial" w:cs="Arial"/>
          <w:color w:val="000000"/>
          <w:kern w:val="0"/>
          <w:sz w:val="24"/>
          <w:szCs w:val="24"/>
        </w:rPr>
        <w:t>[10]</w:t>
      </w:r>
      <w:r w:rsidR="009F45DF">
        <w:rPr>
          <w:rFonts w:ascii="Arial" w:hAnsi="Arial" w:cs="Arial"/>
          <w:sz w:val="24"/>
          <w:szCs w:val="24"/>
        </w:rPr>
        <w:fldChar w:fldCharType="end"/>
      </w:r>
      <w:bookmarkEnd w:id="5"/>
      <w:r w:rsidR="007302E7" w:rsidRPr="00456192">
        <w:rPr>
          <w:rFonts w:ascii="Arial" w:hAnsi="Arial" w:cs="Arial"/>
          <w:sz w:val="24"/>
          <w:szCs w:val="24"/>
        </w:rPr>
        <w:t>.</w:t>
      </w:r>
      <w:r w:rsidR="007302E7" w:rsidRPr="003E3986">
        <w:rPr>
          <w:rFonts w:ascii="Arial" w:hAnsi="Arial" w:cs="Arial" w:hint="eastAsia"/>
          <w:sz w:val="24"/>
          <w:szCs w:val="24"/>
        </w:rPr>
        <w:t xml:space="preserve"> </w:t>
      </w:r>
    </w:p>
    <w:p w14:paraId="3D8D3126" w14:textId="3FB1F95C" w:rsidR="002F3204" w:rsidRPr="00456192" w:rsidRDefault="004C60BA" w:rsidP="002F3204">
      <w:pPr>
        <w:spacing w:line="360" w:lineRule="auto"/>
        <w:ind w:firstLineChars="200" w:firstLine="480"/>
        <w:rPr>
          <w:rFonts w:ascii="Arial" w:hAnsi="Arial" w:cs="Arial"/>
          <w:sz w:val="24"/>
          <w:szCs w:val="24"/>
          <w:highlight w:val="cyan"/>
        </w:rPr>
      </w:pPr>
      <w:r w:rsidRPr="00456192">
        <w:rPr>
          <w:rFonts w:ascii="Arial" w:hAnsi="Arial" w:cs="Arial"/>
          <w:sz w:val="24"/>
          <w:szCs w:val="24"/>
          <w:highlight w:val="cyan"/>
        </w:rPr>
        <w:t>The inclusion criteria were as follows: a) histologically diagnosed, and b) no prior or ongoing cancer treatment before serum collection. The exclusion criteria included a) duplicate samples and b) samples with different clinical information but corresponding to the same individuals. After eliminating duplicate and inconsistent clinical information samples across datasets, a total of 8,316 cancer patients and 7,516 non-malignant controls were included in our study.</w:t>
      </w:r>
      <w:r w:rsidRPr="00456192">
        <w:rPr>
          <w:rFonts w:ascii="Arial" w:hAnsi="Arial" w:cs="Arial" w:hint="eastAsia"/>
          <w:sz w:val="24"/>
          <w:szCs w:val="24"/>
          <w:highlight w:val="cyan"/>
        </w:rPr>
        <w:t xml:space="preserve"> T</w:t>
      </w:r>
      <w:r w:rsidRPr="00456192">
        <w:rPr>
          <w:rFonts w:ascii="Arial" w:hAnsi="Arial" w:cs="Arial"/>
          <w:sz w:val="24"/>
          <w:szCs w:val="24"/>
          <w:highlight w:val="cyan"/>
        </w:rPr>
        <w:t>he serum samples contained 13 types of cancer, including lung cancer (LUCA), esophageal cancer (ESCA), gastric cancer (STAD),</w:t>
      </w:r>
      <w:r w:rsidRPr="00456192">
        <w:rPr>
          <w:highlight w:val="cyan"/>
        </w:rPr>
        <w:t xml:space="preserve"> </w:t>
      </w:r>
      <w:r w:rsidRPr="00456192">
        <w:rPr>
          <w:rFonts w:ascii="Arial" w:hAnsi="Arial" w:cs="Arial"/>
          <w:sz w:val="24"/>
          <w:szCs w:val="24"/>
          <w:highlight w:val="cyan"/>
        </w:rPr>
        <w:t>liver cancer (LIHC), colorectal cancer (COADREAD), breast cancer (BRCA),</w:t>
      </w:r>
      <w:r w:rsidRPr="00456192">
        <w:rPr>
          <w:highlight w:val="cyan"/>
        </w:rPr>
        <w:t xml:space="preserve"> </w:t>
      </w:r>
      <w:r w:rsidRPr="00456192">
        <w:rPr>
          <w:rFonts w:ascii="Arial" w:hAnsi="Arial" w:cs="Arial"/>
          <w:sz w:val="24"/>
          <w:szCs w:val="24"/>
          <w:highlight w:val="cyan"/>
        </w:rPr>
        <w:t xml:space="preserve">prostate cancer (PRAD), pancreatic cancer (PAAD), ovarian cancer (OC), bladder cancer (BLCA), sarcoma (BLCA), glioma, and biliary tract cancer (CHOL). The non-cancer control group included not only healthy volunteers but also patients with benign lesions in the corresponding organs or tissues. </w:t>
      </w:r>
    </w:p>
    <w:p w14:paraId="39E31E5B" w14:textId="609C6A57" w:rsidR="00930FD7" w:rsidRPr="00456192" w:rsidRDefault="00313F76" w:rsidP="007222E4">
      <w:pPr>
        <w:spacing w:line="360" w:lineRule="auto"/>
        <w:rPr>
          <w:rFonts w:ascii="Arial" w:hAnsi="Arial" w:cs="Arial"/>
          <w:b/>
          <w:bCs/>
          <w:sz w:val="24"/>
          <w:szCs w:val="24"/>
          <w:highlight w:val="cyan"/>
        </w:rPr>
      </w:pPr>
      <w:bookmarkStart w:id="7" w:name="_Hlk105398656"/>
      <w:r w:rsidRPr="00456192">
        <w:rPr>
          <w:rFonts w:ascii="Arial" w:hAnsi="Arial" w:cs="Arial"/>
          <w:b/>
          <w:bCs/>
          <w:sz w:val="24"/>
          <w:szCs w:val="24"/>
          <w:highlight w:val="cyan"/>
        </w:rPr>
        <w:t>Collection</w:t>
      </w:r>
      <w:r w:rsidR="00930FD7" w:rsidRPr="00456192">
        <w:rPr>
          <w:rFonts w:ascii="Arial" w:hAnsi="Arial" w:cs="Arial"/>
          <w:b/>
          <w:bCs/>
          <w:sz w:val="24"/>
          <w:szCs w:val="24"/>
          <w:highlight w:val="cyan"/>
        </w:rPr>
        <w:t xml:space="preserve"> of</w:t>
      </w:r>
      <w:r w:rsidR="000B3F6C" w:rsidRPr="00456192">
        <w:rPr>
          <w:rFonts w:ascii="Arial" w:hAnsi="Arial" w:cs="Arial"/>
          <w:b/>
          <w:bCs/>
          <w:sz w:val="24"/>
          <w:szCs w:val="24"/>
          <w:highlight w:val="cyan"/>
        </w:rPr>
        <w:t xml:space="preserve"> </w:t>
      </w:r>
      <w:r w:rsidR="000B3F6C" w:rsidRPr="00456192">
        <w:rPr>
          <w:rFonts w:ascii="Arial" w:hAnsi="Arial" w:cs="Arial" w:hint="eastAsia"/>
          <w:b/>
          <w:bCs/>
          <w:sz w:val="24"/>
          <w:szCs w:val="24"/>
          <w:highlight w:val="cyan"/>
        </w:rPr>
        <w:t>cel</w:t>
      </w:r>
      <w:r w:rsidR="000B3F6C" w:rsidRPr="00456192">
        <w:rPr>
          <w:rFonts w:ascii="Arial" w:hAnsi="Arial" w:cs="Arial"/>
          <w:b/>
          <w:bCs/>
          <w:sz w:val="24"/>
          <w:szCs w:val="24"/>
          <w:highlight w:val="cyan"/>
        </w:rPr>
        <w:t>l-free</w:t>
      </w:r>
      <w:r w:rsidR="00930FD7" w:rsidRPr="00456192">
        <w:rPr>
          <w:rFonts w:ascii="Arial" w:hAnsi="Arial" w:cs="Arial"/>
          <w:b/>
          <w:bCs/>
          <w:sz w:val="24"/>
          <w:szCs w:val="24"/>
          <w:highlight w:val="cyan"/>
        </w:rPr>
        <w:t xml:space="preserve"> miRNAs</w:t>
      </w:r>
    </w:p>
    <w:p w14:paraId="0F044635" w14:textId="6C4B943A" w:rsidR="000B3F6C" w:rsidRPr="003E3986" w:rsidRDefault="000B3F6C" w:rsidP="000B3F6C">
      <w:pPr>
        <w:spacing w:line="360" w:lineRule="auto"/>
        <w:ind w:firstLineChars="200" w:firstLine="480"/>
        <w:rPr>
          <w:rFonts w:ascii="Arial" w:hAnsi="Arial" w:cs="Arial"/>
          <w:sz w:val="24"/>
          <w:szCs w:val="24"/>
        </w:rPr>
      </w:pPr>
      <w:r w:rsidRPr="00456192">
        <w:rPr>
          <w:rFonts w:ascii="Arial" w:hAnsi="Arial" w:cs="Arial"/>
          <w:sz w:val="24"/>
          <w:szCs w:val="24"/>
          <w:highlight w:val="cyan"/>
        </w:rPr>
        <w:t xml:space="preserve">All datasets were based on a standardized microarray platform of 3D-Gene Human miRNA V21_1.0.0 (GPL21263 and GPL18941). </w:t>
      </w:r>
      <w:r w:rsidRPr="00456192">
        <w:rPr>
          <w:rFonts w:ascii="Arial" w:eastAsia="宋体" w:hAnsi="Arial" w:cs="Arial"/>
          <w:sz w:val="24"/>
          <w:szCs w:val="24"/>
          <w:highlight w:val="cyan"/>
        </w:rPr>
        <w:t>In brief,</w:t>
      </w:r>
      <w:r w:rsidRPr="00456192">
        <w:rPr>
          <w:rFonts w:ascii="Arial" w:eastAsia="等线" w:hAnsi="Arial" w:cs="Arial"/>
          <w:bCs/>
          <w:sz w:val="24"/>
          <w:szCs w:val="24"/>
          <w:highlight w:val="cyan"/>
        </w:rPr>
        <w:t xml:space="preserve"> miRNAs were considered to be present if their microarray signal was greater than [mean + 2 × standard deviation] of the negative control signals, from which the top and bottom 5%, ranked by signal intensity, were removed.</w:t>
      </w:r>
      <w:r w:rsidRPr="00456192">
        <w:rPr>
          <w:rFonts w:ascii="Arial" w:hAnsi="Arial" w:cs="Arial"/>
          <w:sz w:val="24"/>
          <w:szCs w:val="24"/>
          <w:highlight w:val="cyan"/>
        </w:rPr>
        <w:t xml:space="preserve"> When the miRNA expression signal was negative or undetectable</w:t>
      </w:r>
      <w:r w:rsidRPr="00456192">
        <w:rPr>
          <w:rFonts w:ascii="Arial" w:eastAsia="等线" w:hAnsi="Arial" w:cs="Arial"/>
          <w:bCs/>
          <w:sz w:val="24"/>
          <w:szCs w:val="24"/>
          <w:highlight w:val="cyan"/>
        </w:rPr>
        <w:t xml:space="preserve"> after background subtraction</w:t>
      </w:r>
      <w:r w:rsidRPr="00456192">
        <w:rPr>
          <w:rFonts w:ascii="Arial" w:hAnsi="Arial" w:cs="Arial"/>
          <w:sz w:val="24"/>
          <w:szCs w:val="24"/>
          <w:highlight w:val="cyan"/>
        </w:rPr>
        <w:t xml:space="preserve">, </w:t>
      </w:r>
      <w:r w:rsidRPr="00456192">
        <w:rPr>
          <w:rFonts w:ascii="Arial" w:hAnsi="Arial" w:cs="Arial"/>
          <w:sz w:val="24"/>
          <w:szCs w:val="24"/>
          <w:highlight w:val="cyan"/>
        </w:rPr>
        <w:lastRenderedPageBreak/>
        <w:t>it was replaced by 0.1 on a scale of the base 2 logarithm.</w:t>
      </w:r>
      <w:r w:rsidRPr="00456192">
        <w:rPr>
          <w:rFonts w:ascii="Arial" w:eastAsia="宋体" w:hAnsi="Arial" w:cs="Arial"/>
          <w:sz w:val="24"/>
          <w:szCs w:val="24"/>
          <w:highlight w:val="cyan"/>
        </w:rPr>
        <w:t xml:space="preserve"> Details of the miRNA </w:t>
      </w:r>
      <w:r w:rsidRPr="00456192">
        <w:rPr>
          <w:rFonts w:ascii="Arial" w:eastAsia="宋体" w:hAnsi="Arial" w:cs="Arial" w:hint="eastAsia"/>
          <w:sz w:val="24"/>
          <w:szCs w:val="24"/>
          <w:highlight w:val="cyan"/>
        </w:rPr>
        <w:t>s</w:t>
      </w:r>
      <w:r w:rsidRPr="00456192">
        <w:rPr>
          <w:rFonts w:ascii="Arial" w:eastAsia="宋体" w:hAnsi="Arial" w:cs="Arial"/>
          <w:sz w:val="24"/>
          <w:szCs w:val="24"/>
          <w:highlight w:val="cyan"/>
        </w:rPr>
        <w:t xml:space="preserve">equencing processing procedures was described in previous studies. </w:t>
      </w:r>
      <w:r w:rsidRPr="00456192">
        <w:rPr>
          <w:rFonts w:ascii="Arial" w:hAnsi="Arial" w:cs="Arial"/>
          <w:sz w:val="24"/>
          <w:szCs w:val="24"/>
          <w:highlight w:val="cyan"/>
        </w:rPr>
        <w:t xml:space="preserve">All the datasets were merged, and batch effects were mitigated using the </w:t>
      </w:r>
      <w:proofErr w:type="spellStart"/>
      <w:r w:rsidRPr="00456192">
        <w:rPr>
          <w:rFonts w:ascii="Arial" w:hAnsi="Arial" w:cs="Arial"/>
          <w:sz w:val="24"/>
          <w:szCs w:val="24"/>
          <w:highlight w:val="cyan"/>
        </w:rPr>
        <w:t>ComBat</w:t>
      </w:r>
      <w:proofErr w:type="spellEnd"/>
      <w:r w:rsidRPr="00456192">
        <w:rPr>
          <w:rFonts w:ascii="Arial" w:hAnsi="Arial" w:cs="Arial"/>
          <w:sz w:val="24"/>
          <w:szCs w:val="24"/>
          <w:highlight w:val="cyan"/>
        </w:rPr>
        <w:t xml:space="preserve"> package.</w:t>
      </w:r>
    </w:p>
    <w:p w14:paraId="111886CF" w14:textId="60A92E52" w:rsidR="000B3F6C" w:rsidRPr="000B3F6C" w:rsidRDefault="000B3F6C" w:rsidP="007222E4">
      <w:pPr>
        <w:spacing w:line="360" w:lineRule="auto"/>
        <w:rPr>
          <w:rFonts w:ascii="Arial" w:hAnsi="Arial" w:cs="Arial"/>
          <w:b/>
          <w:bCs/>
          <w:sz w:val="24"/>
          <w:szCs w:val="24"/>
        </w:rPr>
      </w:pPr>
      <w:r w:rsidRPr="006F2E43">
        <w:rPr>
          <w:rFonts w:ascii="Arial" w:hAnsi="Arial" w:cs="Arial"/>
          <w:b/>
          <w:bCs/>
          <w:sz w:val="24"/>
          <w:szCs w:val="24"/>
        </w:rPr>
        <w:t>Identification of immune-related miRNA</w:t>
      </w:r>
      <w:r w:rsidR="006F2E43" w:rsidRPr="000B3F6C">
        <w:rPr>
          <w:rFonts w:ascii="Arial" w:hAnsi="Arial" w:cs="Arial"/>
          <w:b/>
          <w:bCs/>
          <w:sz w:val="24"/>
          <w:szCs w:val="24"/>
        </w:rPr>
        <w:t xml:space="preserve"> </w:t>
      </w:r>
    </w:p>
    <w:p w14:paraId="4B4C581B" w14:textId="6928F26F" w:rsidR="001B399F" w:rsidRPr="001B399F" w:rsidRDefault="00044C29" w:rsidP="00A34D69">
      <w:pPr>
        <w:spacing w:line="360" w:lineRule="auto"/>
        <w:rPr>
          <w:rFonts w:ascii="Arial" w:hAnsi="Arial" w:cs="Arial"/>
          <w:color w:val="000000" w:themeColor="text1"/>
          <w:sz w:val="24"/>
          <w:szCs w:val="24"/>
        </w:rPr>
      </w:pPr>
      <w:proofErr w:type="spellStart"/>
      <w:r w:rsidRPr="00A25F7C">
        <w:rPr>
          <w:rFonts w:ascii="Arial" w:hAnsi="Arial" w:cs="Arial"/>
          <w:color w:val="000000" w:themeColor="text1"/>
          <w:sz w:val="24"/>
          <w:szCs w:val="24"/>
          <w:highlight w:val="cyan"/>
        </w:rPr>
        <w:t>AmiGO</w:t>
      </w:r>
      <w:proofErr w:type="spellEnd"/>
      <w:r w:rsidRPr="004162CE">
        <w:rPr>
          <w:rFonts w:ascii="Arial" w:hAnsi="Arial" w:cs="Arial"/>
          <w:color w:val="000000" w:themeColor="text1"/>
          <w:sz w:val="24"/>
          <w:szCs w:val="24"/>
          <w:highlight w:val="cyan"/>
        </w:rPr>
        <w:t xml:space="preserve"> 2 is a web-based set of tools for searching and browsing gene ontology databases</w:t>
      </w:r>
      <w:r w:rsidR="00DA3F76" w:rsidRPr="004162CE">
        <w:rPr>
          <w:rFonts w:ascii="Arial" w:hAnsi="Arial" w:cs="Arial"/>
          <w:color w:val="000000" w:themeColor="text1"/>
          <w:sz w:val="24"/>
          <w:szCs w:val="24"/>
          <w:highlight w:val="cyan"/>
        </w:rPr>
        <w:fldChar w:fldCharType="begin"/>
      </w:r>
      <w:r w:rsidR="00BD5994">
        <w:rPr>
          <w:rFonts w:ascii="Arial" w:hAnsi="Arial" w:cs="Arial"/>
          <w:color w:val="000000" w:themeColor="text1"/>
          <w:sz w:val="24"/>
          <w:szCs w:val="24"/>
          <w:highlight w:val="cyan"/>
        </w:rPr>
        <w:instrText xml:space="preserve"> ADDIN NE.Ref.{E8C8F162-A46D-40AB-A1D5-26F0FBED85AC}</w:instrText>
      </w:r>
      <w:r w:rsidR="00DA3F76" w:rsidRPr="004162CE">
        <w:rPr>
          <w:rFonts w:ascii="Arial" w:hAnsi="Arial" w:cs="Arial"/>
          <w:color w:val="000000" w:themeColor="text1"/>
          <w:sz w:val="24"/>
          <w:szCs w:val="24"/>
          <w:highlight w:val="cyan"/>
        </w:rPr>
        <w:fldChar w:fldCharType="separate"/>
      </w:r>
      <w:r w:rsidR="00BD5994">
        <w:rPr>
          <w:rFonts w:ascii="Arial" w:hAnsi="Arial" w:cs="Arial"/>
          <w:color w:val="000000"/>
          <w:kern w:val="0"/>
          <w:sz w:val="24"/>
          <w:szCs w:val="24"/>
        </w:rPr>
        <w:t>[11]</w:t>
      </w:r>
      <w:r w:rsidR="00DA3F76" w:rsidRPr="004162CE">
        <w:rPr>
          <w:rFonts w:ascii="Arial" w:hAnsi="Arial" w:cs="Arial"/>
          <w:color w:val="000000" w:themeColor="text1"/>
          <w:sz w:val="24"/>
          <w:szCs w:val="24"/>
          <w:highlight w:val="cyan"/>
        </w:rPr>
        <w:fldChar w:fldCharType="end"/>
      </w:r>
      <w:r w:rsidRPr="004162CE">
        <w:rPr>
          <w:rFonts w:ascii="Arial" w:hAnsi="Arial" w:cs="Arial"/>
          <w:color w:val="000000" w:themeColor="text1"/>
          <w:sz w:val="24"/>
          <w:szCs w:val="24"/>
          <w:highlight w:val="cyan"/>
        </w:rPr>
        <w:t>.</w:t>
      </w:r>
      <w:r w:rsidRPr="00A25F7C">
        <w:rPr>
          <w:rFonts w:ascii="Arial" w:hAnsi="Arial" w:cs="Arial"/>
          <w:color w:val="000000" w:themeColor="text1"/>
          <w:sz w:val="24"/>
          <w:szCs w:val="24"/>
          <w:highlight w:val="cyan"/>
        </w:rPr>
        <w:t xml:space="preserve"> 3,127 </w:t>
      </w:r>
      <w:r w:rsidR="002065B1" w:rsidRPr="00A25F7C">
        <w:rPr>
          <w:rFonts w:ascii="Arial" w:hAnsi="Arial" w:cs="Arial"/>
          <w:color w:val="000000" w:themeColor="text1"/>
          <w:sz w:val="24"/>
          <w:szCs w:val="24"/>
          <w:highlight w:val="cyan"/>
        </w:rPr>
        <w:t xml:space="preserve">Human immune-related genes (IRGs) were </w:t>
      </w:r>
      <w:r w:rsidRPr="00A25F7C">
        <w:rPr>
          <w:rFonts w:ascii="Arial" w:hAnsi="Arial" w:cs="Arial"/>
          <w:color w:val="000000" w:themeColor="text1"/>
          <w:sz w:val="24"/>
          <w:szCs w:val="24"/>
          <w:highlight w:val="cyan"/>
        </w:rPr>
        <w:t>downloaded</w:t>
      </w:r>
      <w:r w:rsidR="002065B1" w:rsidRPr="00A25F7C">
        <w:rPr>
          <w:rFonts w:ascii="Arial" w:hAnsi="Arial" w:cs="Arial"/>
          <w:color w:val="000000" w:themeColor="text1"/>
          <w:sz w:val="24"/>
          <w:szCs w:val="24"/>
          <w:highlight w:val="cyan"/>
        </w:rPr>
        <w:t xml:space="preserve"> from the </w:t>
      </w:r>
      <w:bookmarkStart w:id="8" w:name="OLE_LINK6"/>
      <w:bookmarkStart w:id="9" w:name="OLE_LINK5"/>
      <w:proofErr w:type="spellStart"/>
      <w:r w:rsidR="002065B1" w:rsidRPr="00A25F7C">
        <w:rPr>
          <w:rFonts w:ascii="Arial" w:hAnsi="Arial" w:cs="Arial"/>
          <w:color w:val="000000" w:themeColor="text1"/>
          <w:sz w:val="24"/>
          <w:szCs w:val="24"/>
          <w:highlight w:val="cyan"/>
        </w:rPr>
        <w:t>AmiGO</w:t>
      </w:r>
      <w:proofErr w:type="spellEnd"/>
      <w:r w:rsidR="002065B1" w:rsidRPr="00A25F7C">
        <w:rPr>
          <w:rFonts w:ascii="Arial" w:hAnsi="Arial" w:cs="Arial"/>
          <w:color w:val="000000" w:themeColor="text1"/>
          <w:sz w:val="24"/>
          <w:szCs w:val="24"/>
          <w:highlight w:val="cyan"/>
        </w:rPr>
        <w:t xml:space="preserve"> 2 </w:t>
      </w:r>
      <w:bookmarkEnd w:id="8"/>
      <w:r w:rsidR="002065B1" w:rsidRPr="00A25F7C">
        <w:rPr>
          <w:rFonts w:ascii="Arial" w:hAnsi="Arial" w:cs="Arial"/>
          <w:color w:val="000000" w:themeColor="text1"/>
          <w:sz w:val="24"/>
          <w:szCs w:val="24"/>
          <w:highlight w:val="cyan"/>
        </w:rPr>
        <w:t>Web portal</w:t>
      </w:r>
      <w:bookmarkEnd w:id="9"/>
      <w:r w:rsidR="002065B1" w:rsidRPr="00A25F7C">
        <w:rPr>
          <w:rFonts w:ascii="Arial" w:hAnsi="Arial" w:cs="Arial"/>
          <w:color w:val="000000" w:themeColor="text1"/>
          <w:sz w:val="24"/>
          <w:szCs w:val="24"/>
          <w:highlight w:val="cyan"/>
        </w:rPr>
        <w:t xml:space="preserve"> (</w:t>
      </w:r>
      <w:r w:rsidR="007028BF" w:rsidRPr="00A25F7C">
        <w:rPr>
          <w:rFonts w:ascii="Arial" w:hAnsi="Arial" w:cs="Arial"/>
          <w:color w:val="000000" w:themeColor="text1"/>
          <w:sz w:val="24"/>
          <w:szCs w:val="24"/>
          <w:highlight w:val="cyan"/>
        </w:rPr>
        <w:t>https://amigo-20231025.geneontology.org/amigo</w:t>
      </w:r>
      <w:r w:rsidR="002065B1" w:rsidRPr="00A25F7C">
        <w:rPr>
          <w:rFonts w:ascii="Arial" w:hAnsi="Arial" w:cs="Arial"/>
          <w:color w:val="000000" w:themeColor="text1"/>
          <w:sz w:val="24"/>
          <w:szCs w:val="24"/>
          <w:highlight w:val="cyan"/>
        </w:rPr>
        <w:t>).</w:t>
      </w:r>
      <w:r w:rsidR="002065B1" w:rsidRPr="003E3986">
        <w:rPr>
          <w:rFonts w:ascii="Arial" w:hAnsi="Arial" w:cs="Arial"/>
          <w:color w:val="000000" w:themeColor="text1"/>
          <w:sz w:val="24"/>
          <w:szCs w:val="24"/>
        </w:rPr>
        <w:t xml:space="preserve"> Subsequently, we identified 1,256 immune-related miRNAs whose target genes were consistently expressed in three predictive datasets (</w:t>
      </w:r>
      <w:proofErr w:type="spellStart"/>
      <w:r w:rsidR="002065B1" w:rsidRPr="003E3986">
        <w:rPr>
          <w:rFonts w:ascii="Arial" w:hAnsi="Arial" w:cs="Arial"/>
          <w:color w:val="000000" w:themeColor="text1"/>
          <w:sz w:val="24"/>
          <w:szCs w:val="24"/>
        </w:rPr>
        <w:t>TargetScan</w:t>
      </w:r>
      <w:proofErr w:type="spellEnd"/>
      <w:r w:rsidR="002065B1" w:rsidRPr="003E3986">
        <w:rPr>
          <w:rFonts w:ascii="Arial" w:hAnsi="Arial" w:cs="Arial"/>
          <w:color w:val="000000" w:themeColor="text1"/>
          <w:sz w:val="24"/>
          <w:szCs w:val="24"/>
        </w:rPr>
        <w:t xml:space="preserve">, </w:t>
      </w:r>
      <w:proofErr w:type="spellStart"/>
      <w:r w:rsidR="002065B1" w:rsidRPr="003E3986">
        <w:rPr>
          <w:rFonts w:ascii="Arial" w:hAnsi="Arial" w:cs="Arial"/>
          <w:color w:val="000000" w:themeColor="text1"/>
          <w:sz w:val="24"/>
          <w:szCs w:val="24"/>
        </w:rPr>
        <w:t>miRDB</w:t>
      </w:r>
      <w:proofErr w:type="spellEnd"/>
      <w:r w:rsidR="002065B1" w:rsidRPr="003E3986">
        <w:rPr>
          <w:rFonts w:ascii="Arial" w:hAnsi="Arial" w:cs="Arial"/>
          <w:color w:val="000000" w:themeColor="text1"/>
          <w:sz w:val="24"/>
          <w:szCs w:val="24"/>
        </w:rPr>
        <w:t xml:space="preserve">, and </w:t>
      </w:r>
      <w:proofErr w:type="spellStart"/>
      <w:r w:rsidR="002065B1" w:rsidRPr="003E3986">
        <w:rPr>
          <w:rFonts w:ascii="Arial" w:hAnsi="Arial" w:cs="Arial"/>
          <w:color w:val="000000" w:themeColor="text1"/>
          <w:sz w:val="24"/>
          <w:szCs w:val="24"/>
        </w:rPr>
        <w:t>miRTarBase</w:t>
      </w:r>
      <w:proofErr w:type="spellEnd"/>
      <w:r w:rsidR="002065B1" w:rsidRPr="003E3986">
        <w:rPr>
          <w:rFonts w:ascii="Arial" w:hAnsi="Arial" w:cs="Arial"/>
          <w:color w:val="000000" w:themeColor="text1"/>
          <w:sz w:val="24"/>
          <w:szCs w:val="24"/>
        </w:rPr>
        <w:t>)</w:t>
      </w:r>
      <w:r w:rsidR="0033715A">
        <w:rPr>
          <w:rFonts w:ascii="Arial" w:hAnsi="Arial" w:cs="Arial"/>
          <w:color w:val="000000" w:themeColor="text1"/>
          <w:sz w:val="24"/>
          <w:szCs w:val="24"/>
        </w:rPr>
        <w:fldChar w:fldCharType="begin"/>
      </w:r>
      <w:r w:rsidR="00BD5994">
        <w:rPr>
          <w:rFonts w:ascii="Arial" w:hAnsi="Arial" w:cs="Arial"/>
          <w:color w:val="000000" w:themeColor="text1"/>
          <w:sz w:val="24"/>
          <w:szCs w:val="24"/>
        </w:rPr>
        <w:instrText xml:space="preserve"> ADDIN NE.Ref.{D192B129-06DF-4D00-BAA8-B517F6901CE3}</w:instrText>
      </w:r>
      <w:r w:rsidR="0033715A">
        <w:rPr>
          <w:rFonts w:ascii="Arial" w:hAnsi="Arial" w:cs="Arial"/>
          <w:color w:val="000000" w:themeColor="text1"/>
          <w:sz w:val="24"/>
          <w:szCs w:val="24"/>
        </w:rPr>
        <w:fldChar w:fldCharType="separate"/>
      </w:r>
      <w:r w:rsidR="00BD5994">
        <w:rPr>
          <w:rFonts w:ascii="Arial" w:hAnsi="Arial" w:cs="Arial"/>
          <w:color w:val="000000"/>
          <w:kern w:val="0"/>
          <w:sz w:val="24"/>
          <w:szCs w:val="24"/>
        </w:rPr>
        <w:t>[12-14]</w:t>
      </w:r>
      <w:r w:rsidR="0033715A">
        <w:rPr>
          <w:rFonts w:ascii="Arial" w:hAnsi="Arial" w:cs="Arial"/>
          <w:color w:val="000000" w:themeColor="text1"/>
          <w:sz w:val="24"/>
          <w:szCs w:val="24"/>
        </w:rPr>
        <w:fldChar w:fldCharType="end"/>
      </w:r>
      <w:r w:rsidR="002065B1" w:rsidRPr="003E3986">
        <w:rPr>
          <w:rFonts w:ascii="Arial" w:hAnsi="Arial" w:cs="Arial"/>
          <w:color w:val="000000" w:themeColor="text1"/>
          <w:sz w:val="24"/>
          <w:szCs w:val="24"/>
        </w:rPr>
        <w:t>. These datasets serve as comprehensive atlases of predicted and validated targets of biologically relevant miRNA-mRNA interaction networks. The detailed list of immune-related miRNAs is provided in Table S2. Additionally, we screened 515 miRNAs that were highly stable and expressed, with log2-transformed values above three in more than half of the samples, for further analysis.</w:t>
      </w:r>
    </w:p>
    <w:p w14:paraId="5E0C4E38" w14:textId="63A6EE30" w:rsidR="00AA4348" w:rsidRPr="00D66C37" w:rsidRDefault="00AA4348" w:rsidP="00AA4348">
      <w:pPr>
        <w:spacing w:line="360" w:lineRule="auto"/>
        <w:rPr>
          <w:rFonts w:ascii="Arial" w:hAnsi="Arial" w:cs="Arial"/>
          <w:b/>
          <w:bCs/>
          <w:iCs/>
          <w:sz w:val="24"/>
          <w:szCs w:val="24"/>
        </w:rPr>
      </w:pPr>
      <w:r w:rsidRPr="002F3204">
        <w:rPr>
          <w:rFonts w:ascii="Arial" w:hAnsi="Arial" w:cs="Arial"/>
          <w:b/>
          <w:bCs/>
          <w:iCs/>
          <w:sz w:val="24"/>
          <w:szCs w:val="24"/>
          <w:highlight w:val="cyan"/>
        </w:rPr>
        <w:t>Pathway enrichment analysis</w:t>
      </w:r>
      <w:r w:rsidR="00FF4AC6" w:rsidRPr="00D66C37">
        <w:rPr>
          <w:rFonts w:ascii="Arial" w:hAnsi="Arial" w:cs="Arial"/>
          <w:b/>
          <w:bCs/>
          <w:iCs/>
          <w:sz w:val="24"/>
          <w:szCs w:val="24"/>
        </w:rPr>
        <w:t xml:space="preserve"> </w:t>
      </w:r>
    </w:p>
    <w:p w14:paraId="61322E7C" w14:textId="5FFC4203" w:rsidR="001B399F" w:rsidRPr="001B399F" w:rsidRDefault="001B399F" w:rsidP="001B399F">
      <w:pPr>
        <w:spacing w:line="360" w:lineRule="auto"/>
        <w:rPr>
          <w:rFonts w:ascii="Arial" w:hAnsi="Arial" w:cs="Arial"/>
          <w:sz w:val="24"/>
          <w:szCs w:val="24"/>
        </w:rPr>
      </w:pPr>
      <w:r w:rsidRPr="00CF0002">
        <w:rPr>
          <w:rFonts w:ascii="Arial" w:hAnsi="Arial" w:cs="Arial"/>
          <w:sz w:val="24"/>
          <w:szCs w:val="24"/>
          <w:highlight w:val="cyan"/>
        </w:rPr>
        <w:t xml:space="preserve">The relationships among the targets, expression, and related pathways of the </w:t>
      </w:r>
      <w:r w:rsidRPr="0033715A">
        <w:rPr>
          <w:rFonts w:ascii="Arial" w:hAnsi="Arial" w:cs="Arial"/>
          <w:sz w:val="24"/>
          <w:szCs w:val="24"/>
          <w:highlight w:val="cyan"/>
        </w:rPr>
        <w:t xml:space="preserve">microRNAs investigated in this study were visualized using the </w:t>
      </w:r>
      <w:proofErr w:type="spellStart"/>
      <w:r w:rsidRPr="0033715A">
        <w:rPr>
          <w:rFonts w:ascii="Arial" w:hAnsi="Arial" w:cs="Arial"/>
          <w:sz w:val="24"/>
          <w:szCs w:val="24"/>
          <w:highlight w:val="cyan"/>
        </w:rPr>
        <w:t>circlize</w:t>
      </w:r>
      <w:proofErr w:type="spellEnd"/>
      <w:r w:rsidRPr="0033715A">
        <w:rPr>
          <w:rFonts w:ascii="Arial" w:hAnsi="Arial" w:cs="Arial"/>
          <w:sz w:val="24"/>
          <w:szCs w:val="24"/>
          <w:highlight w:val="cyan"/>
        </w:rPr>
        <w:t xml:space="preserve"> and </w:t>
      </w:r>
      <w:proofErr w:type="spellStart"/>
      <w:r w:rsidRPr="0033715A">
        <w:rPr>
          <w:rFonts w:ascii="Arial" w:hAnsi="Arial" w:cs="Arial"/>
          <w:sz w:val="24"/>
          <w:szCs w:val="24"/>
          <w:highlight w:val="cyan"/>
        </w:rPr>
        <w:t>OmicCircos</w:t>
      </w:r>
      <w:proofErr w:type="spellEnd"/>
      <w:r w:rsidRPr="0033715A">
        <w:rPr>
          <w:rFonts w:ascii="Arial" w:hAnsi="Arial" w:cs="Arial"/>
          <w:sz w:val="24"/>
          <w:szCs w:val="24"/>
          <w:highlight w:val="cyan"/>
        </w:rPr>
        <w:t xml:space="preserve"> R packages. The oute</w:t>
      </w:r>
      <w:r w:rsidRPr="004162CE">
        <w:rPr>
          <w:rFonts w:ascii="Arial" w:hAnsi="Arial" w:cs="Arial"/>
          <w:sz w:val="24"/>
          <w:szCs w:val="24"/>
          <w:highlight w:val="cyan"/>
        </w:rPr>
        <w:t xml:space="preserve">rmost circle of the </w:t>
      </w:r>
      <w:proofErr w:type="spellStart"/>
      <w:r w:rsidRPr="004162CE">
        <w:rPr>
          <w:rFonts w:ascii="Arial" w:hAnsi="Arial" w:cs="Arial"/>
          <w:sz w:val="24"/>
          <w:szCs w:val="24"/>
          <w:highlight w:val="cyan"/>
        </w:rPr>
        <w:t>Circos</w:t>
      </w:r>
      <w:proofErr w:type="spellEnd"/>
      <w:r w:rsidRPr="004162CE">
        <w:rPr>
          <w:rFonts w:ascii="Arial" w:hAnsi="Arial" w:cs="Arial"/>
          <w:sz w:val="24"/>
          <w:szCs w:val="24"/>
          <w:highlight w:val="cyan"/>
        </w:rPr>
        <w:t xml:space="preserve"> plot indicated the binding sites of each mi</w:t>
      </w:r>
      <w:r w:rsidRPr="000546D5">
        <w:rPr>
          <w:rFonts w:ascii="Arial" w:hAnsi="Arial" w:cs="Arial"/>
          <w:sz w:val="24"/>
          <w:szCs w:val="24"/>
          <w:highlight w:val="cyan"/>
        </w:rPr>
        <w:t xml:space="preserve">RNA on the chromosomes, which were identified using the </w:t>
      </w:r>
      <w:proofErr w:type="spellStart"/>
      <w:r w:rsidRPr="000546D5">
        <w:rPr>
          <w:rFonts w:ascii="Arial" w:hAnsi="Arial" w:cs="Arial"/>
          <w:sz w:val="24"/>
          <w:szCs w:val="24"/>
          <w:highlight w:val="cyan"/>
        </w:rPr>
        <w:t>mirWalk</w:t>
      </w:r>
      <w:proofErr w:type="spellEnd"/>
      <w:r w:rsidRPr="000546D5">
        <w:rPr>
          <w:rFonts w:ascii="Arial" w:hAnsi="Arial" w:cs="Arial"/>
          <w:sz w:val="24"/>
          <w:szCs w:val="24"/>
          <w:highlight w:val="cyan"/>
        </w:rPr>
        <w:t xml:space="preserve"> database version 3.0</w:t>
      </w:r>
      <w:r w:rsidR="0033715A" w:rsidRPr="000546D5">
        <w:rPr>
          <w:rFonts w:ascii="Arial" w:hAnsi="Arial" w:cs="Arial"/>
          <w:sz w:val="24"/>
          <w:szCs w:val="24"/>
          <w:highlight w:val="cyan"/>
        </w:rPr>
        <w:fldChar w:fldCharType="begin"/>
      </w:r>
      <w:r w:rsidR="00BD5994" w:rsidRPr="000546D5">
        <w:rPr>
          <w:rFonts w:ascii="Arial" w:hAnsi="Arial" w:cs="Arial"/>
          <w:sz w:val="24"/>
          <w:szCs w:val="24"/>
          <w:highlight w:val="cyan"/>
        </w:rPr>
        <w:instrText xml:space="preserve"> ADDIN NE.Ref.{11C4DD9C-3781-44E8-BD7C-9547DC2F2DEF}</w:instrText>
      </w:r>
      <w:r w:rsidR="0033715A" w:rsidRPr="000546D5">
        <w:rPr>
          <w:rFonts w:ascii="Arial" w:hAnsi="Arial" w:cs="Arial"/>
          <w:sz w:val="24"/>
          <w:szCs w:val="24"/>
          <w:highlight w:val="cyan"/>
        </w:rPr>
        <w:fldChar w:fldCharType="separate"/>
      </w:r>
      <w:r w:rsidR="00BD5994" w:rsidRPr="000546D5">
        <w:rPr>
          <w:rFonts w:ascii="Arial" w:hAnsi="Arial" w:cs="Arial"/>
          <w:color w:val="000000"/>
          <w:kern w:val="0"/>
          <w:sz w:val="24"/>
          <w:szCs w:val="24"/>
          <w:highlight w:val="cyan"/>
        </w:rPr>
        <w:t>[15]</w:t>
      </w:r>
      <w:r w:rsidR="0033715A" w:rsidRPr="000546D5">
        <w:rPr>
          <w:rFonts w:ascii="Arial" w:hAnsi="Arial" w:cs="Arial"/>
          <w:sz w:val="24"/>
          <w:szCs w:val="24"/>
          <w:highlight w:val="cyan"/>
        </w:rPr>
        <w:fldChar w:fldCharType="end"/>
      </w:r>
      <w:r w:rsidRPr="000546D5">
        <w:rPr>
          <w:rFonts w:ascii="Arial" w:hAnsi="Arial" w:cs="Arial"/>
          <w:sz w:val="24"/>
          <w:szCs w:val="24"/>
          <w:highlight w:val="cyan"/>
        </w:rPr>
        <w:t xml:space="preserve">. The heatmap in the </w:t>
      </w:r>
      <w:proofErr w:type="spellStart"/>
      <w:r w:rsidRPr="000546D5">
        <w:rPr>
          <w:rFonts w:ascii="Arial" w:hAnsi="Arial" w:cs="Arial"/>
          <w:sz w:val="24"/>
          <w:szCs w:val="24"/>
          <w:highlight w:val="cyan"/>
        </w:rPr>
        <w:t>Circos</w:t>
      </w:r>
      <w:proofErr w:type="spellEnd"/>
      <w:r w:rsidRPr="000546D5">
        <w:rPr>
          <w:rFonts w:ascii="Arial" w:hAnsi="Arial" w:cs="Arial"/>
          <w:sz w:val="24"/>
          <w:szCs w:val="24"/>
          <w:highlight w:val="cyan"/>
        </w:rPr>
        <w:t xml:space="preserve"> plot represented the expression levels of each miRNA across 1</w:t>
      </w:r>
      <w:r w:rsidRPr="004162CE">
        <w:rPr>
          <w:rFonts w:ascii="Arial" w:hAnsi="Arial" w:cs="Arial"/>
          <w:sz w:val="24"/>
          <w:szCs w:val="24"/>
          <w:highlight w:val="cyan"/>
        </w:rPr>
        <w:t>3 different cancer types. Genes that were present in more than two-thirds of the databases (</w:t>
      </w:r>
      <w:proofErr w:type="spellStart"/>
      <w:r w:rsidRPr="004162CE">
        <w:rPr>
          <w:rFonts w:ascii="Arial" w:hAnsi="Arial" w:cs="Arial"/>
          <w:sz w:val="24"/>
          <w:szCs w:val="24"/>
          <w:highlight w:val="cyan"/>
        </w:rPr>
        <w:t>TargetScan</w:t>
      </w:r>
      <w:proofErr w:type="spellEnd"/>
      <w:r w:rsidRPr="004162CE">
        <w:rPr>
          <w:rFonts w:ascii="Arial" w:hAnsi="Arial" w:cs="Arial"/>
          <w:sz w:val="24"/>
          <w:szCs w:val="24"/>
          <w:highlight w:val="cyan"/>
        </w:rPr>
        <w:t xml:space="preserve">, </w:t>
      </w:r>
      <w:proofErr w:type="spellStart"/>
      <w:r w:rsidRPr="004162CE">
        <w:rPr>
          <w:rFonts w:ascii="Arial" w:hAnsi="Arial" w:cs="Arial"/>
          <w:sz w:val="24"/>
          <w:szCs w:val="24"/>
          <w:highlight w:val="cyan"/>
        </w:rPr>
        <w:t>miRDB</w:t>
      </w:r>
      <w:proofErr w:type="spellEnd"/>
      <w:r w:rsidRPr="004162CE">
        <w:rPr>
          <w:rFonts w:ascii="Arial" w:hAnsi="Arial" w:cs="Arial"/>
          <w:sz w:val="24"/>
          <w:szCs w:val="24"/>
          <w:highlight w:val="cyan"/>
        </w:rPr>
        <w:t xml:space="preserve"> </w:t>
      </w:r>
      <w:proofErr w:type="spellStart"/>
      <w:r w:rsidRPr="004162CE">
        <w:rPr>
          <w:rFonts w:ascii="Arial" w:hAnsi="Arial" w:cs="Arial"/>
          <w:sz w:val="24"/>
          <w:szCs w:val="24"/>
          <w:highlight w:val="cyan"/>
        </w:rPr>
        <w:t>mi</w:t>
      </w:r>
      <w:r w:rsidRPr="000546D5">
        <w:rPr>
          <w:rFonts w:ascii="Arial" w:hAnsi="Arial" w:cs="Arial"/>
          <w:sz w:val="24"/>
          <w:szCs w:val="24"/>
          <w:highlight w:val="cyan"/>
        </w:rPr>
        <w:t>RTarBase</w:t>
      </w:r>
      <w:proofErr w:type="spellEnd"/>
      <w:r w:rsidRPr="000546D5">
        <w:rPr>
          <w:rFonts w:ascii="Arial" w:hAnsi="Arial" w:cs="Arial"/>
          <w:sz w:val="24"/>
          <w:szCs w:val="24"/>
          <w:highlight w:val="cyan"/>
        </w:rPr>
        <w:t>)</w:t>
      </w:r>
      <w:r w:rsidR="0018462A" w:rsidRPr="000546D5">
        <w:rPr>
          <w:rFonts w:ascii="Arial" w:hAnsi="Arial" w:cs="Arial"/>
          <w:sz w:val="24"/>
          <w:szCs w:val="24"/>
          <w:highlight w:val="cyan"/>
        </w:rPr>
        <w:t xml:space="preserve"> were considered as meaningful targets and were selected for further evaluation</w:t>
      </w:r>
      <w:r w:rsidRPr="000546D5">
        <w:rPr>
          <w:rFonts w:ascii="Arial" w:hAnsi="Arial" w:cs="Arial"/>
          <w:sz w:val="24"/>
          <w:szCs w:val="24"/>
          <w:highlight w:val="cyan"/>
        </w:rPr>
        <w:t xml:space="preserve"> </w:t>
      </w:r>
      <w:r w:rsidR="00997250" w:rsidRPr="000546D5">
        <w:rPr>
          <w:rFonts w:ascii="Arial" w:hAnsi="Arial" w:cs="Arial"/>
          <w:sz w:val="24"/>
          <w:szCs w:val="24"/>
          <w:highlight w:val="cyan"/>
        </w:rPr>
        <w:fldChar w:fldCharType="begin"/>
      </w:r>
      <w:r w:rsidR="00BD5994" w:rsidRPr="000546D5">
        <w:rPr>
          <w:rFonts w:ascii="Arial" w:hAnsi="Arial" w:cs="Arial"/>
          <w:sz w:val="24"/>
          <w:szCs w:val="24"/>
          <w:highlight w:val="cyan"/>
        </w:rPr>
        <w:instrText xml:space="preserve"> ADDIN NE.Ref.{F8C98BEF-56E2-4BB8-AC49-CE5811CAC202}</w:instrText>
      </w:r>
      <w:r w:rsidR="00997250" w:rsidRPr="000546D5">
        <w:rPr>
          <w:rFonts w:ascii="Arial" w:hAnsi="Arial" w:cs="Arial"/>
          <w:sz w:val="24"/>
          <w:szCs w:val="24"/>
          <w:highlight w:val="cyan"/>
        </w:rPr>
        <w:fldChar w:fldCharType="separate"/>
      </w:r>
      <w:r w:rsidR="00BD5994" w:rsidRPr="000546D5">
        <w:rPr>
          <w:rFonts w:ascii="Arial" w:hAnsi="Arial" w:cs="Arial"/>
          <w:color w:val="000000"/>
          <w:kern w:val="0"/>
          <w:sz w:val="24"/>
          <w:szCs w:val="24"/>
          <w:highlight w:val="cyan"/>
        </w:rPr>
        <w:t>[12-14]</w:t>
      </w:r>
      <w:r w:rsidR="00997250" w:rsidRPr="000546D5">
        <w:rPr>
          <w:rFonts w:ascii="Arial" w:hAnsi="Arial" w:cs="Arial"/>
          <w:sz w:val="24"/>
          <w:szCs w:val="24"/>
          <w:highlight w:val="cyan"/>
        </w:rPr>
        <w:fldChar w:fldCharType="end"/>
      </w:r>
      <w:r w:rsidRPr="000546D5">
        <w:rPr>
          <w:rFonts w:ascii="Arial" w:hAnsi="Arial" w:cs="Arial"/>
          <w:sz w:val="24"/>
          <w:szCs w:val="24"/>
          <w:highlight w:val="cyan"/>
        </w:rPr>
        <w:t>. To gain more insight regarding functions of these genes</w:t>
      </w:r>
      <w:r w:rsidR="00730442" w:rsidRPr="000546D5">
        <w:rPr>
          <w:rFonts w:ascii="Arial" w:hAnsi="Arial" w:cs="Arial"/>
          <w:sz w:val="24"/>
          <w:szCs w:val="24"/>
          <w:highlight w:val="cyan"/>
        </w:rPr>
        <w:t>.</w:t>
      </w:r>
    </w:p>
    <w:p w14:paraId="2B6EEC88" w14:textId="0DB24E01" w:rsidR="00E02DC3" w:rsidRPr="00E02DC3" w:rsidRDefault="001B399F" w:rsidP="00550025">
      <w:pPr>
        <w:spacing w:line="360" w:lineRule="auto"/>
        <w:ind w:firstLineChars="200" w:firstLine="480"/>
        <w:rPr>
          <w:rFonts w:ascii="Arial" w:hAnsi="Arial" w:cs="Arial"/>
          <w:sz w:val="24"/>
          <w:szCs w:val="24"/>
        </w:rPr>
      </w:pPr>
      <w:r w:rsidRPr="00805C20">
        <w:rPr>
          <w:rFonts w:ascii="Arial" w:hAnsi="Arial" w:cs="Arial"/>
          <w:sz w:val="24"/>
          <w:szCs w:val="24"/>
          <w:highlight w:val="cyan"/>
        </w:rPr>
        <w:t xml:space="preserve">Gene ontology (GO) and Kyoto Encyclopedia of Genes and Genome (KEGG) analyses of genes regulated by these aforementioned miRNAs were performed using the Database for Annotation Visualization and Integrated </w:t>
      </w:r>
      <w:r w:rsidRPr="00805C20">
        <w:rPr>
          <w:rFonts w:ascii="Arial" w:hAnsi="Arial" w:cs="Arial"/>
          <w:sz w:val="24"/>
          <w:szCs w:val="24"/>
          <w:highlight w:val="cyan"/>
        </w:rPr>
        <w:lastRenderedPageBreak/>
        <w:t>Discovery (DAVID, https://david.ncifc</w:t>
      </w:r>
      <w:r w:rsidRPr="000546D5">
        <w:rPr>
          <w:rFonts w:ascii="Arial" w:hAnsi="Arial" w:cs="Arial"/>
          <w:sz w:val="24"/>
          <w:szCs w:val="24"/>
          <w:highlight w:val="cyan"/>
        </w:rPr>
        <w:t>rf.gov/, 15 October, 2022)</w:t>
      </w:r>
      <w:r w:rsidR="00275CE4" w:rsidRPr="000546D5">
        <w:rPr>
          <w:rFonts w:ascii="Arial" w:hAnsi="Arial" w:cs="Arial"/>
          <w:sz w:val="24"/>
          <w:szCs w:val="24"/>
          <w:highlight w:val="cyan"/>
        </w:rPr>
        <w:t xml:space="preserve"> </w:t>
      </w:r>
      <w:r w:rsidR="0065714A" w:rsidRPr="000546D5">
        <w:rPr>
          <w:rFonts w:ascii="Arial" w:hAnsi="Arial" w:cs="Arial"/>
          <w:sz w:val="24"/>
          <w:szCs w:val="24"/>
          <w:highlight w:val="cyan"/>
        </w:rPr>
        <w:fldChar w:fldCharType="begin"/>
      </w:r>
      <w:r w:rsidR="00BD5994" w:rsidRPr="000546D5">
        <w:rPr>
          <w:rFonts w:ascii="Arial" w:hAnsi="Arial" w:cs="Arial"/>
          <w:sz w:val="24"/>
          <w:szCs w:val="24"/>
          <w:highlight w:val="cyan"/>
        </w:rPr>
        <w:instrText xml:space="preserve"> ADDIN NE.Ref.{4ABAA9BA-1DAE-4A34-88F6-61A8A3F1272B}</w:instrText>
      </w:r>
      <w:r w:rsidR="0065714A" w:rsidRPr="000546D5">
        <w:rPr>
          <w:rFonts w:ascii="Arial" w:hAnsi="Arial" w:cs="Arial"/>
          <w:sz w:val="24"/>
          <w:szCs w:val="24"/>
          <w:highlight w:val="cyan"/>
        </w:rPr>
        <w:fldChar w:fldCharType="separate"/>
      </w:r>
      <w:r w:rsidR="00BD5994" w:rsidRPr="000546D5">
        <w:rPr>
          <w:rFonts w:ascii="Arial" w:hAnsi="Arial" w:cs="Arial"/>
          <w:color w:val="000000"/>
          <w:kern w:val="0"/>
          <w:sz w:val="24"/>
          <w:szCs w:val="24"/>
          <w:highlight w:val="cyan"/>
        </w:rPr>
        <w:t>[16]</w:t>
      </w:r>
      <w:r w:rsidR="0065714A" w:rsidRPr="000546D5">
        <w:rPr>
          <w:rFonts w:ascii="Arial" w:hAnsi="Arial" w:cs="Arial"/>
          <w:sz w:val="24"/>
          <w:szCs w:val="24"/>
          <w:highlight w:val="cyan"/>
        </w:rPr>
        <w:fldChar w:fldCharType="end"/>
      </w:r>
      <w:r w:rsidRPr="000546D5">
        <w:rPr>
          <w:rFonts w:ascii="Arial" w:hAnsi="Arial" w:cs="Arial"/>
          <w:sz w:val="24"/>
          <w:szCs w:val="24"/>
          <w:highlight w:val="cyan"/>
        </w:rPr>
        <w:t>. A p</w:t>
      </w:r>
      <w:r w:rsidRPr="004162CE">
        <w:rPr>
          <w:rFonts w:ascii="Arial" w:hAnsi="Arial" w:cs="Arial"/>
          <w:sz w:val="24"/>
          <w:szCs w:val="24"/>
          <w:highlight w:val="cyan"/>
        </w:rPr>
        <w:t>-value &lt; 0.05 and FDR &lt; 0.05 were set as the cutoff criteria.</w:t>
      </w:r>
    </w:p>
    <w:p w14:paraId="2D7ABA13" w14:textId="425FCA1F" w:rsidR="00453031" w:rsidRPr="006C1921" w:rsidRDefault="00453031" w:rsidP="008667B2">
      <w:pPr>
        <w:spacing w:line="360" w:lineRule="auto"/>
        <w:rPr>
          <w:rFonts w:ascii="Arial" w:hAnsi="Arial" w:cs="Arial"/>
          <w:b/>
          <w:bCs/>
          <w:sz w:val="24"/>
          <w:szCs w:val="24"/>
        </w:rPr>
      </w:pPr>
      <w:r w:rsidRPr="002B0B63">
        <w:rPr>
          <w:rFonts w:ascii="Arial" w:hAnsi="Arial" w:cs="Arial" w:hint="eastAsia"/>
          <w:b/>
          <w:bCs/>
          <w:sz w:val="24"/>
          <w:szCs w:val="24"/>
          <w:highlight w:val="cyan"/>
        </w:rPr>
        <w:t>The</w:t>
      </w:r>
      <w:r w:rsidRPr="002B0B63">
        <w:rPr>
          <w:rFonts w:ascii="Arial" w:hAnsi="Arial" w:cs="Arial"/>
          <w:b/>
          <w:bCs/>
          <w:sz w:val="24"/>
          <w:szCs w:val="24"/>
          <w:highlight w:val="cyan"/>
        </w:rPr>
        <w:t xml:space="preserve"> splitting strategy of dataset</w:t>
      </w:r>
    </w:p>
    <w:p w14:paraId="1A313701" w14:textId="0E8F533E" w:rsidR="00A34D69" w:rsidRDefault="00A34D69" w:rsidP="00A34D69">
      <w:pPr>
        <w:spacing w:line="360" w:lineRule="auto"/>
        <w:rPr>
          <w:rFonts w:ascii="Arial" w:hAnsi="Arial" w:cs="Arial"/>
          <w:sz w:val="24"/>
          <w:szCs w:val="24"/>
        </w:rPr>
      </w:pPr>
      <w:r w:rsidRPr="003E3986">
        <w:rPr>
          <w:rFonts w:ascii="Arial" w:hAnsi="Arial" w:cs="Arial"/>
          <w:sz w:val="24"/>
          <w:szCs w:val="24"/>
        </w:rPr>
        <w:t xml:space="preserve">We implemented a standard pipeline for developing and evaluating a diagnostic classifier using machine learning algorithms. The available data were randomly divided into three independent subsets with different proportions: 70% of the randomly selected samples were used for training, 20% for validation, and the remaining 10% for testing. Additionally, an independent external test set was identified from the GSE113740 dataset, which included 13 cancer types and a control group with unique identities. The training and validation sets were used for classifier development, while the test set was used to assess the generalization and reproducibility of the signature. Detailed baseline information is summarized in </w:t>
      </w:r>
      <w:r w:rsidRPr="003E3986">
        <w:rPr>
          <w:rFonts w:ascii="Arial" w:hAnsi="Arial" w:cs="Arial"/>
          <w:b/>
          <w:bCs/>
          <w:sz w:val="24"/>
          <w:szCs w:val="24"/>
        </w:rPr>
        <w:t>Table S1</w:t>
      </w:r>
      <w:r w:rsidRPr="003E3986">
        <w:rPr>
          <w:rFonts w:ascii="Arial" w:hAnsi="Arial" w:cs="Arial"/>
          <w:sz w:val="24"/>
          <w:szCs w:val="24"/>
        </w:rPr>
        <w:t>.</w:t>
      </w:r>
    </w:p>
    <w:p w14:paraId="3D15A924" w14:textId="44483F62" w:rsidR="00453031" w:rsidRPr="00453031" w:rsidRDefault="00453031" w:rsidP="00A34D69">
      <w:pPr>
        <w:spacing w:line="360" w:lineRule="auto"/>
        <w:rPr>
          <w:rFonts w:ascii="Arial" w:hAnsi="Arial" w:cs="Arial"/>
          <w:b/>
          <w:bCs/>
          <w:sz w:val="24"/>
          <w:szCs w:val="24"/>
        </w:rPr>
      </w:pPr>
      <w:r w:rsidRPr="00F11636">
        <w:rPr>
          <w:rFonts w:ascii="Arial" w:hAnsi="Arial" w:cs="Arial" w:hint="eastAsia"/>
          <w:b/>
          <w:bCs/>
          <w:sz w:val="24"/>
          <w:szCs w:val="24"/>
          <w:highlight w:val="cyan"/>
        </w:rPr>
        <w:t>D</w:t>
      </w:r>
      <w:r w:rsidRPr="00F11636">
        <w:rPr>
          <w:rFonts w:ascii="Arial" w:hAnsi="Arial" w:cs="Arial"/>
          <w:b/>
          <w:bCs/>
          <w:sz w:val="24"/>
          <w:szCs w:val="24"/>
          <w:highlight w:val="cyan"/>
        </w:rPr>
        <w:t>ifferentially expressed miRNAs</w:t>
      </w:r>
    </w:p>
    <w:p w14:paraId="5D71F504" w14:textId="38C0A8F6" w:rsidR="006C1921" w:rsidRPr="00F11636" w:rsidRDefault="00514985" w:rsidP="00F11636">
      <w:pPr>
        <w:spacing w:line="360" w:lineRule="auto"/>
        <w:ind w:firstLineChars="200" w:firstLine="480"/>
        <w:rPr>
          <w:rFonts w:ascii="Arial" w:hAnsi="Arial" w:cs="Arial"/>
          <w:sz w:val="24"/>
          <w:szCs w:val="24"/>
        </w:rPr>
      </w:pPr>
      <w:r w:rsidRPr="003E3986">
        <w:rPr>
          <w:rFonts w:ascii="Arial" w:hAnsi="Arial" w:cs="Arial"/>
          <w:sz w:val="24"/>
          <w:szCs w:val="24"/>
        </w:rPr>
        <w:t>To identify reliable candidate cell-free immune-related miRNAs (</w:t>
      </w:r>
      <w:proofErr w:type="spellStart"/>
      <w:r w:rsidRPr="003E3986">
        <w:rPr>
          <w:rFonts w:ascii="Arial" w:hAnsi="Arial" w:cs="Arial"/>
          <w:sz w:val="24"/>
          <w:szCs w:val="24"/>
        </w:rPr>
        <w:t>cf-IRmiRNAs</w:t>
      </w:r>
      <w:proofErr w:type="spellEnd"/>
      <w:r w:rsidRPr="003E3986">
        <w:rPr>
          <w:rFonts w:ascii="Arial" w:hAnsi="Arial" w:cs="Arial"/>
          <w:sz w:val="24"/>
          <w:szCs w:val="24"/>
        </w:rPr>
        <w:t xml:space="preserve">) that showed differential representation between malignant and non-malignant controls, we initially performed differential analysis on the entire training cohort. Differentially expressed miRNAs were identified using the </w:t>
      </w:r>
      <w:proofErr w:type="spellStart"/>
      <w:r w:rsidRPr="003E3986">
        <w:rPr>
          <w:rFonts w:ascii="Arial" w:hAnsi="Arial" w:cs="Arial"/>
          <w:sz w:val="24"/>
          <w:szCs w:val="24"/>
        </w:rPr>
        <w:t>limma</w:t>
      </w:r>
      <w:proofErr w:type="spellEnd"/>
      <w:r w:rsidRPr="003E3986">
        <w:rPr>
          <w:rFonts w:ascii="Arial" w:hAnsi="Arial" w:cs="Arial"/>
          <w:sz w:val="24"/>
          <w:szCs w:val="24"/>
        </w:rPr>
        <w:t xml:space="preserve"> package</w:t>
      </w:r>
      <w:r w:rsidR="00AD7468">
        <w:rPr>
          <w:rFonts w:ascii="Arial" w:hAnsi="Arial" w:cs="Arial"/>
          <w:sz w:val="24"/>
          <w:szCs w:val="24"/>
        </w:rPr>
        <w:fldChar w:fldCharType="begin"/>
      </w:r>
      <w:r w:rsidR="00BD5994">
        <w:rPr>
          <w:rFonts w:ascii="Arial" w:hAnsi="Arial" w:cs="Arial"/>
          <w:sz w:val="24"/>
          <w:szCs w:val="24"/>
        </w:rPr>
        <w:instrText xml:space="preserve"> ADDIN NE.Ref.{B9421F6E-773E-42E0-9A3A-21AD26FADDF3}</w:instrText>
      </w:r>
      <w:r w:rsidR="00AD7468">
        <w:rPr>
          <w:rFonts w:ascii="Arial" w:hAnsi="Arial" w:cs="Arial"/>
          <w:sz w:val="24"/>
          <w:szCs w:val="24"/>
        </w:rPr>
        <w:fldChar w:fldCharType="separate"/>
      </w:r>
      <w:r w:rsidR="00BD5994">
        <w:rPr>
          <w:rFonts w:ascii="Arial" w:hAnsi="Arial" w:cs="Arial"/>
          <w:color w:val="000000"/>
          <w:kern w:val="0"/>
          <w:sz w:val="24"/>
          <w:szCs w:val="24"/>
        </w:rPr>
        <w:t>[17]</w:t>
      </w:r>
      <w:r w:rsidR="00AD7468">
        <w:rPr>
          <w:rFonts w:ascii="Arial" w:hAnsi="Arial" w:cs="Arial"/>
          <w:sz w:val="24"/>
          <w:szCs w:val="24"/>
        </w:rPr>
        <w:fldChar w:fldCharType="end"/>
      </w:r>
      <w:r w:rsidRPr="003E3986">
        <w:rPr>
          <w:rFonts w:ascii="Arial" w:hAnsi="Arial" w:cs="Arial"/>
          <w:sz w:val="24"/>
          <w:szCs w:val="24"/>
        </w:rPr>
        <w:t xml:space="preserve">, with a cutoff value of |log-transformed fold change| &gt;= 1 and adjusted </w:t>
      </w:r>
      <w:r w:rsidRPr="003E3986">
        <w:rPr>
          <w:rFonts w:ascii="Arial" w:hAnsi="Arial" w:cs="Arial"/>
          <w:i/>
          <w:iCs/>
          <w:sz w:val="24"/>
          <w:szCs w:val="24"/>
        </w:rPr>
        <w:t>P</w:t>
      </w:r>
      <w:r w:rsidRPr="003E3986">
        <w:rPr>
          <w:rFonts w:ascii="Arial" w:hAnsi="Arial" w:cs="Arial"/>
          <w:sz w:val="24"/>
          <w:szCs w:val="24"/>
        </w:rPr>
        <w:t xml:space="preserve">-value &lt; 0.01. A total of 100 specific miRNAs were filtered as classification features. </w:t>
      </w:r>
      <w:r w:rsidR="00F11636" w:rsidRPr="003E3986">
        <w:rPr>
          <w:rFonts w:ascii="Arial" w:hAnsi="Arial" w:cs="Arial"/>
          <w:sz w:val="24"/>
          <w:szCs w:val="24"/>
        </w:rPr>
        <w:t>Subsequently, we applied Least Absolute Shrinkage and Selection Operator (LASSO) regression analysis to shrink the parameters and overcome multicollinearity. This method adds a penalty/regularization term to the cost function to further reduce model complexity and prevent overfitting. Based on the λ value, 39 miRNAs with beta coefficients above zero were retained in the model to calculate a discriminant score.</w:t>
      </w:r>
      <w:r w:rsidR="00F11636">
        <w:rPr>
          <w:rFonts w:ascii="Arial" w:hAnsi="Arial" w:cs="Arial" w:hint="eastAsia"/>
          <w:sz w:val="24"/>
          <w:szCs w:val="24"/>
        </w:rPr>
        <w:t xml:space="preserve"> </w:t>
      </w:r>
    </w:p>
    <w:p w14:paraId="4CAC16AA" w14:textId="20E747DA" w:rsidR="00453031" w:rsidRPr="00453031" w:rsidRDefault="00706431" w:rsidP="00453031">
      <w:pPr>
        <w:spacing w:line="360" w:lineRule="auto"/>
        <w:rPr>
          <w:rFonts w:ascii="Arial" w:hAnsi="Arial" w:cs="Arial"/>
          <w:b/>
          <w:bCs/>
          <w:sz w:val="24"/>
          <w:szCs w:val="24"/>
        </w:rPr>
      </w:pPr>
      <w:r w:rsidRPr="00F11636">
        <w:rPr>
          <w:rFonts w:ascii="Arial" w:hAnsi="Arial" w:cs="Arial"/>
          <w:b/>
          <w:bCs/>
          <w:sz w:val="24"/>
          <w:szCs w:val="24"/>
          <w:highlight w:val="cyan"/>
        </w:rPr>
        <w:t xml:space="preserve">Construction of diagnostic classifiers based on five </w:t>
      </w:r>
      <w:r w:rsidR="00FF4AC6">
        <w:rPr>
          <w:rFonts w:ascii="Arial" w:hAnsi="Arial" w:cs="Arial"/>
          <w:b/>
          <w:bCs/>
          <w:sz w:val="24"/>
          <w:szCs w:val="24"/>
          <w:highlight w:val="cyan"/>
        </w:rPr>
        <w:t>machine-learning</w:t>
      </w:r>
      <w:r w:rsidRPr="00F11636">
        <w:rPr>
          <w:rFonts w:ascii="Arial" w:hAnsi="Arial" w:cs="Arial"/>
          <w:b/>
          <w:bCs/>
          <w:sz w:val="24"/>
          <w:szCs w:val="24"/>
          <w:highlight w:val="cyan"/>
        </w:rPr>
        <w:t xml:space="preserve"> methods</w:t>
      </w:r>
    </w:p>
    <w:p w14:paraId="2727FA90" w14:textId="0F81C907" w:rsidR="00CC1269" w:rsidRDefault="00B90A8E" w:rsidP="007D5908">
      <w:pPr>
        <w:spacing w:line="360" w:lineRule="auto"/>
        <w:ind w:firstLineChars="200" w:firstLine="480"/>
        <w:rPr>
          <w:rFonts w:ascii="Arial" w:hAnsi="Arial" w:cs="Arial"/>
          <w:sz w:val="24"/>
          <w:szCs w:val="24"/>
        </w:rPr>
      </w:pPr>
      <w:bookmarkStart w:id="10" w:name="_Hlk125895785"/>
      <w:r w:rsidRPr="00F11636">
        <w:rPr>
          <w:rFonts w:ascii="Arial" w:hAnsi="Arial" w:cs="Arial"/>
          <w:sz w:val="24"/>
          <w:szCs w:val="24"/>
          <w:highlight w:val="cyan"/>
        </w:rPr>
        <w:t xml:space="preserve">In order to construct a robust classifier capable of accurately and consistently discriminating between malignant and non-malignant samples, we </w:t>
      </w:r>
      <w:r w:rsidRPr="00F11636">
        <w:rPr>
          <w:rFonts w:ascii="Arial" w:hAnsi="Arial" w:cs="Arial"/>
          <w:sz w:val="24"/>
          <w:szCs w:val="24"/>
          <w:highlight w:val="cyan"/>
        </w:rPr>
        <w:lastRenderedPageBreak/>
        <w:t>employed five machine learning algorithms for binary classification to create predictive classification models</w:t>
      </w:r>
      <w:r w:rsidR="00F11636">
        <w:rPr>
          <w:rFonts w:ascii="Arial" w:hAnsi="Arial" w:cs="Arial"/>
          <w:sz w:val="24"/>
          <w:szCs w:val="24"/>
          <w:highlight w:val="cyan"/>
        </w:rPr>
        <w:t xml:space="preserve">. </w:t>
      </w:r>
      <w:r w:rsidRPr="003E3986">
        <w:rPr>
          <w:rFonts w:ascii="Arial" w:hAnsi="Arial" w:cs="Arial"/>
          <w:sz w:val="24"/>
          <w:szCs w:val="24"/>
        </w:rPr>
        <w:t xml:space="preserve">These five machine learning algorithms are Logistic regression, Lasso regression, Random Forest, Support Vector Machine (SVM), and </w:t>
      </w:r>
      <w:proofErr w:type="spellStart"/>
      <w:r w:rsidRPr="003E3986">
        <w:rPr>
          <w:rFonts w:ascii="Arial" w:hAnsi="Arial" w:cs="Arial"/>
          <w:sz w:val="24"/>
          <w:szCs w:val="24"/>
        </w:rPr>
        <w:t>XGBoost</w:t>
      </w:r>
      <w:proofErr w:type="spellEnd"/>
      <w:r w:rsidRPr="003E3986">
        <w:rPr>
          <w:rFonts w:ascii="Arial" w:hAnsi="Arial" w:cs="Arial"/>
          <w:sz w:val="24"/>
          <w:szCs w:val="24"/>
        </w:rPr>
        <w:t>.</w:t>
      </w:r>
      <w:r w:rsidR="00CC1269" w:rsidRPr="003E3986">
        <w:t xml:space="preserve"> </w:t>
      </w:r>
      <w:r w:rsidRPr="003E3986">
        <w:rPr>
          <w:rFonts w:ascii="Arial" w:hAnsi="Arial" w:cs="Arial"/>
          <w:sz w:val="24"/>
          <w:szCs w:val="24"/>
        </w:rPr>
        <w:t>Logistic regression is a generalized linear model (GLM) used to solve a wide range of binary clas</w:t>
      </w:r>
      <w:r w:rsidRPr="00AC348D">
        <w:rPr>
          <w:rFonts w:ascii="Arial" w:hAnsi="Arial" w:cs="Arial"/>
          <w:sz w:val="24"/>
          <w:szCs w:val="24"/>
        </w:rPr>
        <w:t xml:space="preserve">sification problems. </w:t>
      </w:r>
      <w:r w:rsidR="00C665F7" w:rsidRPr="00AC348D">
        <w:rPr>
          <w:rFonts w:ascii="Arial" w:hAnsi="Arial" w:cs="Arial"/>
          <w:sz w:val="24"/>
          <w:szCs w:val="24"/>
        </w:rPr>
        <w:t>LASSO regression is a biased estimation method for regression that improves upon the</w:t>
      </w:r>
      <w:r w:rsidR="00C665F7" w:rsidRPr="003E3986">
        <w:rPr>
          <w:rFonts w:ascii="Arial" w:hAnsi="Arial" w:cs="Arial"/>
          <w:sz w:val="24"/>
          <w:szCs w:val="24"/>
        </w:rPr>
        <w:t xml:space="preserve"> least squares estimation method. </w:t>
      </w:r>
      <w:r w:rsidRPr="003E3986">
        <w:rPr>
          <w:rFonts w:ascii="Arial" w:hAnsi="Arial" w:cs="Arial"/>
          <w:sz w:val="24"/>
          <w:szCs w:val="24"/>
        </w:rPr>
        <w:t>It is particularly effective in handling multicollinearity, noisy, and redundant data, and can be used to analyze continuous dependent variables, binary, and multivariate discrete variable</w:t>
      </w:r>
      <w:r w:rsidRPr="00CD1CDB">
        <w:rPr>
          <w:rFonts w:ascii="Arial" w:hAnsi="Arial" w:cs="Arial"/>
          <w:sz w:val="24"/>
          <w:szCs w:val="24"/>
        </w:rPr>
        <w:t>s</w:t>
      </w:r>
      <w:r w:rsidR="00CD1CDB" w:rsidRPr="00CD1CDB">
        <w:rPr>
          <w:rFonts w:ascii="Arial" w:hAnsi="Arial" w:cs="Arial"/>
          <w:sz w:val="24"/>
          <w:szCs w:val="24"/>
        </w:rPr>
        <w:fldChar w:fldCharType="begin"/>
      </w:r>
      <w:r w:rsidR="00BD5994">
        <w:rPr>
          <w:rFonts w:ascii="Arial" w:hAnsi="Arial" w:cs="Arial"/>
          <w:sz w:val="24"/>
          <w:szCs w:val="24"/>
        </w:rPr>
        <w:instrText xml:space="preserve"> ADDIN NE.Ref.{25586462-A7C1-4083-A9A0-E33AF971D087}</w:instrText>
      </w:r>
      <w:r w:rsidR="00CD1CDB" w:rsidRPr="00CD1CDB">
        <w:rPr>
          <w:rFonts w:ascii="Arial" w:hAnsi="Arial" w:cs="Arial"/>
          <w:sz w:val="24"/>
          <w:szCs w:val="24"/>
        </w:rPr>
        <w:fldChar w:fldCharType="separate"/>
      </w:r>
      <w:r w:rsidR="00BD5994">
        <w:rPr>
          <w:rFonts w:ascii="Arial" w:hAnsi="Arial" w:cs="Arial"/>
          <w:color w:val="000000"/>
          <w:kern w:val="0"/>
          <w:sz w:val="24"/>
          <w:szCs w:val="24"/>
        </w:rPr>
        <w:t>[18]</w:t>
      </w:r>
      <w:r w:rsidR="00CD1CDB" w:rsidRPr="00CD1CDB">
        <w:rPr>
          <w:rFonts w:ascii="Arial" w:hAnsi="Arial" w:cs="Arial"/>
          <w:sz w:val="24"/>
          <w:szCs w:val="24"/>
        </w:rPr>
        <w:fldChar w:fldCharType="end"/>
      </w:r>
      <w:r w:rsidRPr="00CD1CDB">
        <w:rPr>
          <w:rFonts w:ascii="Arial" w:hAnsi="Arial" w:cs="Arial"/>
          <w:sz w:val="24"/>
          <w:szCs w:val="24"/>
        </w:rPr>
        <w:t>. SVM is a machine learning algorithm used for classification and regression</w:t>
      </w:r>
      <w:r w:rsidRPr="003E3986">
        <w:rPr>
          <w:rFonts w:ascii="Arial" w:hAnsi="Arial" w:cs="Arial"/>
          <w:sz w:val="24"/>
          <w:szCs w:val="24"/>
        </w:rPr>
        <w:t xml:space="preserve"> analysis. It finds the optimal hyperplane that can distinguish between two data classes by mapping the sample vectors to a high-d</w:t>
      </w:r>
      <w:r w:rsidRPr="00CD1CDB">
        <w:rPr>
          <w:rFonts w:ascii="Arial" w:hAnsi="Arial" w:cs="Arial"/>
          <w:sz w:val="24"/>
          <w:szCs w:val="24"/>
        </w:rPr>
        <w:t>imensional space and maximizing the distance between each class and the hyperplane</w:t>
      </w:r>
      <w:r w:rsidR="00CD1CDB" w:rsidRPr="00CD1CDB">
        <w:rPr>
          <w:rFonts w:ascii="Arial" w:hAnsi="Arial" w:cs="Arial"/>
          <w:sz w:val="24"/>
          <w:szCs w:val="24"/>
        </w:rPr>
        <w:fldChar w:fldCharType="begin"/>
      </w:r>
      <w:r w:rsidR="00BD5994">
        <w:rPr>
          <w:rFonts w:ascii="Arial" w:hAnsi="Arial" w:cs="Arial"/>
          <w:sz w:val="24"/>
          <w:szCs w:val="24"/>
        </w:rPr>
        <w:instrText xml:space="preserve"> ADDIN NE.Ref.{0C8B0C4E-E775-459E-9CE4-C0334D304015}</w:instrText>
      </w:r>
      <w:r w:rsidR="00CD1CDB" w:rsidRPr="00CD1CDB">
        <w:rPr>
          <w:rFonts w:ascii="Arial" w:hAnsi="Arial" w:cs="Arial"/>
          <w:sz w:val="24"/>
          <w:szCs w:val="24"/>
        </w:rPr>
        <w:fldChar w:fldCharType="separate"/>
      </w:r>
      <w:r w:rsidR="00BD5994">
        <w:rPr>
          <w:rFonts w:ascii="Arial" w:hAnsi="Arial" w:cs="Arial"/>
          <w:color w:val="000000"/>
          <w:kern w:val="0"/>
          <w:sz w:val="24"/>
          <w:szCs w:val="24"/>
        </w:rPr>
        <w:t>[19]</w:t>
      </w:r>
      <w:r w:rsidR="00CD1CDB" w:rsidRPr="00CD1CDB">
        <w:rPr>
          <w:rFonts w:ascii="Arial" w:hAnsi="Arial" w:cs="Arial"/>
          <w:sz w:val="24"/>
          <w:szCs w:val="24"/>
        </w:rPr>
        <w:fldChar w:fldCharType="end"/>
      </w:r>
      <w:r w:rsidRPr="00CD1CDB">
        <w:rPr>
          <w:rFonts w:ascii="Arial" w:hAnsi="Arial" w:cs="Arial"/>
          <w:sz w:val="24"/>
          <w:szCs w:val="24"/>
        </w:rPr>
        <w:t>.</w:t>
      </w:r>
      <w:r w:rsidRPr="00CD1CDB">
        <w:t xml:space="preserve"> </w:t>
      </w:r>
      <w:r w:rsidRPr="00CD1CDB">
        <w:rPr>
          <w:rFonts w:ascii="Arial" w:hAnsi="Arial" w:cs="Arial"/>
          <w:sz w:val="24"/>
          <w:szCs w:val="24"/>
        </w:rPr>
        <w:t>Random Forest uses multiple decision trees trained on different subsets of the same training data to reduce variance by averaging the predictions</w:t>
      </w:r>
      <w:r w:rsidR="00CD1CDB" w:rsidRPr="00CD1CDB">
        <w:rPr>
          <w:rFonts w:ascii="Arial" w:hAnsi="Arial" w:cs="Arial"/>
          <w:sz w:val="24"/>
          <w:szCs w:val="24"/>
        </w:rPr>
        <w:fldChar w:fldCharType="begin"/>
      </w:r>
      <w:r w:rsidR="00BD5994">
        <w:rPr>
          <w:rFonts w:ascii="Arial" w:hAnsi="Arial" w:cs="Arial"/>
          <w:sz w:val="24"/>
          <w:szCs w:val="24"/>
        </w:rPr>
        <w:instrText xml:space="preserve"> ADDIN NE.Ref.{16BEB782-89C3-43AA-AD77-FB767DC4C0D5}</w:instrText>
      </w:r>
      <w:r w:rsidR="00CD1CDB" w:rsidRPr="00CD1CDB">
        <w:rPr>
          <w:rFonts w:ascii="Arial" w:hAnsi="Arial" w:cs="Arial"/>
          <w:sz w:val="24"/>
          <w:szCs w:val="24"/>
        </w:rPr>
        <w:fldChar w:fldCharType="separate"/>
      </w:r>
      <w:r w:rsidR="00BD5994">
        <w:rPr>
          <w:rFonts w:ascii="Arial" w:hAnsi="Arial" w:cs="Arial"/>
          <w:color w:val="000000"/>
          <w:kern w:val="0"/>
          <w:sz w:val="24"/>
          <w:szCs w:val="24"/>
        </w:rPr>
        <w:t>[20]</w:t>
      </w:r>
      <w:r w:rsidR="00CD1CDB" w:rsidRPr="00CD1CDB">
        <w:rPr>
          <w:rFonts w:ascii="Arial" w:hAnsi="Arial" w:cs="Arial"/>
          <w:sz w:val="24"/>
          <w:szCs w:val="24"/>
        </w:rPr>
        <w:fldChar w:fldCharType="end"/>
      </w:r>
      <w:r w:rsidRPr="00CD1CDB">
        <w:rPr>
          <w:rFonts w:ascii="Arial" w:hAnsi="Arial" w:cs="Arial"/>
          <w:sz w:val="24"/>
          <w:szCs w:val="24"/>
        </w:rPr>
        <w:t xml:space="preserve">. </w:t>
      </w:r>
      <w:proofErr w:type="spellStart"/>
      <w:r w:rsidRPr="00CD1CDB">
        <w:rPr>
          <w:rFonts w:ascii="Arial" w:hAnsi="Arial" w:cs="Arial"/>
          <w:sz w:val="24"/>
          <w:szCs w:val="24"/>
        </w:rPr>
        <w:t>XGBoost</w:t>
      </w:r>
      <w:proofErr w:type="spellEnd"/>
      <w:r w:rsidRPr="00CD1CDB">
        <w:rPr>
          <w:rFonts w:ascii="Arial" w:hAnsi="Arial" w:cs="Arial"/>
          <w:sz w:val="24"/>
          <w:szCs w:val="24"/>
        </w:rPr>
        <w:t>, as a member of the boosting algorithm family, is highly scalable, especially for</w:t>
      </w:r>
      <w:r w:rsidRPr="003E3986">
        <w:rPr>
          <w:rFonts w:ascii="Arial" w:hAnsi="Arial" w:cs="Arial"/>
          <w:sz w:val="24"/>
          <w:szCs w:val="24"/>
        </w:rPr>
        <w:t xml:space="preserve"> handling a large number of features and samples. This method uses a gradient boosting framework to build an ensemble of weak decision trees with the goal of minimizing the loss function by adjusting the weights of the samples and features</w:t>
      </w:r>
      <w:r w:rsidR="00CD1CDB">
        <w:rPr>
          <w:rFonts w:ascii="Arial" w:hAnsi="Arial" w:cs="Arial"/>
          <w:sz w:val="24"/>
          <w:szCs w:val="24"/>
        </w:rPr>
        <w:fldChar w:fldCharType="begin"/>
      </w:r>
      <w:r w:rsidR="00BD5994">
        <w:rPr>
          <w:rFonts w:ascii="Arial" w:hAnsi="Arial" w:cs="Arial"/>
          <w:sz w:val="24"/>
          <w:szCs w:val="24"/>
        </w:rPr>
        <w:instrText xml:space="preserve"> ADDIN NE.Ref.{70CA7DEF-84CD-434D-BFD8-10AB5BF9C551}</w:instrText>
      </w:r>
      <w:r w:rsidR="00CD1CDB">
        <w:rPr>
          <w:rFonts w:ascii="Arial" w:hAnsi="Arial" w:cs="Arial"/>
          <w:sz w:val="24"/>
          <w:szCs w:val="24"/>
        </w:rPr>
        <w:fldChar w:fldCharType="separate"/>
      </w:r>
      <w:r w:rsidR="00BD5994">
        <w:rPr>
          <w:rFonts w:ascii="Arial" w:hAnsi="Arial" w:cs="Arial"/>
          <w:color w:val="000000"/>
          <w:kern w:val="0"/>
          <w:sz w:val="24"/>
          <w:szCs w:val="24"/>
        </w:rPr>
        <w:t>[21]</w:t>
      </w:r>
      <w:r w:rsidR="00CD1CDB">
        <w:rPr>
          <w:rFonts w:ascii="Arial" w:hAnsi="Arial" w:cs="Arial"/>
          <w:sz w:val="24"/>
          <w:szCs w:val="24"/>
        </w:rPr>
        <w:fldChar w:fldCharType="end"/>
      </w:r>
      <w:r w:rsidRPr="003E3986">
        <w:rPr>
          <w:rFonts w:ascii="Arial" w:hAnsi="Arial" w:cs="Arial"/>
          <w:sz w:val="24"/>
          <w:szCs w:val="24"/>
        </w:rPr>
        <w:t>.</w:t>
      </w:r>
      <w:bookmarkStart w:id="11" w:name="OLE_LINK9"/>
    </w:p>
    <w:p w14:paraId="7E49B986" w14:textId="1E95B3E8" w:rsidR="007D5908" w:rsidRPr="007D5908" w:rsidRDefault="007D5908" w:rsidP="007D5908">
      <w:pPr>
        <w:spacing w:line="360" w:lineRule="auto"/>
        <w:ind w:firstLineChars="200" w:firstLine="480"/>
        <w:rPr>
          <w:rFonts w:ascii="Arial" w:hAnsi="Arial" w:cs="Arial"/>
          <w:sz w:val="24"/>
          <w:szCs w:val="24"/>
          <w:highlight w:val="cyan"/>
        </w:rPr>
      </w:pPr>
      <w:r w:rsidRPr="001B399F">
        <w:rPr>
          <w:rFonts w:ascii="Arial" w:hAnsi="Arial" w:cs="Arial"/>
          <w:color w:val="000000"/>
          <w:kern w:val="0"/>
          <w:sz w:val="24"/>
          <w:szCs w:val="24"/>
          <w:highlight w:val="cyan"/>
        </w:rPr>
        <w:t xml:space="preserve">According to the </w:t>
      </w:r>
      <w:r w:rsidRPr="001B399F">
        <w:rPr>
          <w:rFonts w:ascii="Arial" w:hAnsi="Arial" w:cs="Arial" w:hint="eastAsia"/>
          <w:color w:val="000000"/>
          <w:kern w:val="0"/>
          <w:sz w:val="24"/>
          <w:szCs w:val="24"/>
          <w:highlight w:val="cyan"/>
        </w:rPr>
        <w:t>feature</w:t>
      </w:r>
      <w:r w:rsidRPr="001B399F">
        <w:rPr>
          <w:rFonts w:ascii="Arial" w:hAnsi="Arial" w:cs="Arial"/>
          <w:color w:val="000000"/>
          <w:kern w:val="0"/>
          <w:sz w:val="24"/>
          <w:szCs w:val="24"/>
          <w:highlight w:val="cyan"/>
        </w:rPr>
        <w:t xml:space="preserve"> importance of each miRNA</w:t>
      </w:r>
      <w:r>
        <w:rPr>
          <w:rFonts w:ascii="Arial" w:hAnsi="Arial" w:cs="Arial"/>
          <w:color w:val="000000"/>
          <w:kern w:val="0"/>
          <w:sz w:val="24"/>
          <w:szCs w:val="24"/>
          <w:highlight w:val="cyan"/>
        </w:rPr>
        <w:t xml:space="preserve"> in different </w:t>
      </w:r>
      <w:r w:rsidRPr="00F11636">
        <w:rPr>
          <w:rFonts w:ascii="Arial" w:hAnsi="Arial" w:cs="Arial"/>
          <w:color w:val="000000"/>
          <w:kern w:val="0"/>
          <w:sz w:val="24"/>
          <w:szCs w:val="24"/>
          <w:highlight w:val="cyan"/>
        </w:rPr>
        <w:t>algorithm</w:t>
      </w:r>
      <w:r w:rsidR="00FF4AC6">
        <w:rPr>
          <w:rFonts w:ascii="Arial" w:hAnsi="Arial" w:cs="Arial"/>
          <w:color w:val="000000"/>
          <w:kern w:val="0"/>
          <w:sz w:val="24"/>
          <w:szCs w:val="24"/>
          <w:highlight w:val="cyan"/>
        </w:rPr>
        <w:t>s</w:t>
      </w:r>
      <w:r>
        <w:rPr>
          <w:rFonts w:ascii="Arial" w:hAnsi="Arial" w:cs="Arial"/>
          <w:color w:val="000000"/>
          <w:kern w:val="0"/>
          <w:sz w:val="24"/>
          <w:szCs w:val="24"/>
          <w:highlight w:val="cyan"/>
        </w:rPr>
        <w:t xml:space="preserve">, </w:t>
      </w:r>
      <w:r>
        <w:rPr>
          <w:rFonts w:ascii="Arial" w:hAnsi="Arial" w:cs="Arial"/>
          <w:sz w:val="24"/>
          <w:szCs w:val="24"/>
          <w:highlight w:val="cyan"/>
        </w:rPr>
        <w:t xml:space="preserve">39 selected miRNAs were </w:t>
      </w:r>
      <w:r>
        <w:rPr>
          <w:rFonts w:ascii="Arial" w:hAnsi="Arial" w:cs="Arial"/>
          <w:color w:val="000000"/>
          <w:kern w:val="0"/>
          <w:sz w:val="24"/>
          <w:szCs w:val="24"/>
          <w:highlight w:val="cyan"/>
        </w:rPr>
        <w:t xml:space="preserve">orderly </w:t>
      </w:r>
      <w:r>
        <w:rPr>
          <w:rFonts w:ascii="Arial" w:hAnsi="Arial" w:cs="Arial"/>
          <w:sz w:val="24"/>
          <w:szCs w:val="24"/>
          <w:highlight w:val="cyan"/>
        </w:rPr>
        <w:t>enrolled for model construction in the training set</w:t>
      </w:r>
      <w:r w:rsidRPr="007D5908">
        <w:rPr>
          <w:rFonts w:ascii="Arial" w:hAnsi="Arial" w:cs="Arial"/>
          <w:sz w:val="24"/>
          <w:szCs w:val="24"/>
          <w:highlight w:val="cyan"/>
        </w:rPr>
        <w:t>. For each algorithm, we selected its optimal feature number by comparing the Youden index of models composed of 1-39 candidates</w:t>
      </w:r>
      <w:r w:rsidR="00FF4AC6">
        <w:rPr>
          <w:rFonts w:ascii="Arial" w:hAnsi="Arial" w:cs="Arial"/>
          <w:sz w:val="24"/>
          <w:szCs w:val="24"/>
          <w:highlight w:val="cyan"/>
        </w:rPr>
        <w:t xml:space="preserve"> in the validation set</w:t>
      </w:r>
      <w:r w:rsidRPr="007D5908">
        <w:rPr>
          <w:rFonts w:ascii="Arial" w:hAnsi="Arial" w:cs="Arial"/>
          <w:sz w:val="24"/>
          <w:szCs w:val="24"/>
          <w:highlight w:val="cyan"/>
        </w:rPr>
        <w:t>.</w:t>
      </w:r>
      <w:r>
        <w:rPr>
          <w:rFonts w:ascii="Arial" w:hAnsi="Arial" w:cs="Arial"/>
          <w:sz w:val="24"/>
          <w:szCs w:val="24"/>
          <w:highlight w:val="cyan"/>
        </w:rPr>
        <w:t xml:space="preserve"> T</w:t>
      </w:r>
      <w:r w:rsidRPr="007D5908">
        <w:rPr>
          <w:rFonts w:ascii="Arial" w:hAnsi="Arial" w:cs="Arial"/>
          <w:sz w:val="24"/>
          <w:szCs w:val="24"/>
          <w:highlight w:val="cyan"/>
        </w:rPr>
        <w:t>he diagnostic performance of each algorithm’s best model was horizontally compared</w:t>
      </w:r>
      <w:r>
        <w:rPr>
          <w:rFonts w:ascii="Arial" w:hAnsi="Arial" w:cs="Arial"/>
          <w:sz w:val="24"/>
          <w:szCs w:val="24"/>
          <w:highlight w:val="cyan"/>
        </w:rPr>
        <w:t xml:space="preserve"> t</w:t>
      </w:r>
      <w:r w:rsidRPr="007D5908">
        <w:rPr>
          <w:rFonts w:ascii="Arial" w:hAnsi="Arial" w:cs="Arial"/>
          <w:sz w:val="24"/>
          <w:szCs w:val="24"/>
          <w:highlight w:val="cyan"/>
        </w:rPr>
        <w:t xml:space="preserve">hrough the index of area under </w:t>
      </w:r>
      <w:r w:rsidR="00FF4AC6">
        <w:rPr>
          <w:rFonts w:ascii="Arial" w:hAnsi="Arial" w:cs="Arial"/>
          <w:sz w:val="24"/>
          <w:szCs w:val="24"/>
          <w:highlight w:val="cyan"/>
        </w:rPr>
        <w:t xml:space="preserve">the </w:t>
      </w:r>
      <w:r w:rsidRPr="007D5908">
        <w:rPr>
          <w:rFonts w:ascii="Arial" w:hAnsi="Arial" w:cs="Arial"/>
          <w:sz w:val="24"/>
          <w:szCs w:val="24"/>
          <w:highlight w:val="cyan"/>
        </w:rPr>
        <w:t>receiver operating characteristic (ROC) curve (AUC).</w:t>
      </w:r>
    </w:p>
    <w:p w14:paraId="16926773" w14:textId="59277017" w:rsidR="002B0B63" w:rsidRPr="00206D4D" w:rsidRDefault="007D5908" w:rsidP="007D5908">
      <w:pPr>
        <w:spacing w:line="360" w:lineRule="auto"/>
        <w:rPr>
          <w:rFonts w:ascii="Arial" w:hAnsi="Arial" w:cs="Arial"/>
          <w:b/>
          <w:bCs/>
          <w:sz w:val="24"/>
          <w:szCs w:val="24"/>
          <w:highlight w:val="cyan"/>
        </w:rPr>
      </w:pPr>
      <w:r w:rsidRPr="00206D4D">
        <w:rPr>
          <w:rFonts w:ascii="Arial" w:hAnsi="Arial" w:cs="Arial"/>
          <w:b/>
          <w:bCs/>
          <w:sz w:val="24"/>
          <w:szCs w:val="24"/>
          <w:highlight w:val="cyan"/>
        </w:rPr>
        <w:t>Hyperparameter tuning and optimization</w:t>
      </w:r>
    </w:p>
    <w:p w14:paraId="018FA3F0" w14:textId="59147245" w:rsidR="00547C22" w:rsidRPr="000546D5" w:rsidRDefault="00E070D5" w:rsidP="00E070D5">
      <w:pPr>
        <w:spacing w:line="360" w:lineRule="auto"/>
        <w:ind w:firstLineChars="200" w:firstLine="480"/>
        <w:rPr>
          <w:rFonts w:ascii="Arial" w:hAnsi="Arial" w:cs="Arial"/>
          <w:sz w:val="24"/>
          <w:szCs w:val="24"/>
          <w:highlight w:val="cyan"/>
        </w:rPr>
      </w:pPr>
      <w:r w:rsidRPr="000546D5">
        <w:rPr>
          <w:rFonts w:ascii="Arial" w:hAnsi="Arial" w:cs="Arial"/>
          <w:sz w:val="24"/>
          <w:szCs w:val="24"/>
          <w:highlight w:val="cyan"/>
        </w:rPr>
        <w:t xml:space="preserve">To overcome overfitting, we employed five-fold cross-validation to optimize the hyperparameters of </w:t>
      </w:r>
      <w:r w:rsidR="002A35BD" w:rsidRPr="000546D5">
        <w:rPr>
          <w:rFonts w:ascii="Arial" w:hAnsi="Arial" w:cs="Arial"/>
          <w:sz w:val="24"/>
          <w:szCs w:val="24"/>
          <w:highlight w:val="cyan"/>
        </w:rPr>
        <w:t xml:space="preserve">the </w:t>
      </w:r>
      <w:r w:rsidRPr="000546D5">
        <w:rPr>
          <w:rFonts w:ascii="Arial" w:hAnsi="Arial" w:cs="Arial"/>
          <w:sz w:val="24"/>
          <w:szCs w:val="24"/>
          <w:highlight w:val="cyan"/>
        </w:rPr>
        <w:t xml:space="preserve">classifier in the training and validation sets. The </w:t>
      </w:r>
      <w:r w:rsidRPr="000546D5">
        <w:rPr>
          <w:rFonts w:ascii="Arial" w:hAnsi="Arial" w:cs="Arial"/>
          <w:sz w:val="24"/>
          <w:szCs w:val="24"/>
          <w:highlight w:val="cyan"/>
        </w:rPr>
        <w:lastRenderedPageBreak/>
        <w:t xml:space="preserve">samples were divided into five folds using random shuffling of the entire input dataset. In each iteration (looping from 1 to 5), the </w:t>
      </w:r>
      <w:proofErr w:type="spellStart"/>
      <w:r w:rsidRPr="000546D5">
        <w:rPr>
          <w:rFonts w:ascii="Arial" w:hAnsi="Arial" w:cs="Arial"/>
          <w:sz w:val="24"/>
          <w:szCs w:val="24"/>
          <w:highlight w:val="cyan"/>
        </w:rPr>
        <w:t>i</w:t>
      </w:r>
      <w:r w:rsidRPr="000546D5">
        <w:rPr>
          <w:rFonts w:ascii="Arial" w:hAnsi="Arial" w:cs="Arial"/>
          <w:sz w:val="24"/>
          <w:szCs w:val="24"/>
          <w:highlight w:val="cyan"/>
          <w:vertAlign w:val="superscript"/>
        </w:rPr>
        <w:t>th</w:t>
      </w:r>
      <w:proofErr w:type="spellEnd"/>
      <w:r w:rsidRPr="000546D5">
        <w:rPr>
          <w:rFonts w:ascii="Arial" w:hAnsi="Arial" w:cs="Arial"/>
          <w:sz w:val="24"/>
          <w:szCs w:val="24"/>
          <w:highlight w:val="cyan"/>
        </w:rPr>
        <w:t xml:space="preserve"> fold was set as the validation set, and the remaining folds were used as the training set. The optimal hyperparameters of the classifiers were estimated by averaging the validation performance. </w:t>
      </w:r>
      <w:r w:rsidR="00547C22" w:rsidRPr="000546D5">
        <w:rPr>
          <w:rFonts w:ascii="Arial" w:hAnsi="Arial" w:cs="Arial"/>
          <w:sz w:val="24"/>
          <w:szCs w:val="24"/>
          <w:highlight w:val="cyan"/>
        </w:rPr>
        <w:t>T</w:t>
      </w:r>
      <w:r w:rsidR="00547C22" w:rsidRPr="000546D5">
        <w:rPr>
          <w:rFonts w:ascii="Arial" w:hAnsi="Arial" w:cs="Arial" w:hint="eastAsia"/>
          <w:sz w:val="24"/>
          <w:szCs w:val="24"/>
          <w:highlight w:val="cyan"/>
        </w:rPr>
        <w:t>he</w:t>
      </w:r>
      <w:r w:rsidR="00547C22" w:rsidRPr="000546D5">
        <w:rPr>
          <w:rFonts w:ascii="Arial" w:hAnsi="Arial" w:cs="Arial"/>
          <w:sz w:val="24"/>
          <w:szCs w:val="24"/>
          <w:highlight w:val="cyan"/>
        </w:rPr>
        <w:t xml:space="preserve"> parameters </w:t>
      </w:r>
      <w:proofErr w:type="gramStart"/>
      <w:r w:rsidR="00547C22" w:rsidRPr="000546D5">
        <w:rPr>
          <w:rFonts w:ascii="Arial" w:hAnsi="Arial" w:cs="Arial"/>
          <w:sz w:val="24"/>
          <w:szCs w:val="24"/>
          <w:highlight w:val="cyan"/>
        </w:rPr>
        <w:t>is</w:t>
      </w:r>
      <w:proofErr w:type="gramEnd"/>
      <w:r w:rsidR="00547C22" w:rsidRPr="000546D5">
        <w:rPr>
          <w:rFonts w:ascii="Arial" w:hAnsi="Arial" w:cs="Arial"/>
          <w:sz w:val="24"/>
          <w:szCs w:val="24"/>
          <w:highlight w:val="cyan"/>
        </w:rPr>
        <w:t xml:space="preserve"> {'</w:t>
      </w:r>
      <w:proofErr w:type="spellStart"/>
      <w:r w:rsidR="00547C22" w:rsidRPr="000546D5">
        <w:rPr>
          <w:rFonts w:ascii="Arial" w:hAnsi="Arial" w:cs="Arial"/>
          <w:sz w:val="24"/>
          <w:szCs w:val="24"/>
          <w:highlight w:val="cyan"/>
        </w:rPr>
        <w:t>n_estimators</w:t>
      </w:r>
      <w:proofErr w:type="spellEnd"/>
      <w:r w:rsidR="00547C22" w:rsidRPr="000546D5">
        <w:rPr>
          <w:rFonts w:ascii="Arial" w:hAnsi="Arial" w:cs="Arial"/>
          <w:sz w:val="24"/>
          <w:szCs w:val="24"/>
          <w:highlight w:val="cyan"/>
        </w:rPr>
        <w:t>': 70, '</w:t>
      </w:r>
      <w:proofErr w:type="spellStart"/>
      <w:r w:rsidR="00547C22" w:rsidRPr="000546D5">
        <w:rPr>
          <w:rFonts w:ascii="Arial" w:hAnsi="Arial" w:cs="Arial"/>
          <w:sz w:val="24"/>
          <w:szCs w:val="24"/>
          <w:highlight w:val="cyan"/>
        </w:rPr>
        <w:t>max_depth</w:t>
      </w:r>
      <w:proofErr w:type="spellEnd"/>
      <w:r w:rsidR="00547C22" w:rsidRPr="000546D5">
        <w:rPr>
          <w:rFonts w:ascii="Arial" w:hAnsi="Arial" w:cs="Arial"/>
          <w:sz w:val="24"/>
          <w:szCs w:val="24"/>
          <w:highlight w:val="cyan"/>
        </w:rPr>
        <w:t>': 6, '</w:t>
      </w:r>
      <w:proofErr w:type="spellStart"/>
      <w:r w:rsidR="00547C22" w:rsidRPr="000546D5">
        <w:rPr>
          <w:rFonts w:ascii="Arial" w:hAnsi="Arial" w:cs="Arial"/>
          <w:sz w:val="24"/>
          <w:szCs w:val="24"/>
          <w:highlight w:val="cyan"/>
        </w:rPr>
        <w:t>min_child_weight</w:t>
      </w:r>
      <w:proofErr w:type="spellEnd"/>
      <w:r w:rsidR="00547C22" w:rsidRPr="000546D5">
        <w:rPr>
          <w:rFonts w:ascii="Arial" w:hAnsi="Arial" w:cs="Arial"/>
          <w:sz w:val="24"/>
          <w:szCs w:val="24"/>
          <w:highlight w:val="cyan"/>
        </w:rPr>
        <w:t>': 1, 'gamma': 0.05, '</w:t>
      </w:r>
      <w:proofErr w:type="spellStart"/>
      <w:r w:rsidR="00547C22" w:rsidRPr="000546D5">
        <w:rPr>
          <w:rFonts w:ascii="Arial" w:hAnsi="Arial" w:cs="Arial"/>
          <w:sz w:val="24"/>
          <w:szCs w:val="24"/>
          <w:highlight w:val="cyan"/>
        </w:rPr>
        <w:t>colsample_bytree</w:t>
      </w:r>
      <w:proofErr w:type="spellEnd"/>
      <w:r w:rsidR="00547C22" w:rsidRPr="000546D5">
        <w:rPr>
          <w:rFonts w:ascii="Arial" w:hAnsi="Arial" w:cs="Arial"/>
          <w:sz w:val="24"/>
          <w:szCs w:val="24"/>
          <w:highlight w:val="cyan"/>
        </w:rPr>
        <w:t>': 1, 'subsample': 1, '</w:t>
      </w:r>
      <w:proofErr w:type="spellStart"/>
      <w:r w:rsidR="00547C22" w:rsidRPr="000546D5">
        <w:rPr>
          <w:rFonts w:ascii="Arial" w:hAnsi="Arial" w:cs="Arial"/>
          <w:sz w:val="24"/>
          <w:szCs w:val="24"/>
          <w:highlight w:val="cyan"/>
        </w:rPr>
        <w:t>reg_alpha</w:t>
      </w:r>
      <w:proofErr w:type="spellEnd"/>
      <w:r w:rsidR="00547C22" w:rsidRPr="000546D5">
        <w:rPr>
          <w:rFonts w:ascii="Arial" w:hAnsi="Arial" w:cs="Arial"/>
          <w:sz w:val="24"/>
          <w:szCs w:val="24"/>
          <w:highlight w:val="cyan"/>
        </w:rPr>
        <w:t>': 0, '</w:t>
      </w:r>
      <w:proofErr w:type="spellStart"/>
      <w:r w:rsidR="00547C22" w:rsidRPr="000546D5">
        <w:rPr>
          <w:rFonts w:ascii="Arial" w:hAnsi="Arial" w:cs="Arial"/>
          <w:sz w:val="24"/>
          <w:szCs w:val="24"/>
          <w:highlight w:val="cyan"/>
        </w:rPr>
        <w:t>reg_lambda</w:t>
      </w:r>
      <w:proofErr w:type="spellEnd"/>
      <w:r w:rsidR="00547C22" w:rsidRPr="000546D5">
        <w:rPr>
          <w:rFonts w:ascii="Arial" w:hAnsi="Arial" w:cs="Arial"/>
          <w:sz w:val="24"/>
          <w:szCs w:val="24"/>
          <w:highlight w:val="cyan"/>
        </w:rPr>
        <w:t>': 1, '</w:t>
      </w:r>
      <w:proofErr w:type="spellStart"/>
      <w:r w:rsidR="00547C22" w:rsidRPr="000546D5">
        <w:rPr>
          <w:rFonts w:ascii="Arial" w:hAnsi="Arial" w:cs="Arial"/>
          <w:sz w:val="24"/>
          <w:szCs w:val="24"/>
          <w:highlight w:val="cyan"/>
        </w:rPr>
        <w:t>learning_rate</w:t>
      </w:r>
      <w:proofErr w:type="spellEnd"/>
      <w:r w:rsidR="00547C22" w:rsidRPr="000546D5">
        <w:rPr>
          <w:rFonts w:ascii="Arial" w:hAnsi="Arial" w:cs="Arial"/>
          <w:sz w:val="24"/>
          <w:szCs w:val="24"/>
          <w:highlight w:val="cyan"/>
        </w:rPr>
        <w:t>': 0.3}</w:t>
      </w:r>
      <w:r w:rsidR="000546D5">
        <w:rPr>
          <w:rFonts w:ascii="Arial" w:hAnsi="Arial" w:cs="Arial"/>
          <w:sz w:val="24"/>
          <w:szCs w:val="24"/>
          <w:highlight w:val="cyan"/>
        </w:rPr>
        <w:t>.</w:t>
      </w:r>
    </w:p>
    <w:p w14:paraId="7259C8BF" w14:textId="7F97947D" w:rsidR="007D5908" w:rsidRDefault="007D5908" w:rsidP="007D5908">
      <w:pPr>
        <w:spacing w:line="360" w:lineRule="auto"/>
        <w:rPr>
          <w:rFonts w:ascii="Arial" w:hAnsi="Arial" w:cs="Arial"/>
          <w:b/>
          <w:bCs/>
          <w:sz w:val="24"/>
          <w:szCs w:val="24"/>
        </w:rPr>
      </w:pPr>
      <w:r w:rsidRPr="00206D4D">
        <w:rPr>
          <w:rFonts w:ascii="Arial" w:hAnsi="Arial" w:cs="Arial"/>
          <w:b/>
          <w:bCs/>
          <w:sz w:val="24"/>
          <w:szCs w:val="24"/>
          <w:highlight w:val="cyan"/>
        </w:rPr>
        <w:t xml:space="preserve">Validation and evaluation </w:t>
      </w:r>
      <w:r w:rsidR="00F07556" w:rsidRPr="00206D4D">
        <w:rPr>
          <w:rFonts w:ascii="Arial" w:hAnsi="Arial" w:cs="Arial"/>
          <w:b/>
          <w:bCs/>
          <w:sz w:val="24"/>
          <w:szCs w:val="24"/>
          <w:highlight w:val="cyan"/>
        </w:rPr>
        <w:t xml:space="preserve">of </w:t>
      </w:r>
      <w:r w:rsidRPr="00206D4D">
        <w:rPr>
          <w:rFonts w:ascii="Arial" w:hAnsi="Arial" w:cs="Arial"/>
          <w:b/>
          <w:bCs/>
          <w:sz w:val="24"/>
          <w:szCs w:val="24"/>
          <w:highlight w:val="cyan"/>
        </w:rPr>
        <w:t>the diagnostic performance of the classifier</w:t>
      </w:r>
      <w:r w:rsidRPr="007D5908">
        <w:rPr>
          <w:rFonts w:ascii="Arial" w:hAnsi="Arial" w:cs="Arial"/>
          <w:b/>
          <w:bCs/>
          <w:sz w:val="24"/>
          <w:szCs w:val="24"/>
        </w:rPr>
        <w:t xml:space="preserve"> </w:t>
      </w:r>
    </w:p>
    <w:p w14:paraId="57551856" w14:textId="4BD46DC1" w:rsidR="00D95E91" w:rsidRPr="007C4707" w:rsidRDefault="00D95E91" w:rsidP="007D5908">
      <w:pPr>
        <w:spacing w:line="360" w:lineRule="auto"/>
        <w:rPr>
          <w:rFonts w:ascii="Arial" w:hAnsi="Arial" w:cs="Arial"/>
          <w:sz w:val="24"/>
          <w:szCs w:val="24"/>
          <w:highlight w:val="cyan"/>
        </w:rPr>
      </w:pPr>
      <w:r w:rsidRPr="00D95E91">
        <w:rPr>
          <w:rFonts w:ascii="Arial" w:hAnsi="Arial" w:cs="Arial" w:hint="eastAsia"/>
          <w:sz w:val="24"/>
          <w:szCs w:val="24"/>
          <w:highlight w:val="cyan"/>
        </w:rPr>
        <w:t>T</w:t>
      </w:r>
      <w:r w:rsidRPr="00D95E91">
        <w:rPr>
          <w:rFonts w:ascii="Arial" w:hAnsi="Arial" w:cs="Arial"/>
          <w:sz w:val="24"/>
          <w:szCs w:val="24"/>
          <w:highlight w:val="cyan"/>
        </w:rPr>
        <w:t xml:space="preserve">hen we applied the </w:t>
      </w:r>
      <w:proofErr w:type="spellStart"/>
      <w:r w:rsidR="00F07556" w:rsidRPr="00F07556">
        <w:rPr>
          <w:rFonts w:ascii="Arial" w:hAnsi="Arial" w:cs="Arial"/>
          <w:sz w:val="24"/>
          <w:szCs w:val="24"/>
          <w:highlight w:val="cyan"/>
        </w:rPr>
        <w:t>cf-IRmiRNAs</w:t>
      </w:r>
      <w:proofErr w:type="spellEnd"/>
      <w:r w:rsidR="00F07556" w:rsidRPr="00F07556">
        <w:rPr>
          <w:rFonts w:ascii="Arial" w:hAnsi="Arial" w:cs="Arial"/>
          <w:sz w:val="24"/>
          <w:szCs w:val="24"/>
          <w:highlight w:val="cyan"/>
        </w:rPr>
        <w:t xml:space="preserve"> signature</w:t>
      </w:r>
      <w:r w:rsidRPr="00D95E91">
        <w:rPr>
          <w:rFonts w:ascii="Arial" w:hAnsi="Arial" w:cs="Arial"/>
          <w:sz w:val="24"/>
          <w:szCs w:val="24"/>
          <w:highlight w:val="cyan"/>
        </w:rPr>
        <w:t xml:space="preserve"> in the </w:t>
      </w:r>
      <w:r w:rsidR="00F07556">
        <w:rPr>
          <w:rFonts w:ascii="Arial" w:hAnsi="Arial" w:cs="Arial"/>
          <w:sz w:val="24"/>
          <w:szCs w:val="24"/>
          <w:highlight w:val="cyan"/>
        </w:rPr>
        <w:t>test</w:t>
      </w:r>
      <w:r w:rsidRPr="00D95E91">
        <w:rPr>
          <w:rFonts w:ascii="Arial" w:hAnsi="Arial" w:cs="Arial"/>
          <w:sz w:val="24"/>
          <w:szCs w:val="24"/>
          <w:highlight w:val="cyan"/>
        </w:rPr>
        <w:t xml:space="preserve"> and external cohort to ensure its generalization ability. </w:t>
      </w:r>
      <w:bookmarkStart w:id="12" w:name="_Hlk149251888"/>
      <w:r w:rsidRPr="00D95E91">
        <w:rPr>
          <w:rFonts w:ascii="Arial" w:hAnsi="Arial" w:cs="Arial"/>
          <w:kern w:val="0"/>
          <w:sz w:val="24"/>
          <w:szCs w:val="24"/>
          <w:highlight w:val="cyan"/>
        </w:rPr>
        <w:t xml:space="preserve">The ability of the </w:t>
      </w:r>
      <w:r w:rsidR="00F07556">
        <w:rPr>
          <w:rFonts w:ascii="Arial" w:hAnsi="Arial" w:cs="Arial"/>
          <w:kern w:val="0"/>
          <w:sz w:val="24"/>
          <w:szCs w:val="24"/>
          <w:highlight w:val="cyan"/>
        </w:rPr>
        <w:t>classifier</w:t>
      </w:r>
      <w:r w:rsidRPr="00D95E91">
        <w:rPr>
          <w:rFonts w:ascii="Arial" w:hAnsi="Arial" w:cs="Arial"/>
          <w:kern w:val="0"/>
          <w:sz w:val="24"/>
          <w:szCs w:val="24"/>
          <w:highlight w:val="cyan"/>
        </w:rPr>
        <w:t xml:space="preserve"> to distinguish between cancer with different types and non-cancer was also investigated by combining each cancer type individually with non-malignant samples</w:t>
      </w:r>
      <w:bookmarkEnd w:id="12"/>
      <w:r w:rsidRPr="00D95E91">
        <w:rPr>
          <w:rFonts w:ascii="Arial" w:hAnsi="Arial" w:cs="Arial"/>
          <w:kern w:val="0"/>
          <w:sz w:val="24"/>
          <w:szCs w:val="24"/>
          <w:highlight w:val="cyan"/>
        </w:rPr>
        <w:t>. Considering the gender-specific incidence of certain cancer types, we only included female non-malignant controls when analyzing BRCA and OV and male non-malignant controls when analyzing PRAD</w:t>
      </w:r>
      <w:r w:rsidRPr="00F07556">
        <w:rPr>
          <w:rFonts w:ascii="Arial" w:hAnsi="Arial" w:cs="Arial"/>
          <w:kern w:val="0"/>
          <w:sz w:val="24"/>
          <w:szCs w:val="24"/>
          <w:highlight w:val="cyan"/>
        </w:rPr>
        <w:t xml:space="preserve">. We also evaluated the diagnostic performance in early-stage cancers, including </w:t>
      </w:r>
      <w:r w:rsidR="00F07556" w:rsidRPr="00F07556">
        <w:rPr>
          <w:rFonts w:ascii="Arial" w:hAnsi="Arial" w:cs="Arial"/>
          <w:kern w:val="0"/>
          <w:sz w:val="24"/>
          <w:szCs w:val="24"/>
          <w:highlight w:val="cyan"/>
        </w:rPr>
        <w:t>BLCA, COADREAD, ESCA, LIHC, LUNG, OV, PRAD, and SARC</w:t>
      </w:r>
      <w:r w:rsidRPr="00F07556">
        <w:rPr>
          <w:rFonts w:ascii="Arial" w:hAnsi="Arial" w:cs="Arial"/>
          <w:kern w:val="0"/>
          <w:sz w:val="24"/>
          <w:szCs w:val="24"/>
          <w:highlight w:val="cyan"/>
        </w:rPr>
        <w:t>.</w:t>
      </w:r>
      <w:r w:rsidR="00F07556">
        <w:rPr>
          <w:rFonts w:ascii="Arial" w:hAnsi="Arial" w:cs="Arial"/>
          <w:sz w:val="24"/>
          <w:szCs w:val="24"/>
        </w:rPr>
        <w:t xml:space="preserve"> </w:t>
      </w:r>
      <w:r w:rsidRPr="007C4707">
        <w:rPr>
          <w:rFonts w:ascii="Arial" w:hAnsi="Arial" w:cs="Arial"/>
          <w:kern w:val="0"/>
          <w:sz w:val="24"/>
          <w:szCs w:val="24"/>
          <w:highlight w:val="cyan"/>
        </w:rPr>
        <w:t>To explore the potential application of</w:t>
      </w:r>
      <w:r w:rsidR="00F07556" w:rsidRPr="007C4707">
        <w:rPr>
          <w:rFonts w:ascii="Arial" w:hAnsi="Arial" w:cs="Arial"/>
          <w:kern w:val="0"/>
          <w:sz w:val="24"/>
          <w:szCs w:val="24"/>
          <w:highlight w:val="cyan"/>
        </w:rPr>
        <w:t xml:space="preserve"> the identified signature</w:t>
      </w:r>
      <w:r w:rsidR="00F07556" w:rsidRPr="007C4707">
        <w:rPr>
          <w:rFonts w:ascii="Arial" w:hAnsi="Arial" w:cs="Arial"/>
          <w:sz w:val="24"/>
          <w:szCs w:val="24"/>
          <w:highlight w:val="cyan"/>
        </w:rPr>
        <w:t xml:space="preserve"> </w:t>
      </w:r>
      <w:r w:rsidRPr="007C4707">
        <w:rPr>
          <w:rFonts w:ascii="Arial" w:hAnsi="Arial" w:cs="Arial"/>
          <w:kern w:val="0"/>
          <w:sz w:val="24"/>
          <w:szCs w:val="24"/>
          <w:highlight w:val="cyan"/>
        </w:rPr>
        <w:t xml:space="preserve">in differential diagnosis, we evaluated the performance of the </w:t>
      </w:r>
      <w:r w:rsidR="00F07556" w:rsidRPr="007C4707">
        <w:rPr>
          <w:rFonts w:ascii="Arial" w:hAnsi="Arial" w:cs="Arial"/>
          <w:kern w:val="0"/>
          <w:sz w:val="24"/>
          <w:szCs w:val="24"/>
          <w:highlight w:val="cyan"/>
        </w:rPr>
        <w:t xml:space="preserve">model </w:t>
      </w:r>
      <w:r w:rsidRPr="007C4707">
        <w:rPr>
          <w:rFonts w:ascii="Arial" w:hAnsi="Arial" w:cs="Arial"/>
          <w:kern w:val="0"/>
          <w:sz w:val="24"/>
          <w:szCs w:val="24"/>
          <w:highlight w:val="cyan"/>
        </w:rPr>
        <w:t xml:space="preserve">in distinguishing cancer from benign lesions of different organs or tissues, including soft tissues, breast, liver, ovary, and prostate. </w:t>
      </w:r>
    </w:p>
    <w:bookmarkEnd w:id="7"/>
    <w:bookmarkEnd w:id="10"/>
    <w:bookmarkEnd w:id="11"/>
    <w:p w14:paraId="3F5B02F5" w14:textId="2636F8C7" w:rsidR="00564D61" w:rsidRPr="003E3986" w:rsidRDefault="0044779F" w:rsidP="008667B2">
      <w:pPr>
        <w:spacing w:line="360" w:lineRule="auto"/>
        <w:rPr>
          <w:rFonts w:ascii="Arial" w:hAnsi="Arial" w:cs="Arial"/>
          <w:b/>
          <w:bCs/>
          <w:sz w:val="24"/>
          <w:szCs w:val="24"/>
        </w:rPr>
      </w:pPr>
      <w:r w:rsidRPr="003E3986">
        <w:rPr>
          <w:rFonts w:ascii="Arial" w:hAnsi="Arial" w:cs="Arial" w:hint="eastAsia"/>
          <w:b/>
          <w:bCs/>
          <w:sz w:val="24"/>
          <w:szCs w:val="24"/>
        </w:rPr>
        <w:t>S</w:t>
      </w:r>
      <w:r w:rsidRPr="003E3986">
        <w:rPr>
          <w:rFonts w:ascii="Arial" w:hAnsi="Arial" w:cs="Arial"/>
          <w:b/>
          <w:bCs/>
          <w:sz w:val="24"/>
          <w:szCs w:val="24"/>
        </w:rPr>
        <w:t>tatistical analysis</w:t>
      </w:r>
    </w:p>
    <w:p w14:paraId="7EE4FDAE" w14:textId="77777777" w:rsidR="00206D4D" w:rsidRDefault="00F4337E" w:rsidP="0017100D">
      <w:pPr>
        <w:spacing w:line="360" w:lineRule="auto"/>
        <w:ind w:firstLineChars="200" w:firstLine="480"/>
        <w:rPr>
          <w:rFonts w:ascii="Arial" w:hAnsi="Arial" w:cs="Arial"/>
          <w:sz w:val="24"/>
          <w:szCs w:val="24"/>
        </w:rPr>
      </w:pPr>
      <w:r w:rsidRPr="003E3986">
        <w:rPr>
          <w:rFonts w:ascii="Arial" w:hAnsi="Arial" w:cs="Arial"/>
          <w:sz w:val="24"/>
          <w:szCs w:val="24"/>
        </w:rPr>
        <w:t>B</w:t>
      </w:r>
      <w:r w:rsidR="001939A0" w:rsidRPr="003E3986">
        <w:rPr>
          <w:rFonts w:ascii="Arial" w:hAnsi="Arial" w:cs="Arial"/>
          <w:sz w:val="24"/>
          <w:szCs w:val="24"/>
        </w:rPr>
        <w:t xml:space="preserve">asic information </w:t>
      </w:r>
      <w:r w:rsidR="00936831" w:rsidRPr="003E3986">
        <w:rPr>
          <w:rFonts w:ascii="Arial" w:hAnsi="Arial" w:cs="Arial"/>
          <w:sz w:val="24"/>
          <w:szCs w:val="24"/>
        </w:rPr>
        <w:t xml:space="preserve">about </w:t>
      </w:r>
      <w:r w:rsidR="001939A0" w:rsidRPr="003E3986">
        <w:rPr>
          <w:rFonts w:ascii="Arial" w:hAnsi="Arial" w:cs="Arial"/>
          <w:sz w:val="24"/>
          <w:szCs w:val="24"/>
        </w:rPr>
        <w:t xml:space="preserve">the clinical cohort and the general situation of the patients were </w:t>
      </w:r>
      <w:r w:rsidR="00095084" w:rsidRPr="003E3986">
        <w:rPr>
          <w:rFonts w:ascii="Arial" w:hAnsi="Arial" w:cs="Arial"/>
          <w:sz w:val="24"/>
          <w:szCs w:val="24"/>
        </w:rPr>
        <w:t>presented</w:t>
      </w:r>
      <w:r w:rsidR="0015127D" w:rsidRPr="003E3986">
        <w:rPr>
          <w:rFonts w:ascii="Arial" w:hAnsi="Arial" w:cs="Arial"/>
          <w:sz w:val="24"/>
          <w:szCs w:val="24"/>
        </w:rPr>
        <w:t xml:space="preserve"> </w:t>
      </w:r>
      <w:r w:rsidR="0015127D" w:rsidRPr="003E3986">
        <w:rPr>
          <w:rFonts w:ascii="Arial" w:hAnsi="Arial" w:cs="Arial" w:hint="eastAsia"/>
          <w:sz w:val="24"/>
          <w:szCs w:val="24"/>
        </w:rPr>
        <w:t>by</w:t>
      </w:r>
      <w:r w:rsidR="0015127D" w:rsidRPr="003E3986">
        <w:rPr>
          <w:rFonts w:ascii="Arial" w:hAnsi="Arial" w:cs="Arial"/>
          <w:sz w:val="24"/>
          <w:szCs w:val="24"/>
        </w:rPr>
        <w:t xml:space="preserve"> </w:t>
      </w:r>
      <w:r w:rsidR="00095084" w:rsidRPr="003E3986">
        <w:rPr>
          <w:rFonts w:ascii="Arial" w:hAnsi="Arial" w:cs="Arial"/>
          <w:sz w:val="24"/>
          <w:szCs w:val="24"/>
        </w:rPr>
        <w:t xml:space="preserve">frequency (proportion) </w:t>
      </w:r>
      <w:r w:rsidR="0015127D" w:rsidRPr="003E3986">
        <w:rPr>
          <w:rFonts w:ascii="Arial" w:hAnsi="Arial" w:cs="Arial"/>
          <w:sz w:val="24"/>
          <w:szCs w:val="24"/>
        </w:rPr>
        <w:t>for</w:t>
      </w:r>
      <w:r w:rsidR="001939A0" w:rsidRPr="003E3986">
        <w:rPr>
          <w:rFonts w:ascii="Arial" w:hAnsi="Arial" w:cs="Arial"/>
          <w:sz w:val="24"/>
          <w:szCs w:val="24"/>
        </w:rPr>
        <w:t xml:space="preserve"> categorical data</w:t>
      </w:r>
      <w:r w:rsidR="00095084" w:rsidRPr="003E3986">
        <w:rPr>
          <w:rFonts w:ascii="Arial" w:hAnsi="Arial" w:cs="Arial"/>
          <w:sz w:val="24"/>
          <w:szCs w:val="24"/>
        </w:rPr>
        <w:t xml:space="preserve"> and mean (standard deviation, SD) or median (interquartile range, IQR) </w:t>
      </w:r>
      <w:r w:rsidR="001939A0" w:rsidRPr="003E3986">
        <w:rPr>
          <w:rFonts w:ascii="Arial" w:hAnsi="Arial" w:cs="Arial"/>
          <w:sz w:val="24"/>
          <w:szCs w:val="24"/>
        </w:rPr>
        <w:t xml:space="preserve">for </w:t>
      </w:r>
      <w:r w:rsidR="0015127D" w:rsidRPr="003E3986">
        <w:rPr>
          <w:rFonts w:ascii="Arial" w:hAnsi="Arial" w:cs="Arial"/>
          <w:sz w:val="24"/>
          <w:szCs w:val="24"/>
        </w:rPr>
        <w:t xml:space="preserve">quantitative data. </w:t>
      </w:r>
      <w:bookmarkStart w:id="13" w:name="OLE_LINK11"/>
      <w:r w:rsidR="00691B3C" w:rsidRPr="003E3986">
        <w:rPr>
          <w:rFonts w:ascii="Arial" w:hAnsi="Arial" w:cs="Arial"/>
          <w:sz w:val="24"/>
          <w:szCs w:val="24"/>
        </w:rPr>
        <w:t xml:space="preserve">The individuals were randomly divided into training, validation, and test sets, and the training and validation </w:t>
      </w:r>
      <w:r w:rsidR="00821FBB" w:rsidRPr="003E3986">
        <w:rPr>
          <w:rFonts w:ascii="Arial" w:hAnsi="Arial" w:cs="Arial"/>
          <w:sz w:val="24"/>
          <w:szCs w:val="24"/>
        </w:rPr>
        <w:t xml:space="preserve">sets </w:t>
      </w:r>
      <w:r w:rsidR="00691B3C" w:rsidRPr="003E3986">
        <w:rPr>
          <w:rFonts w:ascii="Arial" w:hAnsi="Arial" w:cs="Arial"/>
          <w:sz w:val="24"/>
          <w:szCs w:val="24"/>
        </w:rPr>
        <w:t>were used for classifier construction and fitting.</w:t>
      </w:r>
      <w:bookmarkEnd w:id="13"/>
      <w:r w:rsidR="00691B3C" w:rsidRPr="003E3986">
        <w:rPr>
          <w:rFonts w:ascii="Arial" w:hAnsi="Arial" w:cs="Arial"/>
          <w:sz w:val="24"/>
          <w:szCs w:val="24"/>
        </w:rPr>
        <w:t xml:space="preserve"> Final</w:t>
      </w:r>
      <w:r w:rsidR="0081652A" w:rsidRPr="003E3986">
        <w:rPr>
          <w:rFonts w:ascii="Arial" w:hAnsi="Arial" w:cs="Arial"/>
          <w:sz w:val="24"/>
          <w:szCs w:val="24"/>
        </w:rPr>
        <w:t xml:space="preserve"> trained models were finalized with fixed weights</w:t>
      </w:r>
      <w:r w:rsidR="00821FBB" w:rsidRPr="003E3986">
        <w:rPr>
          <w:rFonts w:ascii="Arial" w:hAnsi="Arial" w:cs="Arial"/>
          <w:sz w:val="24"/>
          <w:szCs w:val="24"/>
        </w:rPr>
        <w:t xml:space="preserve"> on test and external test sets.</w:t>
      </w:r>
      <w:r w:rsidR="0081652A" w:rsidRPr="003E3986">
        <w:rPr>
          <w:rFonts w:ascii="Arial" w:hAnsi="Arial" w:cs="Arial"/>
          <w:sz w:val="24"/>
          <w:szCs w:val="24"/>
        </w:rPr>
        <w:t xml:space="preserve"> </w:t>
      </w:r>
      <w:r w:rsidR="00821FBB" w:rsidRPr="003E3986">
        <w:rPr>
          <w:rFonts w:ascii="Arial" w:hAnsi="Arial" w:cs="Arial"/>
          <w:sz w:val="24"/>
          <w:szCs w:val="24"/>
        </w:rPr>
        <w:t>T</w:t>
      </w:r>
      <w:r w:rsidR="0081652A" w:rsidRPr="003E3986">
        <w:rPr>
          <w:rFonts w:ascii="Arial" w:hAnsi="Arial" w:cs="Arial"/>
          <w:sz w:val="24"/>
          <w:szCs w:val="24"/>
        </w:rPr>
        <w:t>he predictive performance and generalization ability</w:t>
      </w:r>
      <w:r w:rsidR="00821FBB" w:rsidRPr="003E3986">
        <w:rPr>
          <w:rFonts w:ascii="Arial" w:hAnsi="Arial" w:cs="Arial"/>
          <w:sz w:val="24"/>
          <w:szCs w:val="24"/>
        </w:rPr>
        <w:t xml:space="preserve"> of</w:t>
      </w:r>
      <w:r w:rsidR="0081652A" w:rsidRPr="003E3986">
        <w:rPr>
          <w:rFonts w:ascii="Arial" w:hAnsi="Arial" w:cs="Arial"/>
          <w:sz w:val="24"/>
          <w:szCs w:val="24"/>
        </w:rPr>
        <w:t xml:space="preserve"> </w:t>
      </w:r>
      <w:r w:rsidR="00821FBB" w:rsidRPr="003E3986">
        <w:rPr>
          <w:rFonts w:ascii="Arial" w:hAnsi="Arial" w:cs="Arial"/>
          <w:sz w:val="24"/>
          <w:szCs w:val="24"/>
        </w:rPr>
        <w:t>cancer detection were evaluated</w:t>
      </w:r>
      <w:r w:rsidR="0081652A" w:rsidRPr="003E3986">
        <w:rPr>
          <w:rFonts w:ascii="Arial" w:hAnsi="Arial" w:cs="Arial"/>
          <w:sz w:val="24"/>
          <w:szCs w:val="24"/>
        </w:rPr>
        <w:t xml:space="preserve"> on test and external test set</w:t>
      </w:r>
      <w:r w:rsidR="0050048D" w:rsidRPr="003E3986">
        <w:rPr>
          <w:rFonts w:ascii="Arial" w:hAnsi="Arial" w:cs="Arial"/>
          <w:sz w:val="24"/>
          <w:szCs w:val="24"/>
        </w:rPr>
        <w:t>s</w:t>
      </w:r>
      <w:r w:rsidR="00691B3C" w:rsidRPr="003E3986">
        <w:rPr>
          <w:rFonts w:ascii="Arial" w:hAnsi="Arial" w:cs="Arial"/>
          <w:sz w:val="24"/>
          <w:szCs w:val="24"/>
        </w:rPr>
        <w:t xml:space="preserve">. </w:t>
      </w:r>
      <w:r w:rsidR="00691B3C" w:rsidRPr="003E3986">
        <w:rPr>
          <w:rFonts w:ascii="Arial" w:hAnsi="Arial" w:cs="Arial"/>
          <w:sz w:val="24"/>
          <w:szCs w:val="24"/>
        </w:rPr>
        <w:lastRenderedPageBreak/>
        <w:t xml:space="preserve">Evaluation </w:t>
      </w:r>
      <w:r w:rsidR="008C4B96" w:rsidRPr="003E3986">
        <w:rPr>
          <w:rFonts w:ascii="Arial" w:hAnsi="Arial" w:cs="Arial"/>
          <w:sz w:val="24"/>
          <w:szCs w:val="24"/>
        </w:rPr>
        <w:t xml:space="preserve">indicators </w:t>
      </w:r>
      <w:r w:rsidR="00691B3C" w:rsidRPr="003E3986">
        <w:rPr>
          <w:rFonts w:ascii="Arial" w:hAnsi="Arial" w:cs="Arial"/>
          <w:sz w:val="24"/>
          <w:szCs w:val="24"/>
        </w:rPr>
        <w:t>include</w:t>
      </w:r>
      <w:r w:rsidR="008C4B96" w:rsidRPr="003E3986">
        <w:rPr>
          <w:rFonts w:ascii="Arial" w:hAnsi="Arial" w:cs="Arial"/>
          <w:sz w:val="24"/>
          <w:szCs w:val="24"/>
        </w:rPr>
        <w:t xml:space="preserve"> sensitivity, specificity,</w:t>
      </w:r>
      <w:r w:rsidR="00F25F92" w:rsidRPr="003E3986">
        <w:rPr>
          <w:rFonts w:ascii="Arial" w:hAnsi="Arial" w:cs="Arial"/>
          <w:sz w:val="24"/>
          <w:szCs w:val="24"/>
        </w:rPr>
        <w:t xml:space="preserve"> positive predictive value (PPV), negative predictive value (NPV),</w:t>
      </w:r>
      <w:r w:rsidR="008C4B96" w:rsidRPr="003E3986">
        <w:rPr>
          <w:rFonts w:ascii="Arial" w:hAnsi="Arial" w:cs="Arial"/>
          <w:sz w:val="24"/>
          <w:szCs w:val="24"/>
        </w:rPr>
        <w:t xml:space="preserve"> accuracy, the </w:t>
      </w:r>
      <w:r w:rsidR="007D5908">
        <w:rPr>
          <w:rFonts w:ascii="Arial" w:hAnsi="Arial" w:cs="Arial"/>
          <w:sz w:val="24"/>
          <w:szCs w:val="24"/>
        </w:rPr>
        <w:t xml:space="preserve">AUC </w:t>
      </w:r>
      <w:r w:rsidR="008C4B96" w:rsidRPr="003E3986">
        <w:rPr>
          <w:rFonts w:ascii="Arial" w:hAnsi="Arial" w:cs="Arial"/>
          <w:sz w:val="24"/>
          <w:szCs w:val="24"/>
        </w:rPr>
        <w:t xml:space="preserve">and </w:t>
      </w:r>
      <w:r w:rsidR="00821FBB" w:rsidRPr="003E3986">
        <w:rPr>
          <w:rFonts w:ascii="Arial" w:hAnsi="Arial" w:cs="Arial"/>
          <w:sz w:val="24"/>
          <w:szCs w:val="24"/>
        </w:rPr>
        <w:t>Precision-Recall (</w:t>
      </w:r>
      <w:r w:rsidR="00821FBB" w:rsidRPr="003E3986">
        <w:rPr>
          <w:rFonts w:ascii="Arial" w:hAnsi="Arial" w:cs="Arial" w:hint="eastAsia"/>
          <w:sz w:val="24"/>
          <w:szCs w:val="24"/>
        </w:rPr>
        <w:t>P</w:t>
      </w:r>
      <w:r w:rsidR="00821FBB" w:rsidRPr="003E3986">
        <w:rPr>
          <w:rFonts w:ascii="Arial" w:hAnsi="Arial" w:cs="Arial"/>
          <w:sz w:val="24"/>
          <w:szCs w:val="24"/>
        </w:rPr>
        <w:t>-R)</w:t>
      </w:r>
      <w:r w:rsidR="008C4B96" w:rsidRPr="003E3986">
        <w:rPr>
          <w:rFonts w:ascii="Arial" w:hAnsi="Arial" w:cs="Arial"/>
          <w:sz w:val="24"/>
          <w:szCs w:val="24"/>
        </w:rPr>
        <w:t xml:space="preserve"> Curve. The confounding matrix was used to </w:t>
      </w:r>
      <w:r w:rsidR="0052755A" w:rsidRPr="003E3986">
        <w:rPr>
          <w:rFonts w:ascii="Arial" w:hAnsi="Arial" w:cs="Arial"/>
          <w:sz w:val="24"/>
          <w:szCs w:val="24"/>
        </w:rPr>
        <w:t>summarize</w:t>
      </w:r>
      <w:r w:rsidR="008C4B96" w:rsidRPr="003E3986">
        <w:rPr>
          <w:rFonts w:ascii="Arial" w:hAnsi="Arial" w:cs="Arial"/>
          <w:sz w:val="24"/>
          <w:szCs w:val="24"/>
        </w:rPr>
        <w:t xml:space="preserve"> the prediction results of </w:t>
      </w:r>
      <w:r w:rsidR="0052755A" w:rsidRPr="003E3986">
        <w:rPr>
          <w:rFonts w:ascii="Arial" w:hAnsi="Arial" w:cs="Arial"/>
          <w:sz w:val="24"/>
          <w:szCs w:val="24"/>
        </w:rPr>
        <w:t xml:space="preserve">the </w:t>
      </w:r>
      <w:r w:rsidR="008C4B96" w:rsidRPr="003E3986">
        <w:rPr>
          <w:rFonts w:ascii="Arial" w:hAnsi="Arial" w:cs="Arial"/>
          <w:sz w:val="24"/>
          <w:szCs w:val="24"/>
        </w:rPr>
        <w:t>classifier and recorded according to the standards of “real category” and “predicted category”. TP, FP, FN, and TN represent true positive, false positive,</w:t>
      </w:r>
      <w:r w:rsidR="008C4B96" w:rsidRPr="003E3986">
        <w:t xml:space="preserve"> </w:t>
      </w:r>
      <w:r w:rsidR="008C4B96" w:rsidRPr="003E3986">
        <w:rPr>
          <w:rFonts w:ascii="Arial" w:hAnsi="Arial" w:cs="Arial"/>
          <w:sz w:val="24"/>
          <w:szCs w:val="24"/>
        </w:rPr>
        <w:t xml:space="preserve">false negative, and true negative, respectively. </w:t>
      </w:r>
      <w:r w:rsidR="0052755A" w:rsidRPr="003E3986">
        <w:rPr>
          <w:rFonts w:ascii="Arial" w:hAnsi="Arial" w:cs="Arial"/>
          <w:sz w:val="24"/>
          <w:szCs w:val="24"/>
        </w:rPr>
        <w:t>ROC analysis was</w:t>
      </w:r>
      <w:r w:rsidR="008C4B96" w:rsidRPr="003E3986">
        <w:rPr>
          <w:rFonts w:ascii="Arial" w:hAnsi="Arial" w:cs="Arial"/>
          <w:sz w:val="24"/>
          <w:szCs w:val="24"/>
        </w:rPr>
        <w:t xml:space="preserve"> mainly used </w:t>
      </w:r>
      <w:r w:rsidR="0050048D" w:rsidRPr="003E3986">
        <w:rPr>
          <w:rFonts w:ascii="Arial" w:hAnsi="Arial" w:cs="Arial"/>
          <w:sz w:val="24"/>
          <w:szCs w:val="24"/>
        </w:rPr>
        <w:t>to estimate</w:t>
      </w:r>
      <w:r w:rsidR="008C4B96" w:rsidRPr="003E3986">
        <w:rPr>
          <w:rFonts w:ascii="Arial" w:hAnsi="Arial" w:cs="Arial"/>
          <w:sz w:val="24"/>
          <w:szCs w:val="24"/>
        </w:rPr>
        <w:t xml:space="preserve"> </w:t>
      </w:r>
      <w:r w:rsidR="0052755A" w:rsidRPr="003E3986">
        <w:rPr>
          <w:rFonts w:ascii="Arial" w:hAnsi="Arial" w:cs="Arial"/>
          <w:sz w:val="24"/>
          <w:szCs w:val="24"/>
        </w:rPr>
        <w:t xml:space="preserve">the </w:t>
      </w:r>
      <w:r w:rsidR="008C4B96" w:rsidRPr="003E3986">
        <w:rPr>
          <w:rFonts w:ascii="Arial" w:hAnsi="Arial" w:cs="Arial"/>
          <w:sz w:val="24"/>
          <w:szCs w:val="24"/>
        </w:rPr>
        <w:t xml:space="preserve">diagnostic performance of the identified signature. It was constructed with (1-specificity) as abscissa and sensitivity as ordinate. The value of AUC is between 0.5-1, and </w:t>
      </w:r>
      <w:r w:rsidR="00936831" w:rsidRPr="003E3986">
        <w:rPr>
          <w:rFonts w:ascii="Arial" w:hAnsi="Arial" w:cs="Arial"/>
          <w:sz w:val="24"/>
          <w:szCs w:val="24"/>
        </w:rPr>
        <w:t xml:space="preserve">a </w:t>
      </w:r>
      <w:r w:rsidR="008C4B96" w:rsidRPr="003E3986">
        <w:rPr>
          <w:rFonts w:ascii="Arial" w:hAnsi="Arial" w:cs="Arial"/>
          <w:sz w:val="24"/>
          <w:szCs w:val="24"/>
        </w:rPr>
        <w:t xml:space="preserve">larger </w:t>
      </w:r>
      <w:r w:rsidR="004D5B54" w:rsidRPr="003E3986">
        <w:rPr>
          <w:rFonts w:ascii="Arial" w:hAnsi="Arial" w:cs="Arial"/>
          <w:sz w:val="24"/>
          <w:szCs w:val="24"/>
        </w:rPr>
        <w:t xml:space="preserve">value </w:t>
      </w:r>
      <w:r w:rsidR="008C4B96" w:rsidRPr="003E3986">
        <w:rPr>
          <w:rFonts w:ascii="Arial" w:hAnsi="Arial" w:cs="Arial"/>
          <w:sz w:val="24"/>
          <w:szCs w:val="24"/>
        </w:rPr>
        <w:t>indicat</w:t>
      </w:r>
      <w:r w:rsidR="004D5B54" w:rsidRPr="003E3986">
        <w:rPr>
          <w:rFonts w:ascii="Arial" w:hAnsi="Arial" w:cs="Arial"/>
          <w:sz w:val="24"/>
          <w:szCs w:val="24"/>
        </w:rPr>
        <w:t>e</w:t>
      </w:r>
      <w:r w:rsidR="0050048D" w:rsidRPr="003E3986">
        <w:rPr>
          <w:rFonts w:ascii="Arial" w:hAnsi="Arial" w:cs="Arial"/>
          <w:sz w:val="24"/>
          <w:szCs w:val="24"/>
        </w:rPr>
        <w:t>s</w:t>
      </w:r>
      <w:r w:rsidR="008C4B96" w:rsidRPr="003E3986">
        <w:rPr>
          <w:rFonts w:ascii="Arial" w:hAnsi="Arial" w:cs="Arial"/>
          <w:sz w:val="24"/>
          <w:szCs w:val="24"/>
        </w:rPr>
        <w:t xml:space="preserve"> better performance. </w:t>
      </w:r>
      <w:r w:rsidR="00821FBB" w:rsidRPr="003E3986">
        <w:rPr>
          <w:rFonts w:ascii="Arial" w:hAnsi="Arial" w:cs="Arial" w:hint="eastAsia"/>
          <w:sz w:val="24"/>
          <w:szCs w:val="24"/>
        </w:rPr>
        <w:t>P</w:t>
      </w:r>
      <w:r w:rsidR="00821FBB" w:rsidRPr="003E3986">
        <w:rPr>
          <w:rFonts w:ascii="Arial" w:hAnsi="Arial" w:cs="Arial"/>
          <w:sz w:val="24"/>
          <w:szCs w:val="24"/>
        </w:rPr>
        <w:t>-R</w:t>
      </w:r>
      <w:r w:rsidR="00821FBB" w:rsidRPr="003E3986" w:rsidDel="00821FBB">
        <w:rPr>
          <w:rFonts w:ascii="Arial" w:hAnsi="Arial" w:cs="Arial"/>
          <w:sz w:val="24"/>
          <w:szCs w:val="24"/>
        </w:rPr>
        <w:t xml:space="preserve"> </w:t>
      </w:r>
      <w:r w:rsidR="008C4B96" w:rsidRPr="003E3986">
        <w:rPr>
          <w:rFonts w:ascii="Arial" w:hAnsi="Arial" w:cs="Arial"/>
          <w:sz w:val="24"/>
          <w:szCs w:val="24"/>
        </w:rPr>
        <w:t xml:space="preserve">curve is a graph with precision on the y-axis and </w:t>
      </w:r>
      <w:r w:rsidR="0052755A" w:rsidRPr="003E3986">
        <w:rPr>
          <w:rFonts w:ascii="Arial" w:hAnsi="Arial" w:cs="Arial"/>
          <w:sz w:val="24"/>
          <w:szCs w:val="24"/>
        </w:rPr>
        <w:t>recall</w:t>
      </w:r>
      <w:r w:rsidR="0050048D" w:rsidRPr="003E3986">
        <w:rPr>
          <w:rFonts w:ascii="Arial" w:hAnsi="Arial" w:cs="Arial"/>
          <w:sz w:val="24"/>
          <w:szCs w:val="24"/>
        </w:rPr>
        <w:t>s</w:t>
      </w:r>
      <w:r w:rsidR="008C4B96" w:rsidRPr="003E3986">
        <w:rPr>
          <w:rFonts w:ascii="Arial" w:hAnsi="Arial" w:cs="Arial"/>
          <w:sz w:val="24"/>
          <w:szCs w:val="24"/>
        </w:rPr>
        <w:t xml:space="preserve"> on the x-axis</w:t>
      </w:r>
      <w:r w:rsidR="008C4B96" w:rsidRPr="003E3986">
        <w:t xml:space="preserve"> </w:t>
      </w:r>
      <w:r w:rsidR="008C4B96" w:rsidRPr="003E3986">
        <w:rPr>
          <w:rFonts w:ascii="Arial" w:hAnsi="Arial" w:cs="Arial"/>
          <w:sz w:val="24"/>
          <w:szCs w:val="24"/>
        </w:rPr>
        <w:t xml:space="preserve">for different probability thresholds. </w:t>
      </w:r>
    </w:p>
    <w:p w14:paraId="0EAA6D77" w14:textId="69D72CF7" w:rsidR="002A23EF" w:rsidRPr="003E3986" w:rsidRDefault="00775827" w:rsidP="0017100D">
      <w:pPr>
        <w:spacing w:line="360" w:lineRule="auto"/>
        <w:ind w:firstLineChars="200" w:firstLine="480"/>
        <w:rPr>
          <w:rFonts w:ascii="Arial" w:hAnsi="Arial" w:cs="Arial"/>
          <w:sz w:val="24"/>
          <w:szCs w:val="24"/>
        </w:rPr>
      </w:pPr>
      <w:r w:rsidRPr="00775827">
        <w:rPr>
          <w:rFonts w:ascii="Arial" w:hAnsi="Arial" w:cs="Arial"/>
          <w:sz w:val="24"/>
          <w:szCs w:val="24"/>
          <w:highlight w:val="cyan"/>
        </w:rPr>
        <w:t>We mainly used packages of “</w:t>
      </w:r>
      <w:proofErr w:type="spellStart"/>
      <w:r w:rsidRPr="00775827">
        <w:rPr>
          <w:rFonts w:ascii="Arial" w:hAnsi="Arial" w:cs="Arial"/>
          <w:sz w:val="24"/>
          <w:szCs w:val="24"/>
          <w:highlight w:val="cyan"/>
        </w:rPr>
        <w:t>numpy</w:t>
      </w:r>
      <w:proofErr w:type="spellEnd"/>
      <w:r w:rsidRPr="00775827">
        <w:rPr>
          <w:rFonts w:ascii="Arial" w:hAnsi="Arial" w:cs="Arial"/>
          <w:sz w:val="24"/>
          <w:szCs w:val="24"/>
          <w:highlight w:val="cyan"/>
        </w:rPr>
        <w:t>”, “pandas”, “</w:t>
      </w:r>
      <w:proofErr w:type="spellStart"/>
      <w:r w:rsidRPr="00775827">
        <w:rPr>
          <w:rFonts w:ascii="Arial" w:hAnsi="Arial" w:cs="Arial"/>
          <w:sz w:val="24"/>
          <w:szCs w:val="24"/>
          <w:highlight w:val="cyan"/>
        </w:rPr>
        <w:t>xgboost</w:t>
      </w:r>
      <w:proofErr w:type="spellEnd"/>
      <w:r w:rsidRPr="00775827">
        <w:rPr>
          <w:rFonts w:ascii="Arial" w:hAnsi="Arial" w:cs="Arial"/>
          <w:sz w:val="24"/>
          <w:szCs w:val="24"/>
          <w:highlight w:val="cyan"/>
        </w:rPr>
        <w:t>”, “</w:t>
      </w:r>
      <w:proofErr w:type="spellStart"/>
      <w:proofErr w:type="gramStart"/>
      <w:r w:rsidRPr="00775827">
        <w:rPr>
          <w:rFonts w:ascii="Arial" w:hAnsi="Arial" w:cs="Arial"/>
          <w:sz w:val="24"/>
          <w:szCs w:val="24"/>
          <w:highlight w:val="cyan"/>
        </w:rPr>
        <w:t>sklearn.linear</w:t>
      </w:r>
      <w:proofErr w:type="gramEnd"/>
      <w:r w:rsidRPr="00775827">
        <w:rPr>
          <w:rFonts w:ascii="Arial" w:hAnsi="Arial" w:cs="Arial"/>
          <w:sz w:val="24"/>
          <w:szCs w:val="24"/>
          <w:highlight w:val="cyan"/>
        </w:rPr>
        <w:t>_model.LassoCV</w:t>
      </w:r>
      <w:proofErr w:type="spellEnd"/>
      <w:r w:rsidRPr="00775827">
        <w:rPr>
          <w:rFonts w:ascii="Arial" w:hAnsi="Arial" w:cs="Arial"/>
          <w:sz w:val="24"/>
          <w:szCs w:val="24"/>
          <w:highlight w:val="cyan"/>
        </w:rPr>
        <w:t>”, “</w:t>
      </w:r>
      <w:proofErr w:type="spellStart"/>
      <w:r w:rsidRPr="00775827">
        <w:rPr>
          <w:rFonts w:ascii="Arial" w:hAnsi="Arial" w:cs="Arial"/>
          <w:sz w:val="24"/>
          <w:szCs w:val="24"/>
          <w:highlight w:val="cyan"/>
        </w:rPr>
        <w:t>sklearn.linear_model</w:t>
      </w:r>
      <w:proofErr w:type="spellEnd"/>
      <w:r w:rsidRPr="00775827">
        <w:rPr>
          <w:rFonts w:ascii="Arial" w:hAnsi="Arial" w:cs="Arial"/>
          <w:sz w:val="24"/>
          <w:szCs w:val="24"/>
          <w:highlight w:val="cyan"/>
        </w:rPr>
        <w:t xml:space="preserve">. </w:t>
      </w:r>
      <w:proofErr w:type="spellStart"/>
      <w:r w:rsidRPr="00775827">
        <w:rPr>
          <w:rFonts w:ascii="Arial" w:hAnsi="Arial" w:cs="Arial"/>
          <w:sz w:val="24"/>
          <w:szCs w:val="24"/>
          <w:highlight w:val="cyan"/>
        </w:rPr>
        <w:t>LogisticRegression</w:t>
      </w:r>
      <w:proofErr w:type="spellEnd"/>
      <w:r w:rsidRPr="00775827">
        <w:rPr>
          <w:rFonts w:ascii="Arial" w:hAnsi="Arial" w:cs="Arial"/>
          <w:sz w:val="24"/>
          <w:szCs w:val="24"/>
          <w:highlight w:val="cyan"/>
        </w:rPr>
        <w:t>”, “</w:t>
      </w:r>
      <w:proofErr w:type="spellStart"/>
      <w:proofErr w:type="gramStart"/>
      <w:r w:rsidRPr="00775827">
        <w:rPr>
          <w:rFonts w:ascii="Arial" w:hAnsi="Arial" w:cs="Arial"/>
          <w:sz w:val="24"/>
          <w:szCs w:val="24"/>
          <w:highlight w:val="cyan"/>
        </w:rPr>
        <w:t>sklearn.ensemble</w:t>
      </w:r>
      <w:proofErr w:type="gramEnd"/>
      <w:r w:rsidRPr="00775827">
        <w:rPr>
          <w:rFonts w:ascii="Arial" w:hAnsi="Arial" w:cs="Arial"/>
          <w:sz w:val="24"/>
          <w:szCs w:val="24"/>
          <w:highlight w:val="cyan"/>
        </w:rPr>
        <w:t>.RandomForestClassifier</w:t>
      </w:r>
      <w:proofErr w:type="spellEnd"/>
      <w:r w:rsidRPr="00775827">
        <w:rPr>
          <w:rFonts w:ascii="Arial" w:hAnsi="Arial" w:cs="Arial"/>
          <w:sz w:val="24"/>
          <w:szCs w:val="24"/>
          <w:highlight w:val="cyan"/>
        </w:rPr>
        <w:t xml:space="preserve">”, and </w:t>
      </w:r>
      <w:bookmarkStart w:id="14" w:name="_Hlk125895628"/>
      <w:r w:rsidRPr="00775827">
        <w:rPr>
          <w:rFonts w:ascii="Arial" w:hAnsi="Arial" w:cs="Arial"/>
          <w:sz w:val="24"/>
          <w:szCs w:val="24"/>
          <w:highlight w:val="cyan"/>
        </w:rPr>
        <w:t>“</w:t>
      </w:r>
      <w:proofErr w:type="spellStart"/>
      <w:r w:rsidRPr="00775827">
        <w:rPr>
          <w:rFonts w:ascii="Arial" w:hAnsi="Arial" w:cs="Arial"/>
          <w:sz w:val="24"/>
          <w:szCs w:val="24"/>
          <w:highlight w:val="cyan"/>
        </w:rPr>
        <w:t>sklearn.svm</w:t>
      </w:r>
      <w:proofErr w:type="spellEnd"/>
      <w:r w:rsidRPr="00775827">
        <w:rPr>
          <w:rFonts w:ascii="Arial" w:hAnsi="Arial" w:cs="Arial"/>
          <w:sz w:val="24"/>
          <w:szCs w:val="24"/>
          <w:highlight w:val="cyan"/>
        </w:rPr>
        <w:t>”</w:t>
      </w:r>
      <w:bookmarkEnd w:id="14"/>
      <w:r w:rsidRPr="00775827">
        <w:rPr>
          <w:rFonts w:ascii="Arial" w:hAnsi="Arial" w:cs="Arial"/>
          <w:sz w:val="24"/>
          <w:szCs w:val="24"/>
          <w:highlight w:val="cyan"/>
        </w:rPr>
        <w:t xml:space="preserve"> in Python to construct the diagnostic classifiers.</w:t>
      </w:r>
      <w:r w:rsidRPr="003E3986">
        <w:rPr>
          <w:rFonts w:ascii="Arial" w:hAnsi="Arial" w:cs="Arial"/>
          <w:sz w:val="24"/>
          <w:szCs w:val="24"/>
        </w:rPr>
        <w:t xml:space="preserve"> </w:t>
      </w:r>
      <w:r w:rsidR="0052755A" w:rsidRPr="003E3986">
        <w:rPr>
          <w:rFonts w:ascii="Arial" w:hAnsi="Arial" w:cs="Arial"/>
          <w:sz w:val="24"/>
          <w:szCs w:val="24"/>
        </w:rPr>
        <w:t xml:space="preserve">All data processing, statistical analysis, and plotting were conducted using R 3.4.3 (R Development Core Team;  </w:t>
      </w:r>
      <w:hyperlink r:id="rId9" w:history="1">
        <w:r w:rsidR="0052755A" w:rsidRPr="003E3986">
          <w:rPr>
            <w:rStyle w:val="a7"/>
            <w:rFonts w:ascii="Arial" w:hAnsi="Arial" w:cs="Arial"/>
            <w:sz w:val="24"/>
            <w:szCs w:val="24"/>
          </w:rPr>
          <w:t>http://www.r-project.org</w:t>
        </w:r>
      </w:hyperlink>
      <w:r w:rsidR="0052755A" w:rsidRPr="003E3986">
        <w:rPr>
          <w:rFonts w:ascii="Arial" w:hAnsi="Arial" w:cs="Arial"/>
          <w:sz w:val="24"/>
          <w:szCs w:val="24"/>
        </w:rPr>
        <w:t xml:space="preserve">) and Python 3.10; Python Software Foundation, </w:t>
      </w:r>
      <w:hyperlink r:id="rId10" w:history="1">
        <w:r w:rsidR="0052755A" w:rsidRPr="003E3986">
          <w:rPr>
            <w:rStyle w:val="a7"/>
            <w:rFonts w:ascii="Arial" w:hAnsi="Arial" w:cs="Arial"/>
            <w:sz w:val="24"/>
            <w:szCs w:val="24"/>
          </w:rPr>
          <w:t>https://www.python.org/downloads/release/</w:t>
        </w:r>
      </w:hyperlink>
      <w:r w:rsidR="0052755A" w:rsidRPr="003E3986">
        <w:rPr>
          <w:rFonts w:ascii="Arial" w:hAnsi="Arial" w:cs="Arial"/>
          <w:sz w:val="24"/>
          <w:szCs w:val="24"/>
        </w:rPr>
        <w:t xml:space="preserve"> python-3100/). The significance level (α) was set at 0.05, and all tests were two-sided.</w:t>
      </w:r>
    </w:p>
    <w:p w14:paraId="51263683" w14:textId="54A535F1" w:rsidR="00E90365" w:rsidRPr="0020481F" w:rsidRDefault="000A146A">
      <w:pPr>
        <w:widowControl/>
        <w:jc w:val="left"/>
        <w:rPr>
          <w:rFonts w:ascii="Arial" w:hAnsi="Arial" w:cs="Arial"/>
          <w:b/>
          <w:bCs/>
          <w:sz w:val="24"/>
          <w:szCs w:val="24"/>
        </w:rPr>
      </w:pPr>
      <w:r>
        <w:rPr>
          <w:rFonts w:ascii="Arial" w:hAnsi="Arial" w:cs="Arial"/>
          <w:b/>
          <w:bCs/>
          <w:sz w:val="24"/>
          <w:szCs w:val="24"/>
        </w:rPr>
        <w:br w:type="page"/>
      </w:r>
    </w:p>
    <w:p w14:paraId="7874D747" w14:textId="77777777" w:rsidR="00C80E0B" w:rsidRDefault="00C80E0B" w:rsidP="00E845A9">
      <w:pPr>
        <w:spacing w:line="360" w:lineRule="auto"/>
        <w:jc w:val="center"/>
        <w:rPr>
          <w:rFonts w:ascii="Arial" w:hAnsi="Arial" w:cs="Arial"/>
          <w:b/>
          <w:bCs/>
          <w:sz w:val="24"/>
          <w:szCs w:val="24"/>
          <w:highlight w:val="yellow"/>
        </w:rPr>
      </w:pPr>
      <w:r>
        <w:rPr>
          <w:noProof/>
        </w:rPr>
        <w:lastRenderedPageBreak/>
        <w:drawing>
          <wp:inline distT="0" distB="0" distL="0" distR="0" wp14:anchorId="7F2608BA" wp14:editId="1124096D">
            <wp:extent cx="4479501" cy="2449002"/>
            <wp:effectExtent l="0" t="0" r="0" b="8890"/>
            <wp:docPr id="6973189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14189" cy="2467966"/>
                    </a:xfrm>
                    <a:prstGeom prst="rect">
                      <a:avLst/>
                    </a:prstGeom>
                    <a:noFill/>
                    <a:ln>
                      <a:noFill/>
                    </a:ln>
                  </pic:spPr>
                </pic:pic>
              </a:graphicData>
            </a:graphic>
          </wp:inline>
        </w:drawing>
      </w:r>
    </w:p>
    <w:p w14:paraId="25185883" w14:textId="56C25647" w:rsidR="008A3370" w:rsidRDefault="005154FA" w:rsidP="005154FA">
      <w:pPr>
        <w:spacing w:line="360" w:lineRule="auto"/>
        <w:rPr>
          <w:rFonts w:ascii="Arial" w:hAnsi="Arial" w:cs="Arial"/>
          <w:sz w:val="24"/>
          <w:szCs w:val="24"/>
        </w:rPr>
      </w:pPr>
      <w:r w:rsidRPr="000546D5">
        <w:rPr>
          <w:rFonts w:ascii="Arial" w:hAnsi="Arial" w:cs="Arial"/>
          <w:b/>
          <w:bCs/>
          <w:sz w:val="24"/>
          <w:szCs w:val="24"/>
          <w:highlight w:val="cyan"/>
        </w:rPr>
        <w:t xml:space="preserve">Fig S1. </w:t>
      </w:r>
      <w:r w:rsidRPr="000546D5">
        <w:rPr>
          <w:rFonts w:ascii="Arial" w:hAnsi="Arial" w:cs="Arial"/>
          <w:sz w:val="24"/>
          <w:szCs w:val="24"/>
          <w:highlight w:val="cyan"/>
        </w:rPr>
        <w:t>Distribution of the number of samples, histological type, age, and sex in partition datasets.</w:t>
      </w:r>
    </w:p>
    <w:p w14:paraId="0D632257" w14:textId="77777777" w:rsidR="005154FA" w:rsidRPr="005154FA" w:rsidRDefault="005154FA" w:rsidP="005154FA">
      <w:pPr>
        <w:spacing w:line="360" w:lineRule="auto"/>
        <w:rPr>
          <w:rFonts w:ascii="Arial" w:hAnsi="Arial" w:cs="Arial"/>
          <w:noProof/>
          <w:sz w:val="24"/>
          <w:szCs w:val="24"/>
        </w:rPr>
      </w:pPr>
    </w:p>
    <w:p w14:paraId="117B9256" w14:textId="43BBD730" w:rsidR="0088138F" w:rsidRPr="003E3986" w:rsidRDefault="005B4BD3" w:rsidP="0088138F">
      <w:pPr>
        <w:spacing w:line="360" w:lineRule="auto"/>
        <w:rPr>
          <w:rFonts w:ascii="Arial" w:hAnsi="Arial" w:cs="Arial"/>
          <w:sz w:val="24"/>
          <w:szCs w:val="24"/>
        </w:rPr>
      </w:pPr>
      <w:r>
        <w:rPr>
          <w:noProof/>
        </w:rPr>
        <w:drawing>
          <wp:inline distT="0" distB="0" distL="0" distR="0" wp14:anchorId="266F2054" wp14:editId="738E1F36">
            <wp:extent cx="5274310" cy="3776980"/>
            <wp:effectExtent l="0" t="0" r="2540" b="0"/>
            <wp:docPr id="96509054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3776980"/>
                    </a:xfrm>
                    <a:prstGeom prst="rect">
                      <a:avLst/>
                    </a:prstGeom>
                    <a:noFill/>
                    <a:ln>
                      <a:noFill/>
                    </a:ln>
                  </pic:spPr>
                </pic:pic>
              </a:graphicData>
            </a:graphic>
          </wp:inline>
        </w:drawing>
      </w:r>
    </w:p>
    <w:p w14:paraId="4CA9AAE8" w14:textId="4DCE71AE" w:rsidR="0088138F" w:rsidRPr="003E3986" w:rsidRDefault="0088138F" w:rsidP="0088138F">
      <w:pPr>
        <w:spacing w:line="360" w:lineRule="auto"/>
        <w:rPr>
          <w:rFonts w:ascii="Arial" w:hAnsi="Arial" w:cs="Arial"/>
          <w:sz w:val="24"/>
          <w:szCs w:val="24"/>
        </w:rPr>
      </w:pPr>
      <w:r w:rsidRPr="00F12508">
        <w:rPr>
          <w:rFonts w:ascii="Arial" w:hAnsi="Arial" w:cs="Arial"/>
          <w:b/>
          <w:bCs/>
          <w:sz w:val="24"/>
          <w:szCs w:val="24"/>
        </w:rPr>
        <w:t>Fig S</w:t>
      </w:r>
      <w:r w:rsidR="00005208" w:rsidRPr="00F12508">
        <w:rPr>
          <w:rFonts w:ascii="Arial" w:hAnsi="Arial" w:cs="Arial"/>
          <w:b/>
          <w:bCs/>
          <w:sz w:val="24"/>
          <w:szCs w:val="24"/>
        </w:rPr>
        <w:t>2</w:t>
      </w:r>
      <w:r w:rsidRPr="00F12508">
        <w:rPr>
          <w:rFonts w:ascii="Arial" w:hAnsi="Arial" w:cs="Arial"/>
          <w:b/>
          <w:bCs/>
          <w:sz w:val="24"/>
          <w:szCs w:val="24"/>
        </w:rPr>
        <w:t xml:space="preserve">. </w:t>
      </w:r>
      <w:r w:rsidRPr="003E3986">
        <w:rPr>
          <w:rFonts w:ascii="Arial" w:hAnsi="Arial" w:cs="Arial"/>
          <w:sz w:val="24"/>
          <w:szCs w:val="24"/>
        </w:rPr>
        <w:t xml:space="preserve">The performance of each candidate miRNA in training set. a. The radar chart summarized the area under </w:t>
      </w:r>
      <w:r w:rsidR="008F2ACC">
        <w:rPr>
          <w:rFonts w:ascii="Arial" w:hAnsi="Arial" w:cs="Arial"/>
          <w:sz w:val="24"/>
          <w:szCs w:val="24"/>
        </w:rPr>
        <w:t xml:space="preserve">the </w:t>
      </w:r>
      <w:r w:rsidRPr="003E3986">
        <w:rPr>
          <w:rFonts w:ascii="Arial" w:hAnsi="Arial" w:cs="Arial"/>
          <w:sz w:val="24"/>
          <w:szCs w:val="24"/>
        </w:rPr>
        <w:t xml:space="preserve">curve (AUC) of each miRNA. b. The diagnostic utility of has-miR-17-3p in distinguishing malignancies and </w:t>
      </w:r>
      <w:r w:rsidR="008F2ACC">
        <w:rPr>
          <w:rFonts w:ascii="Arial" w:hAnsi="Arial" w:cs="Arial"/>
          <w:sz w:val="24"/>
          <w:szCs w:val="24"/>
        </w:rPr>
        <w:t>non-malignancies</w:t>
      </w:r>
      <w:r w:rsidRPr="003E3986">
        <w:rPr>
          <w:rFonts w:ascii="Arial" w:hAnsi="Arial" w:cs="Arial"/>
          <w:sz w:val="24"/>
          <w:szCs w:val="24"/>
        </w:rPr>
        <w:t xml:space="preserve">. </w:t>
      </w:r>
      <w:r w:rsidRPr="003E3986">
        <w:rPr>
          <w:rFonts w:ascii="Arial" w:hAnsi="Arial" w:cs="Arial" w:hint="eastAsia"/>
          <w:sz w:val="24"/>
          <w:szCs w:val="24"/>
        </w:rPr>
        <w:t>c</w:t>
      </w:r>
      <w:r w:rsidRPr="003E3986">
        <w:rPr>
          <w:rFonts w:ascii="Arial" w:hAnsi="Arial" w:cs="Arial"/>
          <w:sz w:val="24"/>
          <w:szCs w:val="24"/>
        </w:rPr>
        <w:t>. Bar plot of the AUC estimation in different cancer types.</w:t>
      </w:r>
    </w:p>
    <w:p w14:paraId="240E72EE" w14:textId="77777777" w:rsidR="0088138F" w:rsidRPr="003E3986" w:rsidRDefault="0088138F" w:rsidP="0088138F">
      <w:pPr>
        <w:widowControl/>
        <w:jc w:val="left"/>
        <w:rPr>
          <w:rFonts w:ascii="Arial" w:hAnsi="Arial" w:cs="Arial"/>
          <w:sz w:val="24"/>
          <w:szCs w:val="24"/>
        </w:rPr>
      </w:pPr>
      <w:r w:rsidRPr="003E3986">
        <w:rPr>
          <w:rFonts w:ascii="Arial" w:hAnsi="Arial" w:cs="Arial"/>
          <w:sz w:val="24"/>
          <w:szCs w:val="24"/>
        </w:rPr>
        <w:br w:type="page"/>
      </w:r>
    </w:p>
    <w:p w14:paraId="595BD679" w14:textId="129CA1D7" w:rsidR="0088138F" w:rsidRPr="003E3986" w:rsidRDefault="00E23DCC" w:rsidP="0088138F">
      <w:pPr>
        <w:widowControl/>
        <w:jc w:val="left"/>
        <w:rPr>
          <w:rFonts w:ascii="Arial" w:hAnsi="Arial" w:cs="Arial"/>
          <w:sz w:val="24"/>
          <w:szCs w:val="24"/>
        </w:rPr>
      </w:pPr>
      <w:r>
        <w:rPr>
          <w:noProof/>
        </w:rPr>
        <w:lastRenderedPageBreak/>
        <w:drawing>
          <wp:inline distT="0" distB="0" distL="0" distR="0" wp14:anchorId="1EDE942C" wp14:editId="74D672FD">
            <wp:extent cx="5274310" cy="2311400"/>
            <wp:effectExtent l="0" t="0" r="2540" b="0"/>
            <wp:docPr id="26418755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2311400"/>
                    </a:xfrm>
                    <a:prstGeom prst="rect">
                      <a:avLst/>
                    </a:prstGeom>
                    <a:noFill/>
                    <a:ln>
                      <a:noFill/>
                    </a:ln>
                  </pic:spPr>
                </pic:pic>
              </a:graphicData>
            </a:graphic>
          </wp:inline>
        </w:drawing>
      </w:r>
    </w:p>
    <w:p w14:paraId="333FBAC5" w14:textId="4FA57A9E" w:rsidR="0088138F" w:rsidRPr="003E3986" w:rsidRDefault="0088138F" w:rsidP="0088138F">
      <w:pPr>
        <w:spacing w:line="360" w:lineRule="auto"/>
        <w:rPr>
          <w:rFonts w:ascii="Arial" w:hAnsi="Arial" w:cs="Arial"/>
          <w:sz w:val="24"/>
          <w:szCs w:val="24"/>
        </w:rPr>
      </w:pPr>
      <w:r w:rsidRPr="006A2920">
        <w:rPr>
          <w:rFonts w:ascii="Arial" w:hAnsi="Arial" w:cs="Arial"/>
          <w:b/>
          <w:bCs/>
          <w:sz w:val="24"/>
          <w:szCs w:val="24"/>
        </w:rPr>
        <w:t>Fig S</w:t>
      </w:r>
      <w:r w:rsidR="00005208" w:rsidRPr="006A2920">
        <w:rPr>
          <w:rFonts w:ascii="Arial" w:hAnsi="Arial" w:cs="Arial"/>
          <w:b/>
          <w:bCs/>
          <w:sz w:val="24"/>
          <w:szCs w:val="24"/>
        </w:rPr>
        <w:t>3</w:t>
      </w:r>
      <w:r w:rsidRPr="006A2920">
        <w:rPr>
          <w:rFonts w:ascii="Arial" w:hAnsi="Arial" w:cs="Arial"/>
          <w:b/>
          <w:bCs/>
          <w:sz w:val="24"/>
          <w:szCs w:val="24"/>
        </w:rPr>
        <w:t xml:space="preserve">. </w:t>
      </w:r>
      <w:r w:rsidRPr="003E3986">
        <w:rPr>
          <w:rFonts w:ascii="Arial" w:hAnsi="Arial" w:cs="Arial"/>
          <w:sz w:val="24"/>
          <w:szCs w:val="24"/>
        </w:rPr>
        <w:t xml:space="preserve">Comparison of diagnostic efficacy between single miRNA and model. a-b. Radar chart summarized the Youden index and area under </w:t>
      </w:r>
      <w:r w:rsidR="00124096">
        <w:rPr>
          <w:rFonts w:ascii="Arial" w:hAnsi="Arial" w:cs="Arial"/>
          <w:sz w:val="24"/>
          <w:szCs w:val="24"/>
        </w:rPr>
        <w:t xml:space="preserve">the </w:t>
      </w:r>
      <w:r w:rsidRPr="003E3986">
        <w:rPr>
          <w:rFonts w:ascii="Arial" w:hAnsi="Arial" w:cs="Arial"/>
          <w:sz w:val="24"/>
          <w:szCs w:val="24"/>
        </w:rPr>
        <w:t xml:space="preserve">curve (AUC) of </w:t>
      </w:r>
      <w:r w:rsidR="00124096">
        <w:rPr>
          <w:rFonts w:ascii="Arial" w:hAnsi="Arial" w:cs="Arial"/>
          <w:sz w:val="24"/>
          <w:szCs w:val="24"/>
        </w:rPr>
        <w:t xml:space="preserve">the </w:t>
      </w:r>
      <w:r w:rsidRPr="003E3986">
        <w:rPr>
          <w:rFonts w:ascii="Arial" w:hAnsi="Arial" w:cs="Arial"/>
          <w:sz w:val="24"/>
          <w:szCs w:val="24"/>
        </w:rPr>
        <w:t xml:space="preserve">single and </w:t>
      </w:r>
      <w:proofErr w:type="spellStart"/>
      <w:r w:rsidRPr="003E3986">
        <w:rPr>
          <w:rFonts w:ascii="Arial" w:hAnsi="Arial" w:cs="Arial"/>
          <w:sz w:val="24"/>
          <w:szCs w:val="24"/>
        </w:rPr>
        <w:t>XGBoost</w:t>
      </w:r>
      <w:proofErr w:type="spellEnd"/>
      <w:r w:rsidRPr="003E3986">
        <w:rPr>
          <w:rFonts w:ascii="Arial" w:hAnsi="Arial" w:cs="Arial"/>
          <w:sz w:val="24"/>
          <w:szCs w:val="24"/>
        </w:rPr>
        <w:t xml:space="preserve"> </w:t>
      </w:r>
      <w:r w:rsidR="00124096">
        <w:rPr>
          <w:rFonts w:ascii="Arial" w:hAnsi="Arial" w:cs="Arial"/>
          <w:sz w:val="24"/>
          <w:szCs w:val="24"/>
        </w:rPr>
        <w:t>models</w:t>
      </w:r>
      <w:r w:rsidRPr="003E3986">
        <w:rPr>
          <w:rFonts w:ascii="Arial" w:hAnsi="Arial" w:cs="Arial"/>
          <w:sz w:val="24"/>
          <w:szCs w:val="24"/>
        </w:rPr>
        <w:t>.</w:t>
      </w:r>
    </w:p>
    <w:p w14:paraId="2EECF71A" w14:textId="66B3AE20" w:rsidR="0088138F" w:rsidRPr="003E3986" w:rsidRDefault="0088138F" w:rsidP="0088138F">
      <w:pPr>
        <w:spacing w:line="360" w:lineRule="auto"/>
        <w:rPr>
          <w:rFonts w:ascii="Arial" w:hAnsi="Arial" w:cs="Arial"/>
          <w:sz w:val="24"/>
          <w:szCs w:val="24"/>
        </w:rPr>
      </w:pPr>
    </w:p>
    <w:p w14:paraId="53D06AA0" w14:textId="1ECC9E93" w:rsidR="0088138F" w:rsidRPr="003E3986" w:rsidRDefault="00E23DCC" w:rsidP="0088138F">
      <w:pPr>
        <w:widowControl/>
        <w:jc w:val="left"/>
        <w:rPr>
          <w:rFonts w:ascii="Arial" w:hAnsi="Arial" w:cs="Arial"/>
          <w:sz w:val="24"/>
          <w:szCs w:val="24"/>
        </w:rPr>
      </w:pPr>
      <w:r>
        <w:rPr>
          <w:noProof/>
        </w:rPr>
        <w:lastRenderedPageBreak/>
        <w:drawing>
          <wp:inline distT="0" distB="0" distL="0" distR="0" wp14:anchorId="7E8E14C2" wp14:editId="207CF37C">
            <wp:extent cx="5274310" cy="5274310"/>
            <wp:effectExtent l="0" t="0" r="2540" b="2540"/>
            <wp:docPr id="19113419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5274310"/>
                    </a:xfrm>
                    <a:prstGeom prst="rect">
                      <a:avLst/>
                    </a:prstGeom>
                    <a:noFill/>
                    <a:ln>
                      <a:noFill/>
                    </a:ln>
                  </pic:spPr>
                </pic:pic>
              </a:graphicData>
            </a:graphic>
          </wp:inline>
        </w:drawing>
      </w:r>
    </w:p>
    <w:p w14:paraId="7D974F38" w14:textId="7753009D" w:rsidR="0088138F" w:rsidRPr="003E3986" w:rsidRDefault="0088138F" w:rsidP="000D17B7">
      <w:pPr>
        <w:widowControl/>
        <w:spacing w:line="360" w:lineRule="auto"/>
        <w:rPr>
          <w:rFonts w:ascii="Arial" w:hAnsi="Arial" w:cs="Arial"/>
          <w:sz w:val="24"/>
          <w:szCs w:val="24"/>
        </w:rPr>
      </w:pPr>
      <w:r w:rsidRPr="00161516">
        <w:rPr>
          <w:rFonts w:ascii="Arial" w:hAnsi="Arial" w:cs="Arial"/>
          <w:b/>
          <w:bCs/>
          <w:sz w:val="24"/>
          <w:szCs w:val="24"/>
        </w:rPr>
        <w:t>Fig S</w:t>
      </w:r>
      <w:r w:rsidR="00005208" w:rsidRPr="00161516">
        <w:rPr>
          <w:rFonts w:ascii="Arial" w:hAnsi="Arial" w:cs="Arial"/>
          <w:b/>
          <w:bCs/>
          <w:sz w:val="24"/>
          <w:szCs w:val="24"/>
        </w:rPr>
        <w:t>4</w:t>
      </w:r>
      <w:r w:rsidRPr="00161516">
        <w:rPr>
          <w:rFonts w:ascii="Arial" w:hAnsi="Arial" w:cs="Arial"/>
          <w:b/>
          <w:bCs/>
          <w:sz w:val="24"/>
          <w:szCs w:val="24"/>
        </w:rPr>
        <w:t xml:space="preserve">. </w:t>
      </w:r>
      <w:r w:rsidRPr="003E3986">
        <w:rPr>
          <w:rFonts w:ascii="Arial" w:hAnsi="Arial" w:cs="Arial"/>
          <w:sz w:val="24"/>
          <w:szCs w:val="24"/>
        </w:rPr>
        <w:t xml:space="preserve">Validation of </w:t>
      </w:r>
      <w:bookmarkStart w:id="15" w:name="OLE_LINK2"/>
      <w:r w:rsidR="00E2317F" w:rsidRPr="003E3986">
        <w:rPr>
          <w:rFonts w:ascii="Arial" w:hAnsi="Arial" w:cs="Arial"/>
          <w:sz w:val="24"/>
          <w:szCs w:val="24"/>
        </w:rPr>
        <w:t xml:space="preserve">cell free </w:t>
      </w:r>
      <w:r w:rsidRPr="003E3986">
        <w:rPr>
          <w:rFonts w:ascii="Arial" w:hAnsi="Arial" w:cs="Arial"/>
          <w:sz w:val="24"/>
          <w:szCs w:val="24"/>
        </w:rPr>
        <w:t xml:space="preserve">immune-related miRNA </w:t>
      </w:r>
      <w:r w:rsidR="00E2317F" w:rsidRPr="003E3986">
        <w:rPr>
          <w:rFonts w:ascii="Arial" w:hAnsi="Arial" w:cs="Arial"/>
          <w:sz w:val="24"/>
          <w:szCs w:val="24"/>
        </w:rPr>
        <w:t>(</w:t>
      </w:r>
      <w:proofErr w:type="spellStart"/>
      <w:r w:rsidR="00E2317F" w:rsidRPr="003E3986">
        <w:rPr>
          <w:rFonts w:ascii="Arial" w:hAnsi="Arial" w:cs="Arial"/>
          <w:sz w:val="24"/>
          <w:szCs w:val="24"/>
        </w:rPr>
        <w:t>cf-IRmiRNAs</w:t>
      </w:r>
      <w:proofErr w:type="spellEnd"/>
      <w:r w:rsidR="00E2317F" w:rsidRPr="003E3986">
        <w:rPr>
          <w:rFonts w:ascii="Arial" w:hAnsi="Arial" w:cs="Arial"/>
          <w:sz w:val="24"/>
          <w:szCs w:val="24"/>
        </w:rPr>
        <w:t xml:space="preserve">) </w:t>
      </w:r>
      <w:r w:rsidRPr="003E3986">
        <w:rPr>
          <w:rFonts w:ascii="Arial" w:hAnsi="Arial" w:cs="Arial"/>
          <w:sz w:val="24"/>
          <w:szCs w:val="24"/>
        </w:rPr>
        <w:t>signature</w:t>
      </w:r>
      <w:bookmarkEnd w:id="15"/>
      <w:r w:rsidRPr="003E3986">
        <w:rPr>
          <w:rFonts w:ascii="Arial" w:hAnsi="Arial" w:cs="Arial"/>
          <w:sz w:val="24"/>
          <w:szCs w:val="24"/>
        </w:rPr>
        <w:t xml:space="preserve"> in clinical cohort. a. ROC, PR curve, and confusion matrix for </w:t>
      </w:r>
      <w:proofErr w:type="spellStart"/>
      <w:r w:rsidR="00E2317F" w:rsidRPr="003E3986">
        <w:rPr>
          <w:rFonts w:ascii="Arial" w:hAnsi="Arial" w:cs="Arial"/>
          <w:sz w:val="24"/>
          <w:szCs w:val="24"/>
        </w:rPr>
        <w:t>cf-IRmiRNAs</w:t>
      </w:r>
      <w:proofErr w:type="spellEnd"/>
      <w:r w:rsidR="00AB38A2" w:rsidRPr="003E3986">
        <w:rPr>
          <w:rFonts w:ascii="Arial" w:hAnsi="Arial" w:cs="Arial"/>
          <w:sz w:val="24"/>
          <w:szCs w:val="24"/>
        </w:rPr>
        <w:t xml:space="preserve"> signature</w:t>
      </w:r>
      <w:r w:rsidRPr="003E3986">
        <w:rPr>
          <w:rFonts w:ascii="Arial" w:hAnsi="Arial" w:cs="Arial"/>
          <w:sz w:val="24"/>
          <w:szCs w:val="24"/>
        </w:rPr>
        <w:t xml:space="preserve"> for cancer diagnosis in </w:t>
      </w:r>
      <w:r w:rsidR="006625BF" w:rsidRPr="003E3986">
        <w:rPr>
          <w:rFonts w:ascii="Arial" w:hAnsi="Arial" w:cs="Arial"/>
          <w:sz w:val="24"/>
          <w:szCs w:val="24"/>
        </w:rPr>
        <w:t xml:space="preserve">a. </w:t>
      </w:r>
      <w:r w:rsidRPr="003E3986">
        <w:rPr>
          <w:rFonts w:ascii="Arial" w:hAnsi="Arial" w:cs="Arial"/>
          <w:sz w:val="24"/>
          <w:szCs w:val="24"/>
        </w:rPr>
        <w:t>the</w:t>
      </w:r>
      <w:r w:rsidR="006625BF" w:rsidRPr="003E3986">
        <w:t xml:space="preserve"> </w:t>
      </w:r>
      <w:r w:rsidR="006625BF" w:rsidRPr="003E3986">
        <w:rPr>
          <w:rFonts w:ascii="Arial" w:hAnsi="Arial" w:cs="Arial"/>
          <w:sz w:val="24"/>
          <w:szCs w:val="24"/>
        </w:rPr>
        <w:t>data set consisting of</w:t>
      </w:r>
      <w:r w:rsidRPr="003E3986">
        <w:rPr>
          <w:rFonts w:ascii="Arial" w:hAnsi="Arial" w:cs="Arial"/>
          <w:sz w:val="24"/>
          <w:szCs w:val="24"/>
        </w:rPr>
        <w:t xml:space="preserve"> training and validation</w:t>
      </w:r>
      <w:r w:rsidR="0010783C" w:rsidRPr="003E3986">
        <w:rPr>
          <w:rFonts w:ascii="Arial" w:hAnsi="Arial" w:cs="Arial"/>
          <w:sz w:val="24"/>
          <w:szCs w:val="24"/>
        </w:rPr>
        <w:t xml:space="preserve"> sets</w:t>
      </w:r>
      <w:r w:rsidRPr="003E3986">
        <w:rPr>
          <w:rFonts w:ascii="Arial" w:hAnsi="Arial" w:cs="Arial"/>
          <w:sz w:val="24"/>
          <w:szCs w:val="24"/>
        </w:rPr>
        <w:t xml:space="preserve">. b. </w:t>
      </w:r>
      <w:r w:rsidR="006625BF" w:rsidRPr="003E3986">
        <w:rPr>
          <w:rFonts w:ascii="Arial" w:hAnsi="Arial" w:cs="Arial"/>
          <w:sz w:val="24"/>
          <w:szCs w:val="24"/>
        </w:rPr>
        <w:t>the</w:t>
      </w:r>
      <w:r w:rsidR="006625BF" w:rsidRPr="003E3986">
        <w:t xml:space="preserve"> </w:t>
      </w:r>
      <w:r w:rsidR="006625BF" w:rsidRPr="003E3986">
        <w:rPr>
          <w:rFonts w:ascii="Arial" w:hAnsi="Arial" w:cs="Arial" w:hint="eastAsia"/>
          <w:sz w:val="24"/>
          <w:szCs w:val="24"/>
        </w:rPr>
        <w:t>d</w:t>
      </w:r>
      <w:r w:rsidR="006625BF" w:rsidRPr="003E3986">
        <w:rPr>
          <w:rFonts w:ascii="Arial" w:hAnsi="Arial" w:cs="Arial"/>
          <w:sz w:val="24"/>
          <w:szCs w:val="24"/>
        </w:rPr>
        <w:t>ata set consisting of training</w:t>
      </w:r>
      <w:r w:rsidRPr="003E3986">
        <w:rPr>
          <w:rFonts w:ascii="Arial" w:hAnsi="Arial" w:cs="Arial"/>
          <w:sz w:val="24"/>
          <w:szCs w:val="24"/>
        </w:rPr>
        <w:t>, validation, and test set</w:t>
      </w:r>
      <w:r w:rsidR="0010783C" w:rsidRPr="003E3986">
        <w:rPr>
          <w:rFonts w:ascii="Arial" w:hAnsi="Arial" w:cs="Arial" w:hint="eastAsia"/>
          <w:sz w:val="24"/>
          <w:szCs w:val="24"/>
        </w:rPr>
        <w:t>s</w:t>
      </w:r>
      <w:r w:rsidRPr="003E3986">
        <w:rPr>
          <w:rFonts w:ascii="Arial" w:hAnsi="Arial" w:cs="Arial"/>
          <w:sz w:val="24"/>
          <w:szCs w:val="24"/>
        </w:rPr>
        <w:t>. c. Entire cohort.</w:t>
      </w:r>
    </w:p>
    <w:p w14:paraId="30C7020B" w14:textId="51C7E662" w:rsidR="0088138F" w:rsidRPr="003E3986" w:rsidRDefault="0088138F" w:rsidP="000D17B7">
      <w:pPr>
        <w:widowControl/>
        <w:spacing w:line="360" w:lineRule="auto"/>
        <w:jc w:val="left"/>
        <w:rPr>
          <w:noProof/>
        </w:rPr>
      </w:pPr>
      <w:r w:rsidRPr="003E3986">
        <w:rPr>
          <w:rFonts w:ascii="Arial" w:hAnsi="Arial" w:cs="Arial"/>
          <w:sz w:val="24"/>
          <w:szCs w:val="24"/>
        </w:rPr>
        <w:br w:type="page"/>
      </w:r>
    </w:p>
    <w:p w14:paraId="7CDE2586" w14:textId="5E636740" w:rsidR="0003791D" w:rsidRPr="003E3986" w:rsidRDefault="00E23DCC" w:rsidP="0088138F">
      <w:pPr>
        <w:widowControl/>
        <w:jc w:val="left"/>
        <w:rPr>
          <w:rFonts w:ascii="Arial" w:hAnsi="Arial" w:cs="Arial"/>
          <w:sz w:val="24"/>
          <w:szCs w:val="24"/>
        </w:rPr>
      </w:pPr>
      <w:r>
        <w:rPr>
          <w:noProof/>
        </w:rPr>
        <w:lastRenderedPageBreak/>
        <w:drawing>
          <wp:inline distT="0" distB="0" distL="0" distR="0" wp14:anchorId="69CEC370" wp14:editId="75FEB1D3">
            <wp:extent cx="5274310" cy="3362960"/>
            <wp:effectExtent l="0" t="0" r="2540" b="8890"/>
            <wp:docPr id="18634019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3362960"/>
                    </a:xfrm>
                    <a:prstGeom prst="rect">
                      <a:avLst/>
                    </a:prstGeom>
                    <a:noFill/>
                    <a:ln>
                      <a:noFill/>
                    </a:ln>
                  </pic:spPr>
                </pic:pic>
              </a:graphicData>
            </a:graphic>
          </wp:inline>
        </w:drawing>
      </w:r>
    </w:p>
    <w:p w14:paraId="79E36C81" w14:textId="77777777" w:rsidR="00BD5994" w:rsidRDefault="000D17B7" w:rsidP="000546D5">
      <w:pPr>
        <w:autoSpaceDE w:val="0"/>
        <w:autoSpaceDN w:val="0"/>
        <w:adjustRightInd w:val="0"/>
        <w:spacing w:line="360" w:lineRule="auto"/>
        <w:rPr>
          <w:rFonts w:ascii="Times New Roman" w:hAnsi="Times New Roman" w:cs="Times New Roman"/>
          <w:kern w:val="0"/>
          <w:sz w:val="24"/>
          <w:szCs w:val="24"/>
        </w:rPr>
      </w:pPr>
      <w:r w:rsidRPr="00161516">
        <w:rPr>
          <w:rFonts w:ascii="Arial" w:hAnsi="Arial" w:cs="Arial"/>
          <w:b/>
          <w:bCs/>
          <w:sz w:val="24"/>
          <w:szCs w:val="24"/>
        </w:rPr>
        <w:t xml:space="preserve">Fig S5. </w:t>
      </w:r>
      <w:r w:rsidR="0088138F" w:rsidRPr="003E3986">
        <w:rPr>
          <w:rFonts w:ascii="Arial" w:hAnsi="Arial" w:cs="Arial"/>
          <w:sz w:val="24"/>
          <w:szCs w:val="24"/>
        </w:rPr>
        <w:t xml:space="preserve"> </w:t>
      </w:r>
      <w:r w:rsidR="0088138F" w:rsidRPr="003E3986">
        <w:rPr>
          <w:rFonts w:ascii="Arial" w:hAnsi="Arial" w:cs="Arial" w:hint="eastAsia"/>
          <w:sz w:val="24"/>
          <w:szCs w:val="24"/>
        </w:rPr>
        <w:t>T</w:t>
      </w:r>
      <w:r w:rsidR="0088138F" w:rsidRPr="003E3986">
        <w:rPr>
          <w:rFonts w:ascii="Arial" w:hAnsi="Arial" w:cs="Arial"/>
          <w:sz w:val="24"/>
          <w:szCs w:val="24"/>
        </w:rPr>
        <w:t>he utility of the diagnostic index in discriminating benign diseases and malignant tumors. a.</w:t>
      </w:r>
      <w:r w:rsidR="0088138F" w:rsidRPr="003E3986">
        <w:rPr>
          <w:rFonts w:ascii="Arial" w:hAnsi="Arial" w:cs="Arial"/>
          <w:b/>
          <w:bCs/>
          <w:sz w:val="24"/>
          <w:szCs w:val="24"/>
        </w:rPr>
        <w:t xml:space="preserve"> </w:t>
      </w:r>
      <w:bookmarkStart w:id="16" w:name="OLE_LINK12"/>
      <w:r w:rsidR="0088138F" w:rsidRPr="003E3986">
        <w:rPr>
          <w:rFonts w:ascii="Arial" w:hAnsi="Arial" w:cs="Arial"/>
          <w:sz w:val="24"/>
          <w:szCs w:val="24"/>
        </w:rPr>
        <w:t xml:space="preserve">The diagnostic index </w:t>
      </w:r>
      <w:r w:rsidR="0002161F" w:rsidRPr="003E3986">
        <w:rPr>
          <w:rFonts w:ascii="Arial" w:hAnsi="Arial" w:cs="Arial"/>
          <w:sz w:val="24"/>
          <w:szCs w:val="24"/>
        </w:rPr>
        <w:t>of</w:t>
      </w:r>
      <w:r w:rsidR="0088138F" w:rsidRPr="003E3986">
        <w:rPr>
          <w:rFonts w:ascii="Arial" w:hAnsi="Arial" w:cs="Arial"/>
          <w:sz w:val="24"/>
          <w:szCs w:val="24"/>
        </w:rPr>
        <w:t xml:space="preserve"> </w:t>
      </w:r>
      <w:bookmarkEnd w:id="16"/>
      <w:r w:rsidR="0088138F" w:rsidRPr="003E3986">
        <w:rPr>
          <w:rFonts w:ascii="Arial" w:hAnsi="Arial" w:cs="Arial"/>
          <w:sz w:val="24"/>
          <w:szCs w:val="24"/>
        </w:rPr>
        <w:t>benign</w:t>
      </w:r>
      <w:r w:rsidR="0002161F" w:rsidRPr="003E3986">
        <w:rPr>
          <w:rFonts w:ascii="Arial" w:hAnsi="Arial" w:cs="Arial"/>
          <w:sz w:val="24"/>
          <w:szCs w:val="24"/>
        </w:rPr>
        <w:t xml:space="preserve"> </w:t>
      </w:r>
      <w:r w:rsidR="0088138F" w:rsidRPr="003E3986">
        <w:rPr>
          <w:rFonts w:ascii="Arial" w:hAnsi="Arial" w:cs="Arial"/>
          <w:sz w:val="24"/>
          <w:szCs w:val="24"/>
        </w:rPr>
        <w:t xml:space="preserve">bone </w:t>
      </w:r>
      <w:r w:rsidR="0002161F" w:rsidRPr="003E3986">
        <w:rPr>
          <w:rFonts w:ascii="Arial" w:hAnsi="Arial" w:cs="Arial"/>
          <w:sz w:val="24"/>
          <w:szCs w:val="24"/>
        </w:rPr>
        <w:t xml:space="preserve">and </w:t>
      </w:r>
      <w:r w:rsidR="0088138F" w:rsidRPr="003E3986">
        <w:rPr>
          <w:rFonts w:ascii="Arial" w:hAnsi="Arial" w:cs="Arial"/>
          <w:sz w:val="24"/>
          <w:szCs w:val="24"/>
        </w:rPr>
        <w:t xml:space="preserve">soft tissue </w:t>
      </w:r>
      <w:r w:rsidR="0002161F" w:rsidRPr="003E3986">
        <w:rPr>
          <w:rFonts w:ascii="Arial" w:hAnsi="Arial" w:cs="Arial"/>
          <w:sz w:val="24"/>
          <w:szCs w:val="24"/>
        </w:rPr>
        <w:t>tumor</w:t>
      </w:r>
      <w:r w:rsidR="0050048D" w:rsidRPr="003E3986">
        <w:rPr>
          <w:rFonts w:ascii="Arial" w:hAnsi="Arial" w:cs="Arial"/>
          <w:sz w:val="24"/>
          <w:szCs w:val="24"/>
        </w:rPr>
        <w:t>s</w:t>
      </w:r>
      <w:r w:rsidR="0002161F" w:rsidRPr="003E3986">
        <w:rPr>
          <w:rFonts w:ascii="Arial" w:hAnsi="Arial" w:cs="Arial"/>
          <w:sz w:val="24"/>
          <w:szCs w:val="24"/>
        </w:rPr>
        <w:t xml:space="preserve"> or </w:t>
      </w:r>
      <w:r w:rsidR="0088138F" w:rsidRPr="003E3986">
        <w:rPr>
          <w:rFonts w:ascii="Arial" w:hAnsi="Arial" w:cs="Arial"/>
          <w:sz w:val="24"/>
          <w:szCs w:val="24"/>
        </w:rPr>
        <w:t>diseases, sarcoma, and normal samples.</w:t>
      </w:r>
      <w:r w:rsidR="00227439" w:rsidRPr="003E3986">
        <w:rPr>
          <w:rFonts w:ascii="Arial" w:hAnsi="Arial" w:cs="Arial"/>
          <w:sz w:val="24"/>
          <w:szCs w:val="24"/>
        </w:rPr>
        <w:t xml:space="preserve"> b. Roc curves showed the discriminant ability in benign bone and soft tissue tumor</w:t>
      </w:r>
      <w:r w:rsidR="0050048D" w:rsidRPr="003E3986">
        <w:rPr>
          <w:rFonts w:ascii="Arial" w:hAnsi="Arial" w:cs="Arial"/>
          <w:sz w:val="24"/>
          <w:szCs w:val="24"/>
        </w:rPr>
        <w:t>s</w:t>
      </w:r>
      <w:r w:rsidR="00227439" w:rsidRPr="003E3986">
        <w:rPr>
          <w:rFonts w:ascii="Arial" w:hAnsi="Arial" w:cs="Arial"/>
          <w:sz w:val="24"/>
          <w:szCs w:val="24"/>
        </w:rPr>
        <w:t xml:space="preserve"> or diseases and sarcoma.</w:t>
      </w:r>
      <w:r w:rsidR="00227439" w:rsidRPr="003E3986">
        <w:rPr>
          <w:rFonts w:ascii="Arial" w:hAnsi="Arial" w:cs="Arial" w:hint="eastAsia"/>
          <w:sz w:val="24"/>
          <w:szCs w:val="24"/>
        </w:rPr>
        <w:t xml:space="preserve"> </w:t>
      </w:r>
      <w:r w:rsidR="0002161F" w:rsidRPr="003E3986">
        <w:rPr>
          <w:rFonts w:ascii="Arial" w:hAnsi="Arial" w:cs="Arial"/>
          <w:sz w:val="24"/>
          <w:szCs w:val="24"/>
        </w:rPr>
        <w:t xml:space="preserve">c. The diagnostic index of benign breast disease, breast cancer, and normal samples. </w:t>
      </w:r>
      <w:r w:rsidR="00227439" w:rsidRPr="003E3986">
        <w:rPr>
          <w:rFonts w:ascii="Arial" w:hAnsi="Arial" w:cs="Arial"/>
          <w:sz w:val="24"/>
          <w:szCs w:val="24"/>
        </w:rPr>
        <w:t>d. Roc curves showed the discriminant ability in benign breast disease and breast cancer. e</w:t>
      </w:r>
      <w:r w:rsidR="0002161F" w:rsidRPr="003E3986">
        <w:rPr>
          <w:rFonts w:ascii="Arial" w:hAnsi="Arial" w:cs="Arial"/>
          <w:sz w:val="24"/>
          <w:szCs w:val="24"/>
        </w:rPr>
        <w:t xml:space="preserve">. The diagnostic index of benign </w:t>
      </w:r>
      <w:r w:rsidR="00227439" w:rsidRPr="003E3986">
        <w:rPr>
          <w:rFonts w:ascii="Arial" w:hAnsi="Arial" w:cs="Arial"/>
          <w:sz w:val="24"/>
          <w:szCs w:val="24"/>
        </w:rPr>
        <w:t xml:space="preserve">liver </w:t>
      </w:r>
      <w:r w:rsidR="0002161F" w:rsidRPr="003E3986">
        <w:rPr>
          <w:rFonts w:ascii="Arial" w:hAnsi="Arial" w:cs="Arial"/>
          <w:sz w:val="24"/>
          <w:szCs w:val="24"/>
        </w:rPr>
        <w:t xml:space="preserve">disease (chronic hepatitis or liver </w:t>
      </w:r>
      <w:r w:rsidR="00227439" w:rsidRPr="003E3986">
        <w:rPr>
          <w:rFonts w:ascii="Arial" w:hAnsi="Arial" w:cs="Arial"/>
          <w:sz w:val="24"/>
          <w:szCs w:val="24"/>
        </w:rPr>
        <w:t>c</w:t>
      </w:r>
      <w:r w:rsidR="0002161F" w:rsidRPr="003E3986">
        <w:rPr>
          <w:rFonts w:ascii="Arial" w:hAnsi="Arial" w:cs="Arial"/>
          <w:sz w:val="24"/>
          <w:szCs w:val="24"/>
        </w:rPr>
        <w:t>irrhosis), hepatocellular carcinoma, and normal samples.</w:t>
      </w:r>
      <w:r w:rsidR="0002161F" w:rsidRPr="003E3986">
        <w:rPr>
          <w:rFonts w:ascii="Arial" w:hAnsi="Arial" w:cs="Arial" w:hint="eastAsia"/>
          <w:sz w:val="24"/>
          <w:szCs w:val="24"/>
        </w:rPr>
        <w:t xml:space="preserve"> </w:t>
      </w:r>
      <w:r w:rsidR="00227439" w:rsidRPr="003E3986">
        <w:rPr>
          <w:rFonts w:ascii="Arial" w:hAnsi="Arial" w:cs="Arial"/>
          <w:sz w:val="24"/>
          <w:szCs w:val="24"/>
        </w:rPr>
        <w:t>f. Roc curves showed the discriminant ability in benign liver disease (chronic hepatitis or liver cirrhosis) and hepatocellular carcinoma.</w:t>
      </w:r>
      <w:r w:rsidR="00227439" w:rsidRPr="003E3986">
        <w:rPr>
          <w:rFonts w:ascii="Arial" w:hAnsi="Arial" w:cs="Arial" w:hint="eastAsia"/>
          <w:sz w:val="24"/>
          <w:szCs w:val="24"/>
        </w:rPr>
        <w:t xml:space="preserve"> </w:t>
      </w:r>
      <w:r w:rsidR="0002161F" w:rsidRPr="003E3986">
        <w:rPr>
          <w:rFonts w:ascii="Arial" w:hAnsi="Arial" w:cs="Arial"/>
          <w:sz w:val="24"/>
          <w:szCs w:val="24"/>
        </w:rPr>
        <w:t xml:space="preserve">g. The diagnostic index of </w:t>
      </w:r>
      <w:r w:rsidR="00227439" w:rsidRPr="003E3986">
        <w:rPr>
          <w:rFonts w:ascii="Arial" w:hAnsi="Arial" w:cs="Arial"/>
          <w:sz w:val="24"/>
          <w:szCs w:val="24"/>
        </w:rPr>
        <w:t xml:space="preserve">benign </w:t>
      </w:r>
      <w:r w:rsidR="0003791D" w:rsidRPr="003E3986">
        <w:rPr>
          <w:rFonts w:ascii="Arial" w:hAnsi="Arial" w:cs="Arial"/>
          <w:sz w:val="24"/>
          <w:szCs w:val="24"/>
        </w:rPr>
        <w:t>prostate</w:t>
      </w:r>
      <w:r w:rsidR="00227439" w:rsidRPr="003E3986">
        <w:rPr>
          <w:rFonts w:ascii="Arial" w:hAnsi="Arial" w:cs="Arial"/>
          <w:sz w:val="24"/>
          <w:szCs w:val="24"/>
        </w:rPr>
        <w:t xml:space="preserve"> disease,</w:t>
      </w:r>
      <w:r w:rsidR="0003791D" w:rsidRPr="003E3986">
        <w:rPr>
          <w:rFonts w:ascii="Arial" w:hAnsi="Arial" w:cs="Arial"/>
          <w:sz w:val="24"/>
          <w:szCs w:val="24"/>
        </w:rPr>
        <w:t xml:space="preserve"> prostate</w:t>
      </w:r>
      <w:r w:rsidR="0002161F" w:rsidRPr="003E3986">
        <w:rPr>
          <w:rFonts w:ascii="Arial" w:hAnsi="Arial" w:cs="Arial"/>
          <w:sz w:val="24"/>
          <w:szCs w:val="24"/>
        </w:rPr>
        <w:t xml:space="preserve"> </w:t>
      </w:r>
      <w:r w:rsidR="003E6867" w:rsidRPr="003E3986">
        <w:rPr>
          <w:rFonts w:ascii="Arial" w:hAnsi="Arial" w:cs="Arial" w:hint="eastAsia"/>
          <w:sz w:val="24"/>
          <w:szCs w:val="24"/>
        </w:rPr>
        <w:t>ca</w:t>
      </w:r>
      <w:r w:rsidR="003E6867" w:rsidRPr="003E3986">
        <w:rPr>
          <w:rFonts w:ascii="Arial" w:hAnsi="Arial" w:cs="Arial"/>
          <w:sz w:val="24"/>
          <w:szCs w:val="24"/>
        </w:rPr>
        <w:t xml:space="preserve">ncer, and normal samples. </w:t>
      </w:r>
      <w:r w:rsidR="00227439" w:rsidRPr="003E3986">
        <w:rPr>
          <w:rFonts w:ascii="Arial" w:hAnsi="Arial" w:cs="Arial"/>
          <w:sz w:val="24"/>
          <w:szCs w:val="24"/>
        </w:rPr>
        <w:t xml:space="preserve">h. Roc curves showed the discriminant ability in </w:t>
      </w:r>
      <w:r w:rsidR="0003791D" w:rsidRPr="003E3986">
        <w:rPr>
          <w:rFonts w:ascii="Arial" w:hAnsi="Arial" w:cs="Arial"/>
          <w:sz w:val="24"/>
          <w:szCs w:val="24"/>
        </w:rPr>
        <w:t>benign prostate disease</w:t>
      </w:r>
      <w:r w:rsidR="00227439" w:rsidRPr="003E3986">
        <w:rPr>
          <w:rFonts w:ascii="Arial" w:hAnsi="Arial" w:cs="Arial"/>
          <w:sz w:val="24"/>
          <w:szCs w:val="24"/>
        </w:rPr>
        <w:t xml:space="preserve"> and </w:t>
      </w:r>
      <w:r w:rsidR="0003791D" w:rsidRPr="003E3986">
        <w:rPr>
          <w:rFonts w:ascii="Arial" w:hAnsi="Arial" w:cs="Arial"/>
          <w:sz w:val="24"/>
          <w:szCs w:val="24"/>
        </w:rPr>
        <w:t xml:space="preserve">prostate </w:t>
      </w:r>
      <w:r w:rsidR="0003791D" w:rsidRPr="003E3986">
        <w:rPr>
          <w:rFonts w:ascii="Arial" w:hAnsi="Arial" w:cs="Arial" w:hint="eastAsia"/>
          <w:sz w:val="24"/>
          <w:szCs w:val="24"/>
        </w:rPr>
        <w:t>ca</w:t>
      </w:r>
      <w:r w:rsidR="0003791D" w:rsidRPr="003E3986">
        <w:rPr>
          <w:rFonts w:ascii="Arial" w:hAnsi="Arial" w:cs="Arial"/>
          <w:sz w:val="24"/>
          <w:szCs w:val="24"/>
        </w:rPr>
        <w:t>ncer</w:t>
      </w:r>
      <w:r w:rsidR="00227439" w:rsidRPr="003E3986">
        <w:rPr>
          <w:rFonts w:ascii="Arial" w:hAnsi="Arial" w:cs="Arial"/>
          <w:sz w:val="24"/>
          <w:szCs w:val="24"/>
        </w:rPr>
        <w:t>.</w:t>
      </w:r>
      <w:r w:rsidR="0003791D" w:rsidRPr="003E3986">
        <w:rPr>
          <w:rFonts w:ascii="Arial" w:hAnsi="Arial" w:cs="Arial"/>
          <w:sz w:val="24"/>
          <w:szCs w:val="24"/>
        </w:rPr>
        <w:t xml:space="preserve"> </w:t>
      </w:r>
      <w:proofErr w:type="spellStart"/>
      <w:r w:rsidR="0003791D" w:rsidRPr="003E3986">
        <w:rPr>
          <w:rFonts w:ascii="Arial" w:hAnsi="Arial" w:cs="Arial"/>
          <w:sz w:val="24"/>
          <w:szCs w:val="24"/>
        </w:rPr>
        <w:t>i</w:t>
      </w:r>
      <w:proofErr w:type="spellEnd"/>
      <w:r w:rsidR="0003791D" w:rsidRPr="003E3986">
        <w:rPr>
          <w:rFonts w:ascii="Arial" w:hAnsi="Arial" w:cs="Arial"/>
          <w:sz w:val="24"/>
          <w:szCs w:val="24"/>
        </w:rPr>
        <w:t xml:space="preserve">. The diagnostic index of benign ovarian disease, ovarian </w:t>
      </w:r>
      <w:r w:rsidR="0003791D" w:rsidRPr="003E3986">
        <w:rPr>
          <w:rFonts w:ascii="Arial" w:hAnsi="Arial" w:cs="Arial" w:hint="eastAsia"/>
          <w:sz w:val="24"/>
          <w:szCs w:val="24"/>
        </w:rPr>
        <w:t>ca</w:t>
      </w:r>
      <w:r w:rsidR="0003791D" w:rsidRPr="003E3986">
        <w:rPr>
          <w:rFonts w:ascii="Arial" w:hAnsi="Arial" w:cs="Arial"/>
          <w:sz w:val="24"/>
          <w:szCs w:val="24"/>
        </w:rPr>
        <w:t xml:space="preserve">ncer, and normal samples. j. Roc curves showed the discriminant ability in benign ovarian disease and ovarian </w:t>
      </w:r>
      <w:r w:rsidR="0003791D" w:rsidRPr="003E3986">
        <w:rPr>
          <w:rFonts w:ascii="Arial" w:hAnsi="Arial" w:cs="Arial" w:hint="eastAsia"/>
          <w:sz w:val="24"/>
          <w:szCs w:val="24"/>
        </w:rPr>
        <w:t>ca</w:t>
      </w:r>
      <w:r w:rsidR="0003791D" w:rsidRPr="003E3986">
        <w:rPr>
          <w:rFonts w:ascii="Arial" w:hAnsi="Arial" w:cs="Arial"/>
          <w:sz w:val="24"/>
          <w:szCs w:val="24"/>
        </w:rPr>
        <w:t>ncer.</w:t>
      </w:r>
      <w:r w:rsidR="00C6189C">
        <w:rPr>
          <w:rFonts w:ascii="Arial" w:hAnsi="Arial" w:cs="Arial"/>
          <w:sz w:val="24"/>
          <w:szCs w:val="24"/>
        </w:rPr>
        <w:fldChar w:fldCharType="begin"/>
      </w:r>
      <w:r w:rsidR="00C6189C">
        <w:rPr>
          <w:rFonts w:ascii="Arial" w:hAnsi="Arial" w:cs="Arial"/>
          <w:sz w:val="24"/>
          <w:szCs w:val="24"/>
        </w:rPr>
        <w:instrText xml:space="preserve"> ADDIN NE.Bib</w:instrText>
      </w:r>
      <w:r w:rsidR="00C6189C">
        <w:rPr>
          <w:rFonts w:ascii="Arial" w:hAnsi="Arial" w:cs="Arial"/>
          <w:sz w:val="24"/>
          <w:szCs w:val="24"/>
        </w:rPr>
        <w:fldChar w:fldCharType="separate"/>
      </w:r>
    </w:p>
    <w:p w14:paraId="33390A52" w14:textId="77777777" w:rsidR="000546D5" w:rsidRDefault="000546D5">
      <w:pPr>
        <w:widowControl/>
        <w:jc w:val="left"/>
        <w:rPr>
          <w:rFonts w:ascii="Times New Roman" w:hAnsi="Times New Roman" w:cs="Times New Roman"/>
          <w:b/>
          <w:bCs/>
          <w:color w:val="000000"/>
          <w:kern w:val="0"/>
          <w:sz w:val="28"/>
          <w:szCs w:val="28"/>
        </w:rPr>
      </w:pPr>
      <w:r>
        <w:rPr>
          <w:rFonts w:ascii="Times New Roman" w:hAnsi="Times New Roman" w:cs="Times New Roman"/>
          <w:b/>
          <w:bCs/>
          <w:color w:val="000000"/>
          <w:kern w:val="0"/>
          <w:sz w:val="28"/>
          <w:szCs w:val="28"/>
        </w:rPr>
        <w:br w:type="page"/>
      </w:r>
    </w:p>
    <w:p w14:paraId="24C67BCA" w14:textId="6F7694D8" w:rsidR="00BD5994" w:rsidRDefault="00BD5994" w:rsidP="00BD5994">
      <w:pPr>
        <w:autoSpaceDE w:val="0"/>
        <w:autoSpaceDN w:val="0"/>
        <w:adjustRightInd w:val="0"/>
        <w:jc w:val="left"/>
        <w:rPr>
          <w:rFonts w:ascii="Times New Roman" w:hAnsi="Times New Roman" w:cs="Times New Roman"/>
          <w:kern w:val="0"/>
          <w:sz w:val="24"/>
          <w:szCs w:val="24"/>
        </w:rPr>
      </w:pPr>
      <w:r>
        <w:rPr>
          <w:rFonts w:ascii="Times New Roman" w:hAnsi="Times New Roman" w:cs="Times New Roman"/>
          <w:b/>
          <w:bCs/>
          <w:color w:val="000000"/>
          <w:kern w:val="0"/>
          <w:sz w:val="28"/>
          <w:szCs w:val="28"/>
        </w:rPr>
        <w:lastRenderedPageBreak/>
        <w:t>References</w:t>
      </w:r>
    </w:p>
    <w:p w14:paraId="6D87AFA6" w14:textId="77777777" w:rsidR="00BD5994" w:rsidRDefault="00BD5994" w:rsidP="00BD5994">
      <w:pPr>
        <w:autoSpaceDE w:val="0"/>
        <w:autoSpaceDN w:val="0"/>
        <w:adjustRightInd w:val="0"/>
        <w:ind w:left="580" w:hanging="4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1.</w:t>
      </w:r>
      <w:r>
        <w:rPr>
          <w:rFonts w:ascii="Times New Roman" w:hAnsi="Times New Roman" w:cs="Times New Roman"/>
          <w:color w:val="000000"/>
          <w:kern w:val="0"/>
          <w:sz w:val="20"/>
          <w:szCs w:val="20"/>
        </w:rPr>
        <w:tab/>
      </w:r>
      <w:bookmarkStart w:id="17" w:name="_nebCEBB8EEE_672F_474F_919C_036EC0CCA957"/>
      <w:r>
        <w:rPr>
          <w:rFonts w:ascii="Times New Roman" w:hAnsi="Times New Roman" w:cs="Times New Roman"/>
          <w:color w:val="000000"/>
          <w:kern w:val="0"/>
          <w:sz w:val="20"/>
          <w:szCs w:val="20"/>
        </w:rPr>
        <w:t>Asakura K, Kadota T, Matsuzaki J, Yoshida Y, Yamamoto Y, Nakagawa K, Takizawa S, Aoki Y, Nakamura E, Miura J, et al. A mirna-based diagnostic model predicts resectable lung cancer in humans with  high accuracy. Commun Biol. 2020;3(1):134. https://doi.org/10.1038/s42003-020-0863-y.</w:t>
      </w:r>
      <w:bookmarkEnd w:id="17"/>
    </w:p>
    <w:p w14:paraId="096A6726" w14:textId="77777777" w:rsidR="00BD5994" w:rsidRDefault="00BD5994" w:rsidP="00BD5994">
      <w:pPr>
        <w:autoSpaceDE w:val="0"/>
        <w:autoSpaceDN w:val="0"/>
        <w:adjustRightInd w:val="0"/>
        <w:ind w:left="580" w:hanging="4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2.</w:t>
      </w:r>
      <w:r>
        <w:rPr>
          <w:rFonts w:ascii="Times New Roman" w:hAnsi="Times New Roman" w:cs="Times New Roman"/>
          <w:color w:val="000000"/>
          <w:kern w:val="0"/>
          <w:sz w:val="20"/>
          <w:szCs w:val="20"/>
        </w:rPr>
        <w:tab/>
      </w:r>
      <w:bookmarkStart w:id="18" w:name="_neb5DC5137C_9D46_4F47_9896_3FE8B5904308"/>
      <w:r>
        <w:rPr>
          <w:rFonts w:ascii="Times New Roman" w:hAnsi="Times New Roman" w:cs="Times New Roman"/>
          <w:color w:val="000000"/>
          <w:kern w:val="0"/>
          <w:sz w:val="20"/>
          <w:szCs w:val="20"/>
        </w:rPr>
        <w:t>Sudo K, Kato K, Matsuzaki J, Boku N, Abe S, Saito Y, Daiko H, Takizawa S, Aoki Y, Sakamoto H, et al. Development and validation of an esophageal squamous cell carcinoma detection  model by large-scale microrna profiling. JAMA Netw Open. 2019;2(5):e194573. https://doi.org/10.1001/jamanetworkopen.2019.4573.</w:t>
      </w:r>
      <w:bookmarkEnd w:id="18"/>
    </w:p>
    <w:p w14:paraId="5203C963" w14:textId="77777777" w:rsidR="00BD5994" w:rsidRDefault="00BD5994" w:rsidP="00BD5994">
      <w:pPr>
        <w:autoSpaceDE w:val="0"/>
        <w:autoSpaceDN w:val="0"/>
        <w:adjustRightInd w:val="0"/>
        <w:ind w:left="580" w:hanging="4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3.</w:t>
      </w:r>
      <w:r>
        <w:rPr>
          <w:rFonts w:ascii="Times New Roman" w:hAnsi="Times New Roman" w:cs="Times New Roman"/>
          <w:color w:val="000000"/>
          <w:kern w:val="0"/>
          <w:sz w:val="20"/>
          <w:szCs w:val="20"/>
        </w:rPr>
        <w:tab/>
      </w:r>
      <w:bookmarkStart w:id="19" w:name="_nebCEE32DA6_5743_4A0C_AC09_92AE2EABE97B"/>
      <w:r>
        <w:rPr>
          <w:rFonts w:ascii="Times New Roman" w:hAnsi="Times New Roman" w:cs="Times New Roman"/>
          <w:color w:val="000000"/>
          <w:kern w:val="0"/>
          <w:sz w:val="20"/>
          <w:szCs w:val="20"/>
        </w:rPr>
        <w:t>Asano N, Matsuzaki J, Ichikawa M, Kawauchi J, Takizawa S, Aoki Y, Sakamoto H, Yoshida A, Kobayashi E, Tanzawa Y, et al. A serum microrna classifier for the diagnosis of sarcomas of various histological  subtypes. Nat Commun. 2019;10(1):1299. https://doi.org/10.1038/s41467-019-09143-8.</w:t>
      </w:r>
      <w:bookmarkEnd w:id="19"/>
    </w:p>
    <w:p w14:paraId="7651B7B9" w14:textId="77777777" w:rsidR="00BD5994" w:rsidRDefault="00BD5994" w:rsidP="00BD5994">
      <w:pPr>
        <w:autoSpaceDE w:val="0"/>
        <w:autoSpaceDN w:val="0"/>
        <w:adjustRightInd w:val="0"/>
        <w:ind w:left="580" w:hanging="4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4.</w:t>
      </w:r>
      <w:r>
        <w:rPr>
          <w:rFonts w:ascii="Times New Roman" w:hAnsi="Times New Roman" w:cs="Times New Roman"/>
          <w:color w:val="000000"/>
          <w:kern w:val="0"/>
          <w:sz w:val="20"/>
          <w:szCs w:val="20"/>
        </w:rPr>
        <w:tab/>
      </w:r>
      <w:bookmarkStart w:id="20" w:name="_neb91B006FB_CC24_4268_A22B_CAA1B1C28DCD"/>
      <w:r>
        <w:rPr>
          <w:rFonts w:ascii="Times New Roman" w:hAnsi="Times New Roman" w:cs="Times New Roman"/>
          <w:color w:val="000000"/>
          <w:kern w:val="0"/>
          <w:sz w:val="20"/>
          <w:szCs w:val="20"/>
        </w:rPr>
        <w:t>Usuba W, Urabe F, Yamamoto Y, Matsuzaki J, Sasaki H, Ichikawa M, Takizawa S, Aoki Y, Niida S, Kato K, et al. Circulating mirna panels for specific and early detection in bladder cancer. Cancer Sci. 2019;110(1):408-19. https://doi.org/10.1111/cas.13856.</w:t>
      </w:r>
      <w:bookmarkEnd w:id="20"/>
    </w:p>
    <w:p w14:paraId="38022F77" w14:textId="77777777" w:rsidR="00BD5994" w:rsidRDefault="00BD5994" w:rsidP="00BD5994">
      <w:pPr>
        <w:autoSpaceDE w:val="0"/>
        <w:autoSpaceDN w:val="0"/>
        <w:adjustRightInd w:val="0"/>
        <w:ind w:left="580" w:hanging="4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5.</w:t>
      </w:r>
      <w:r>
        <w:rPr>
          <w:rFonts w:ascii="Times New Roman" w:hAnsi="Times New Roman" w:cs="Times New Roman"/>
          <w:color w:val="000000"/>
          <w:kern w:val="0"/>
          <w:sz w:val="20"/>
          <w:szCs w:val="20"/>
        </w:rPr>
        <w:tab/>
      </w:r>
      <w:bookmarkStart w:id="21" w:name="_neb2EAB544F_5386_43B4_9ECE_E19C1E014273"/>
      <w:r>
        <w:rPr>
          <w:rFonts w:ascii="Times New Roman" w:hAnsi="Times New Roman" w:cs="Times New Roman"/>
          <w:color w:val="000000"/>
          <w:kern w:val="0"/>
          <w:sz w:val="20"/>
          <w:szCs w:val="20"/>
        </w:rPr>
        <w:t>Yokoi A, Matsuzaki J, Yamamoto Y, Yoneoka Y, Takahashi K, Shimizu H, Uehara T, Ishikawa M, Ikeda SI, Sonoda T, et al. Integrated extracellular microrna profiling for ovarian cancer screening. Nat Commun. 2018;9(1):4319. https://doi.org/10.1038/s41467-018-06434-4.</w:t>
      </w:r>
      <w:bookmarkEnd w:id="21"/>
    </w:p>
    <w:p w14:paraId="46E3BA6D" w14:textId="77777777" w:rsidR="00BD5994" w:rsidRDefault="00BD5994" w:rsidP="00BD5994">
      <w:pPr>
        <w:autoSpaceDE w:val="0"/>
        <w:autoSpaceDN w:val="0"/>
        <w:adjustRightInd w:val="0"/>
        <w:ind w:left="580" w:hanging="4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w:t>
      </w:r>
      <w:r w:rsidRPr="00E42743">
        <w:rPr>
          <w:rFonts w:ascii="Times New Roman" w:hAnsi="Times New Roman" w:cs="Times New Roman"/>
          <w:color w:val="000000"/>
          <w:kern w:val="0"/>
          <w:sz w:val="20"/>
          <w:szCs w:val="20"/>
          <w:highlight w:val="cyan"/>
        </w:rPr>
        <w:t>6.</w:t>
      </w:r>
      <w:r w:rsidRPr="00E42743">
        <w:rPr>
          <w:rFonts w:ascii="Times New Roman" w:hAnsi="Times New Roman" w:cs="Times New Roman"/>
          <w:color w:val="000000"/>
          <w:kern w:val="0"/>
          <w:sz w:val="20"/>
          <w:szCs w:val="20"/>
          <w:highlight w:val="cyan"/>
        </w:rPr>
        <w:tab/>
      </w:r>
      <w:bookmarkStart w:id="22" w:name="_nebEF61E882_05B0_4F01_9E5D_360E7C014349"/>
      <w:r w:rsidRPr="00E42743">
        <w:rPr>
          <w:rFonts w:ascii="Times New Roman" w:hAnsi="Times New Roman" w:cs="Times New Roman"/>
          <w:color w:val="000000"/>
          <w:kern w:val="0"/>
          <w:sz w:val="20"/>
          <w:szCs w:val="20"/>
          <w:highlight w:val="cyan"/>
        </w:rPr>
        <w:t>Zhang A, Hu H. A novel blood-based microrna diagnostic model with high accuracy for multi-cancer  early detection. Cancers (Basel). 2022;14(6). https://doi.org/10.3390/cancers14061450.</w:t>
      </w:r>
      <w:bookmarkEnd w:id="22"/>
    </w:p>
    <w:p w14:paraId="2973CB67" w14:textId="77777777" w:rsidR="00BD5994" w:rsidRDefault="00BD5994" w:rsidP="00BD5994">
      <w:pPr>
        <w:autoSpaceDE w:val="0"/>
        <w:autoSpaceDN w:val="0"/>
        <w:adjustRightInd w:val="0"/>
        <w:ind w:left="580" w:hanging="4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7.</w:t>
      </w:r>
      <w:r>
        <w:rPr>
          <w:rFonts w:ascii="Times New Roman" w:hAnsi="Times New Roman" w:cs="Times New Roman"/>
          <w:color w:val="000000"/>
          <w:kern w:val="0"/>
          <w:sz w:val="20"/>
          <w:szCs w:val="20"/>
        </w:rPr>
        <w:tab/>
      </w:r>
      <w:bookmarkStart w:id="23" w:name="_neb41347CB2_19B2_4F1A_ABB2_6AAF7A0B8930"/>
      <w:r>
        <w:rPr>
          <w:rFonts w:ascii="Times New Roman" w:hAnsi="Times New Roman" w:cs="Times New Roman"/>
          <w:color w:val="000000"/>
          <w:kern w:val="0"/>
          <w:sz w:val="20"/>
          <w:szCs w:val="20"/>
        </w:rPr>
        <w:t>Yamamoto Y, Kondo S, Matsuzaki J, Esaki M, Okusaka T, Shimada K, Murakami Y, Enomoto M, Tamori A, Kato K, et al. Highly sensitive circulating microrna panel for accurate detection of  hepatocellular carcinoma in patients with liver disease. Hepatol Commun. 2020;4(2):284-97. https://doi.org/10.1002/hep4.1451.</w:t>
      </w:r>
      <w:bookmarkEnd w:id="23"/>
    </w:p>
    <w:p w14:paraId="5A4F0628" w14:textId="77777777" w:rsidR="00BD5994" w:rsidRDefault="00BD5994" w:rsidP="00BD5994">
      <w:pPr>
        <w:autoSpaceDE w:val="0"/>
        <w:autoSpaceDN w:val="0"/>
        <w:adjustRightInd w:val="0"/>
        <w:ind w:left="580" w:hanging="4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8.</w:t>
      </w:r>
      <w:r>
        <w:rPr>
          <w:rFonts w:ascii="Times New Roman" w:hAnsi="Times New Roman" w:cs="Times New Roman"/>
          <w:color w:val="000000"/>
          <w:kern w:val="0"/>
          <w:sz w:val="20"/>
          <w:szCs w:val="20"/>
        </w:rPr>
        <w:tab/>
      </w:r>
      <w:bookmarkStart w:id="24" w:name="_nebF0204A2E_C118_46B3_B3BC_5FD467EA9E24"/>
      <w:r>
        <w:rPr>
          <w:rFonts w:ascii="Times New Roman" w:hAnsi="Times New Roman" w:cs="Times New Roman"/>
          <w:color w:val="000000"/>
          <w:kern w:val="0"/>
          <w:sz w:val="20"/>
          <w:szCs w:val="20"/>
        </w:rPr>
        <w:t>Urabe F, Matsuzaki J, Yamamoto Y, Kimura T, Hara T, Ichikawa M, Takizawa S, Aoki Y, Niida S, Sakamoto H, et al. Large-scale circulating microrna profiling for the liquid biopsy of prostate  cancer. Clin Cancer Res. 2019;25(10):3016-25. https://doi.org/10.1158/1078-0432.CCR-18-2849.</w:t>
      </w:r>
      <w:bookmarkEnd w:id="24"/>
    </w:p>
    <w:p w14:paraId="24AC2146" w14:textId="77777777" w:rsidR="00BD5994" w:rsidRDefault="00BD5994" w:rsidP="00BD5994">
      <w:pPr>
        <w:autoSpaceDE w:val="0"/>
        <w:autoSpaceDN w:val="0"/>
        <w:adjustRightInd w:val="0"/>
        <w:ind w:left="580" w:hanging="4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9.</w:t>
      </w:r>
      <w:r>
        <w:rPr>
          <w:rFonts w:ascii="Times New Roman" w:hAnsi="Times New Roman" w:cs="Times New Roman"/>
          <w:color w:val="000000"/>
          <w:kern w:val="0"/>
          <w:sz w:val="20"/>
          <w:szCs w:val="20"/>
        </w:rPr>
        <w:tab/>
      </w:r>
      <w:bookmarkStart w:id="25" w:name="_neb8F2CF2C7_D5C7_44C1_8FB0_2AF0A0B4B3D1"/>
      <w:r>
        <w:rPr>
          <w:rFonts w:ascii="Times New Roman" w:hAnsi="Times New Roman" w:cs="Times New Roman"/>
          <w:color w:val="000000"/>
          <w:kern w:val="0"/>
          <w:sz w:val="20"/>
          <w:szCs w:val="20"/>
        </w:rPr>
        <w:t>Ohno M, Matsuzaki J, Kawauchi J, Aoki Y, Miura J, Takizawa S, Kato K, Sakamoto H, Matsushita Y, Takahashi M, et al. Assessment of the diagnostic utility of serum microrna classification in patients  with diffuse glioma. JAMA Netw Open. 2019;2(12):e1916953. https://doi.org/10.1001/jamanetworkopen.2019.16953.</w:t>
      </w:r>
      <w:bookmarkEnd w:id="25"/>
    </w:p>
    <w:p w14:paraId="7A852DC1" w14:textId="77777777" w:rsidR="00BD5994" w:rsidRDefault="00BD5994" w:rsidP="00BD5994">
      <w:pPr>
        <w:autoSpaceDE w:val="0"/>
        <w:autoSpaceDN w:val="0"/>
        <w:adjustRightInd w:val="0"/>
        <w:ind w:left="580" w:hanging="420"/>
        <w:rPr>
          <w:rFonts w:ascii="Times New Roman" w:hAnsi="Times New Roman" w:cs="Times New Roman"/>
          <w:kern w:val="0"/>
          <w:sz w:val="24"/>
          <w:szCs w:val="24"/>
        </w:rPr>
      </w:pPr>
      <w:r>
        <w:rPr>
          <w:rFonts w:ascii="Times New Roman" w:hAnsi="Times New Roman" w:cs="Times New Roman"/>
          <w:color w:val="000000"/>
          <w:kern w:val="0"/>
          <w:sz w:val="20"/>
          <w:szCs w:val="20"/>
        </w:rPr>
        <w:t>10.</w:t>
      </w:r>
      <w:r>
        <w:rPr>
          <w:rFonts w:ascii="Times New Roman" w:hAnsi="Times New Roman" w:cs="Times New Roman"/>
          <w:color w:val="000000"/>
          <w:kern w:val="0"/>
          <w:sz w:val="20"/>
          <w:szCs w:val="20"/>
        </w:rPr>
        <w:tab/>
      </w:r>
      <w:bookmarkStart w:id="26" w:name="_nebDA6B6C1A_C02A_4AFD_87E3_1A448AE351A1"/>
      <w:r>
        <w:rPr>
          <w:rFonts w:ascii="Times New Roman" w:hAnsi="Times New Roman" w:cs="Times New Roman"/>
          <w:color w:val="000000"/>
          <w:kern w:val="0"/>
          <w:sz w:val="20"/>
          <w:szCs w:val="20"/>
        </w:rPr>
        <w:t>Shimomura A, Shiino S, Kawauchi J, Takizawa S, Sakamoto H, Matsuzaki J, Ono M, Takeshita F, Niida S, Shimizu C, et al. Novel combination of serum microrna for detecting breast cancer in the early  stage. Cancer Sci. 2016;107(3):326-34. https://doi.org/10.1111/cas.12880.</w:t>
      </w:r>
      <w:bookmarkEnd w:id="26"/>
    </w:p>
    <w:p w14:paraId="62392F36" w14:textId="77777777" w:rsidR="00BD5994" w:rsidRDefault="00BD5994" w:rsidP="00BD5994">
      <w:pPr>
        <w:autoSpaceDE w:val="0"/>
        <w:autoSpaceDN w:val="0"/>
        <w:adjustRightInd w:val="0"/>
        <w:ind w:left="580" w:hanging="420"/>
        <w:rPr>
          <w:rFonts w:ascii="Times New Roman" w:hAnsi="Times New Roman" w:cs="Times New Roman"/>
          <w:kern w:val="0"/>
          <w:sz w:val="24"/>
          <w:szCs w:val="24"/>
        </w:rPr>
      </w:pPr>
      <w:r w:rsidRPr="00E42743">
        <w:rPr>
          <w:rFonts w:ascii="Times New Roman" w:hAnsi="Times New Roman" w:cs="Times New Roman"/>
          <w:color w:val="000000"/>
          <w:kern w:val="0"/>
          <w:sz w:val="20"/>
          <w:szCs w:val="20"/>
          <w:highlight w:val="cyan"/>
        </w:rPr>
        <w:t>11.</w:t>
      </w:r>
      <w:r w:rsidRPr="00E42743">
        <w:rPr>
          <w:rFonts w:ascii="Times New Roman" w:hAnsi="Times New Roman" w:cs="Times New Roman"/>
          <w:color w:val="000000"/>
          <w:kern w:val="0"/>
          <w:sz w:val="20"/>
          <w:szCs w:val="20"/>
          <w:highlight w:val="cyan"/>
        </w:rPr>
        <w:tab/>
      </w:r>
      <w:bookmarkStart w:id="27" w:name="_nebFB99D7D0_B33F_48C7_95E7_0D7330FB495F"/>
      <w:r w:rsidRPr="00E42743">
        <w:rPr>
          <w:rFonts w:ascii="Times New Roman" w:hAnsi="Times New Roman" w:cs="Times New Roman"/>
          <w:color w:val="000000"/>
          <w:kern w:val="0"/>
          <w:sz w:val="20"/>
          <w:szCs w:val="20"/>
          <w:highlight w:val="cyan"/>
        </w:rPr>
        <w:t>Gene ontology consortium: going forward. Nucleic Acids Res. 2015;43(Database issue):D1049-56. https://doi.org/10.1093/nar/gku1179.</w:t>
      </w:r>
      <w:bookmarkEnd w:id="27"/>
    </w:p>
    <w:p w14:paraId="46D50C40" w14:textId="77777777" w:rsidR="00BD5994" w:rsidRDefault="00BD5994" w:rsidP="00BD5994">
      <w:pPr>
        <w:autoSpaceDE w:val="0"/>
        <w:autoSpaceDN w:val="0"/>
        <w:adjustRightInd w:val="0"/>
        <w:ind w:left="580" w:hanging="420"/>
        <w:rPr>
          <w:rFonts w:ascii="Times New Roman" w:hAnsi="Times New Roman" w:cs="Times New Roman"/>
          <w:kern w:val="0"/>
          <w:sz w:val="24"/>
          <w:szCs w:val="24"/>
        </w:rPr>
      </w:pPr>
      <w:r w:rsidRPr="00E42743">
        <w:rPr>
          <w:rFonts w:ascii="Times New Roman" w:hAnsi="Times New Roman" w:cs="Times New Roman"/>
          <w:color w:val="000000"/>
          <w:kern w:val="0"/>
          <w:sz w:val="20"/>
          <w:szCs w:val="20"/>
          <w:highlight w:val="cyan"/>
        </w:rPr>
        <w:t>12.</w:t>
      </w:r>
      <w:r w:rsidRPr="00E42743">
        <w:rPr>
          <w:rFonts w:ascii="Times New Roman" w:hAnsi="Times New Roman" w:cs="Times New Roman"/>
          <w:color w:val="000000"/>
          <w:kern w:val="0"/>
          <w:sz w:val="20"/>
          <w:szCs w:val="20"/>
          <w:highlight w:val="cyan"/>
        </w:rPr>
        <w:tab/>
      </w:r>
      <w:bookmarkStart w:id="28" w:name="_nebD762C159_D47A_4ACB_A376_E3AD8F3478DD"/>
      <w:r w:rsidRPr="00E42743">
        <w:rPr>
          <w:rFonts w:ascii="Times New Roman" w:hAnsi="Times New Roman" w:cs="Times New Roman"/>
          <w:color w:val="000000"/>
          <w:kern w:val="0"/>
          <w:sz w:val="20"/>
          <w:szCs w:val="20"/>
          <w:highlight w:val="cyan"/>
        </w:rPr>
        <w:t>Lewis BP, Shih IH, Jones-Rhoades MW, Bartel DP, Burge CB. Prediction of mammalian microrna targets. Cell. 2003;115(7):787-98. https://doi.org/10.1016/s0092-8674(03)01018-3.</w:t>
      </w:r>
      <w:bookmarkEnd w:id="28"/>
    </w:p>
    <w:p w14:paraId="7643C0B9" w14:textId="77777777" w:rsidR="00BD5994" w:rsidRDefault="00BD5994" w:rsidP="00BD5994">
      <w:pPr>
        <w:autoSpaceDE w:val="0"/>
        <w:autoSpaceDN w:val="0"/>
        <w:adjustRightInd w:val="0"/>
        <w:ind w:left="580" w:hanging="420"/>
        <w:rPr>
          <w:rFonts w:ascii="Times New Roman" w:hAnsi="Times New Roman" w:cs="Times New Roman"/>
          <w:kern w:val="0"/>
          <w:sz w:val="24"/>
          <w:szCs w:val="24"/>
        </w:rPr>
      </w:pPr>
      <w:r w:rsidRPr="00E42743">
        <w:rPr>
          <w:rFonts w:ascii="Times New Roman" w:hAnsi="Times New Roman" w:cs="Times New Roman"/>
          <w:color w:val="000000"/>
          <w:kern w:val="0"/>
          <w:sz w:val="20"/>
          <w:szCs w:val="20"/>
          <w:highlight w:val="cyan"/>
        </w:rPr>
        <w:t>13.</w:t>
      </w:r>
      <w:r w:rsidRPr="00E42743">
        <w:rPr>
          <w:rFonts w:ascii="Times New Roman" w:hAnsi="Times New Roman" w:cs="Times New Roman"/>
          <w:color w:val="000000"/>
          <w:kern w:val="0"/>
          <w:sz w:val="20"/>
          <w:szCs w:val="20"/>
          <w:highlight w:val="cyan"/>
        </w:rPr>
        <w:tab/>
      </w:r>
      <w:bookmarkStart w:id="29" w:name="_neb6E921972_C590_4DDF_A719_E2D711BB5A0A"/>
      <w:r w:rsidRPr="00E42743">
        <w:rPr>
          <w:rFonts w:ascii="Times New Roman" w:hAnsi="Times New Roman" w:cs="Times New Roman"/>
          <w:color w:val="000000"/>
          <w:kern w:val="0"/>
          <w:sz w:val="20"/>
          <w:szCs w:val="20"/>
          <w:highlight w:val="cyan"/>
        </w:rPr>
        <w:t>Huang HY, Lin YC, Cui S, Huang Y, Tang Y, Xu J, Bao J, Li Y, Wen J, Zuo H, et al. Mirtarbase update 2022: an informative resource for experimentally validated  mirna-target interactions. Nucleic Acids Res. 2022;50(D1):D222-30. https://doi.org/10.1093/nar/gkab1079.</w:t>
      </w:r>
      <w:bookmarkEnd w:id="29"/>
    </w:p>
    <w:p w14:paraId="2045725E" w14:textId="77777777" w:rsidR="00BD5994" w:rsidRDefault="00BD5994" w:rsidP="00BD5994">
      <w:pPr>
        <w:autoSpaceDE w:val="0"/>
        <w:autoSpaceDN w:val="0"/>
        <w:adjustRightInd w:val="0"/>
        <w:ind w:left="580" w:hanging="420"/>
        <w:rPr>
          <w:rFonts w:ascii="Times New Roman" w:hAnsi="Times New Roman" w:cs="Times New Roman"/>
          <w:kern w:val="0"/>
          <w:sz w:val="24"/>
          <w:szCs w:val="24"/>
        </w:rPr>
      </w:pPr>
      <w:r w:rsidRPr="00E42743">
        <w:rPr>
          <w:rFonts w:ascii="Times New Roman" w:hAnsi="Times New Roman" w:cs="Times New Roman"/>
          <w:color w:val="000000"/>
          <w:kern w:val="0"/>
          <w:sz w:val="20"/>
          <w:szCs w:val="20"/>
          <w:highlight w:val="cyan"/>
        </w:rPr>
        <w:t>14.</w:t>
      </w:r>
      <w:r w:rsidRPr="00E42743">
        <w:rPr>
          <w:rFonts w:ascii="Times New Roman" w:hAnsi="Times New Roman" w:cs="Times New Roman"/>
          <w:color w:val="000000"/>
          <w:kern w:val="0"/>
          <w:sz w:val="20"/>
          <w:szCs w:val="20"/>
          <w:highlight w:val="cyan"/>
        </w:rPr>
        <w:tab/>
      </w:r>
      <w:bookmarkStart w:id="30" w:name="_neb47EA00D5_DD70_41FF_9CE2_BDDC15C3CBF7"/>
      <w:r w:rsidRPr="00E42743">
        <w:rPr>
          <w:rFonts w:ascii="Times New Roman" w:hAnsi="Times New Roman" w:cs="Times New Roman"/>
          <w:color w:val="000000"/>
          <w:kern w:val="0"/>
          <w:sz w:val="20"/>
          <w:szCs w:val="20"/>
          <w:highlight w:val="cyan"/>
        </w:rPr>
        <w:t xml:space="preserve">Chen Y, Wang X. Mirdb: an online database for prediction of functional microrna targets. Nucleic </w:t>
      </w:r>
      <w:r w:rsidRPr="00E42743">
        <w:rPr>
          <w:rFonts w:ascii="Times New Roman" w:hAnsi="Times New Roman" w:cs="Times New Roman"/>
          <w:color w:val="000000"/>
          <w:kern w:val="0"/>
          <w:sz w:val="20"/>
          <w:szCs w:val="20"/>
          <w:highlight w:val="cyan"/>
        </w:rPr>
        <w:lastRenderedPageBreak/>
        <w:t>Acids Res. 2020;48(D1):D127-31. https://doi.org/10.1093/nar/gkz757.</w:t>
      </w:r>
      <w:bookmarkEnd w:id="30"/>
    </w:p>
    <w:p w14:paraId="23414F0D" w14:textId="77777777" w:rsidR="00BD5994" w:rsidRDefault="00BD5994" w:rsidP="00BD5994">
      <w:pPr>
        <w:autoSpaceDE w:val="0"/>
        <w:autoSpaceDN w:val="0"/>
        <w:adjustRightInd w:val="0"/>
        <w:ind w:left="580" w:hanging="420"/>
        <w:rPr>
          <w:rFonts w:ascii="Times New Roman" w:hAnsi="Times New Roman" w:cs="Times New Roman"/>
          <w:kern w:val="0"/>
          <w:sz w:val="24"/>
          <w:szCs w:val="24"/>
        </w:rPr>
      </w:pPr>
      <w:r w:rsidRPr="00E42743">
        <w:rPr>
          <w:rFonts w:ascii="Times New Roman" w:hAnsi="Times New Roman" w:cs="Times New Roman"/>
          <w:color w:val="000000"/>
          <w:kern w:val="0"/>
          <w:sz w:val="20"/>
          <w:szCs w:val="20"/>
          <w:highlight w:val="cyan"/>
        </w:rPr>
        <w:t>15.</w:t>
      </w:r>
      <w:r w:rsidRPr="00E42743">
        <w:rPr>
          <w:rFonts w:ascii="Times New Roman" w:hAnsi="Times New Roman" w:cs="Times New Roman"/>
          <w:color w:val="000000"/>
          <w:kern w:val="0"/>
          <w:sz w:val="20"/>
          <w:szCs w:val="20"/>
          <w:highlight w:val="cyan"/>
        </w:rPr>
        <w:tab/>
      </w:r>
      <w:bookmarkStart w:id="31" w:name="_neb86C389A2_E0DF_4C6E_A80A_6C6F31E4CCC9"/>
      <w:r w:rsidRPr="00E42743">
        <w:rPr>
          <w:rFonts w:ascii="Times New Roman" w:hAnsi="Times New Roman" w:cs="Times New Roman"/>
          <w:color w:val="000000"/>
          <w:kern w:val="0"/>
          <w:sz w:val="20"/>
          <w:szCs w:val="20"/>
          <w:highlight w:val="cyan"/>
        </w:rPr>
        <w:t>Dweep H, Sticht C, Pandey P, Gretz N. Mirwalk--database: prediction of possible mirna binding sites by "walking" the  genes of three genomes. J Biomed Inform. 2011;44(5):839-47. https://doi.org/10.1016/j.jbi.2011.05.002.</w:t>
      </w:r>
      <w:bookmarkEnd w:id="31"/>
    </w:p>
    <w:p w14:paraId="1B826377" w14:textId="77777777" w:rsidR="00BD5994" w:rsidRDefault="00BD5994" w:rsidP="00BD5994">
      <w:pPr>
        <w:autoSpaceDE w:val="0"/>
        <w:autoSpaceDN w:val="0"/>
        <w:adjustRightInd w:val="0"/>
        <w:ind w:left="580" w:hanging="420"/>
        <w:rPr>
          <w:rFonts w:ascii="Times New Roman" w:hAnsi="Times New Roman" w:cs="Times New Roman"/>
          <w:kern w:val="0"/>
          <w:sz w:val="24"/>
          <w:szCs w:val="24"/>
        </w:rPr>
      </w:pPr>
      <w:r>
        <w:rPr>
          <w:rFonts w:ascii="Times New Roman" w:hAnsi="Times New Roman" w:cs="Times New Roman"/>
          <w:color w:val="000000"/>
          <w:kern w:val="0"/>
          <w:sz w:val="20"/>
          <w:szCs w:val="20"/>
        </w:rPr>
        <w:t>16.</w:t>
      </w:r>
      <w:r>
        <w:rPr>
          <w:rFonts w:ascii="Times New Roman" w:hAnsi="Times New Roman" w:cs="Times New Roman"/>
          <w:color w:val="000000"/>
          <w:kern w:val="0"/>
          <w:sz w:val="20"/>
          <w:szCs w:val="20"/>
        </w:rPr>
        <w:tab/>
      </w:r>
      <w:bookmarkStart w:id="32" w:name="_nebCDF9BFD2_DA6C_42E7_BAB4_77DE4AE6586A"/>
      <w:r>
        <w:rPr>
          <w:rFonts w:ascii="Times New Roman" w:hAnsi="Times New Roman" w:cs="Times New Roman"/>
          <w:color w:val="000000"/>
          <w:kern w:val="0"/>
          <w:sz w:val="20"/>
          <w:szCs w:val="20"/>
        </w:rPr>
        <w:t>Huang DW, Sherman BT, Lempicki RA. Systematic and integrative analysis of large gene lists using david  bioinformatics resources. Nat Protoc. 2009;4(1):44-57. https://doi.org/10.1038/nprot.2008.211.</w:t>
      </w:r>
      <w:bookmarkEnd w:id="32"/>
    </w:p>
    <w:p w14:paraId="742E997B" w14:textId="77777777" w:rsidR="00BD5994" w:rsidRDefault="00BD5994" w:rsidP="00BD5994">
      <w:pPr>
        <w:autoSpaceDE w:val="0"/>
        <w:autoSpaceDN w:val="0"/>
        <w:adjustRightInd w:val="0"/>
        <w:ind w:left="580" w:hanging="420"/>
        <w:rPr>
          <w:rFonts w:ascii="Times New Roman" w:hAnsi="Times New Roman" w:cs="Times New Roman"/>
          <w:kern w:val="0"/>
          <w:sz w:val="24"/>
          <w:szCs w:val="24"/>
        </w:rPr>
      </w:pPr>
      <w:r>
        <w:rPr>
          <w:rFonts w:ascii="Times New Roman" w:hAnsi="Times New Roman" w:cs="Times New Roman"/>
          <w:color w:val="000000"/>
          <w:kern w:val="0"/>
          <w:sz w:val="20"/>
          <w:szCs w:val="20"/>
        </w:rPr>
        <w:t>17.</w:t>
      </w:r>
      <w:r>
        <w:rPr>
          <w:rFonts w:ascii="Times New Roman" w:hAnsi="Times New Roman" w:cs="Times New Roman"/>
          <w:color w:val="000000"/>
          <w:kern w:val="0"/>
          <w:sz w:val="20"/>
          <w:szCs w:val="20"/>
        </w:rPr>
        <w:tab/>
      </w:r>
      <w:bookmarkStart w:id="33" w:name="_neb39656044_DA1C_4530_95A2_1E75A607ED24"/>
      <w:r>
        <w:rPr>
          <w:rFonts w:ascii="Times New Roman" w:hAnsi="Times New Roman" w:cs="Times New Roman"/>
          <w:color w:val="000000"/>
          <w:kern w:val="0"/>
          <w:sz w:val="20"/>
          <w:szCs w:val="20"/>
        </w:rPr>
        <w:t>Ritchie ME, Phipson B, Wu D, Hu Y, Law CW, Shi W, Smyth GK. Limma powers differential expression analyses for rna-sequencing and microarray  studies. Nucleic Acids Res. 2015;43(7):e47. https://doi.org/10.1093/nar/gkv007.</w:t>
      </w:r>
      <w:bookmarkEnd w:id="33"/>
    </w:p>
    <w:p w14:paraId="3AC2E7F0" w14:textId="77777777" w:rsidR="00BD5994" w:rsidRDefault="00BD5994" w:rsidP="00BD5994">
      <w:pPr>
        <w:autoSpaceDE w:val="0"/>
        <w:autoSpaceDN w:val="0"/>
        <w:adjustRightInd w:val="0"/>
        <w:ind w:left="580" w:hanging="420"/>
        <w:rPr>
          <w:rFonts w:ascii="Times New Roman" w:hAnsi="Times New Roman" w:cs="Times New Roman"/>
          <w:kern w:val="0"/>
          <w:sz w:val="24"/>
          <w:szCs w:val="24"/>
        </w:rPr>
      </w:pPr>
      <w:r w:rsidRPr="00E42743">
        <w:rPr>
          <w:rFonts w:ascii="Times New Roman" w:hAnsi="Times New Roman" w:cs="Times New Roman"/>
          <w:color w:val="000000"/>
          <w:kern w:val="0"/>
          <w:sz w:val="20"/>
          <w:szCs w:val="20"/>
          <w:highlight w:val="cyan"/>
        </w:rPr>
        <w:t>18.</w:t>
      </w:r>
      <w:r w:rsidRPr="00E42743">
        <w:rPr>
          <w:rFonts w:ascii="Times New Roman" w:hAnsi="Times New Roman" w:cs="Times New Roman"/>
          <w:color w:val="000000"/>
          <w:kern w:val="0"/>
          <w:sz w:val="20"/>
          <w:szCs w:val="20"/>
          <w:highlight w:val="cyan"/>
        </w:rPr>
        <w:tab/>
      </w:r>
      <w:bookmarkStart w:id="34" w:name="_neb7C0998B6_6AAF_4DE3_9A45_B2C9991134A4"/>
      <w:r w:rsidRPr="00E42743">
        <w:rPr>
          <w:rFonts w:ascii="Times New Roman" w:hAnsi="Times New Roman" w:cs="Times New Roman"/>
          <w:color w:val="000000"/>
          <w:kern w:val="0"/>
          <w:sz w:val="20"/>
          <w:szCs w:val="20"/>
          <w:highlight w:val="cyan"/>
        </w:rPr>
        <w:t>Tibshirani R. Regression shrinkage and selection via the lasso. Journal of the Royal Statistical Society Series B: Statistical Methodology. 1996;58(1):267-88.</w:t>
      </w:r>
      <w:bookmarkEnd w:id="34"/>
    </w:p>
    <w:p w14:paraId="6248BD86" w14:textId="77777777" w:rsidR="00BD5994" w:rsidRDefault="00BD5994" w:rsidP="00BD5994">
      <w:pPr>
        <w:autoSpaceDE w:val="0"/>
        <w:autoSpaceDN w:val="0"/>
        <w:adjustRightInd w:val="0"/>
        <w:ind w:left="580" w:hanging="420"/>
        <w:rPr>
          <w:rFonts w:ascii="Times New Roman" w:hAnsi="Times New Roman" w:cs="Times New Roman"/>
          <w:kern w:val="0"/>
          <w:sz w:val="24"/>
          <w:szCs w:val="24"/>
        </w:rPr>
      </w:pPr>
      <w:r w:rsidRPr="00E42743">
        <w:rPr>
          <w:rFonts w:ascii="Times New Roman" w:hAnsi="Times New Roman" w:cs="Times New Roman"/>
          <w:color w:val="000000"/>
          <w:kern w:val="0"/>
          <w:sz w:val="20"/>
          <w:szCs w:val="20"/>
          <w:highlight w:val="cyan"/>
        </w:rPr>
        <w:t>19.</w:t>
      </w:r>
      <w:r w:rsidRPr="00E42743">
        <w:rPr>
          <w:rFonts w:ascii="Times New Roman" w:hAnsi="Times New Roman" w:cs="Times New Roman"/>
          <w:color w:val="000000"/>
          <w:kern w:val="0"/>
          <w:sz w:val="20"/>
          <w:szCs w:val="20"/>
          <w:highlight w:val="cyan"/>
        </w:rPr>
        <w:tab/>
      </w:r>
      <w:bookmarkStart w:id="35" w:name="_nebF318DEAC_1384_41CE_8378_33657391DFA9"/>
      <w:r w:rsidRPr="00E42743">
        <w:rPr>
          <w:rFonts w:ascii="Times New Roman" w:hAnsi="Times New Roman" w:cs="Times New Roman"/>
          <w:color w:val="000000"/>
          <w:kern w:val="0"/>
          <w:sz w:val="20"/>
          <w:szCs w:val="20"/>
          <w:highlight w:val="cyan"/>
        </w:rPr>
        <w:t>Boser BE, Guyon IM, Vapnik VN. A training algorithm for optimal margin classifiers. 1992;144-52. https://doi.org/.</w:t>
      </w:r>
      <w:bookmarkEnd w:id="35"/>
    </w:p>
    <w:p w14:paraId="1B9BA7A1" w14:textId="77777777" w:rsidR="00BD5994" w:rsidRPr="00E42743" w:rsidRDefault="00BD5994" w:rsidP="00BD5994">
      <w:pPr>
        <w:autoSpaceDE w:val="0"/>
        <w:autoSpaceDN w:val="0"/>
        <w:adjustRightInd w:val="0"/>
        <w:ind w:left="580" w:hanging="420"/>
        <w:rPr>
          <w:rFonts w:ascii="Times New Roman" w:hAnsi="Times New Roman" w:cs="Times New Roman"/>
          <w:kern w:val="0"/>
          <w:sz w:val="24"/>
          <w:szCs w:val="24"/>
          <w:highlight w:val="cyan"/>
        </w:rPr>
      </w:pPr>
      <w:r w:rsidRPr="00E42743">
        <w:rPr>
          <w:rFonts w:ascii="Times New Roman" w:hAnsi="Times New Roman" w:cs="Times New Roman"/>
          <w:color w:val="000000"/>
          <w:kern w:val="0"/>
          <w:sz w:val="20"/>
          <w:szCs w:val="20"/>
          <w:highlight w:val="cyan"/>
        </w:rPr>
        <w:t>20.</w:t>
      </w:r>
      <w:r w:rsidRPr="00E42743">
        <w:rPr>
          <w:rFonts w:ascii="Times New Roman" w:hAnsi="Times New Roman" w:cs="Times New Roman"/>
          <w:color w:val="000000"/>
          <w:kern w:val="0"/>
          <w:sz w:val="20"/>
          <w:szCs w:val="20"/>
          <w:highlight w:val="cyan"/>
        </w:rPr>
        <w:tab/>
      </w:r>
      <w:bookmarkStart w:id="36" w:name="_neb3380FF16_0EED_41AB_AD28_91B27457AA79"/>
      <w:r w:rsidRPr="00E42743">
        <w:rPr>
          <w:rFonts w:ascii="Times New Roman" w:hAnsi="Times New Roman" w:cs="Times New Roman"/>
          <w:color w:val="000000"/>
          <w:kern w:val="0"/>
          <w:sz w:val="20"/>
          <w:szCs w:val="20"/>
          <w:highlight w:val="cyan"/>
        </w:rPr>
        <w:t>Breiman L. Random forests. Mach Learn. 2001;45(5-32.</w:t>
      </w:r>
      <w:bookmarkEnd w:id="36"/>
    </w:p>
    <w:p w14:paraId="3D7A9F2F" w14:textId="77777777" w:rsidR="00BD5994" w:rsidRDefault="00BD5994" w:rsidP="00BD5994">
      <w:pPr>
        <w:autoSpaceDE w:val="0"/>
        <w:autoSpaceDN w:val="0"/>
        <w:adjustRightInd w:val="0"/>
        <w:ind w:left="580" w:hanging="420"/>
        <w:rPr>
          <w:rFonts w:ascii="Times New Roman" w:hAnsi="Times New Roman" w:cs="Times New Roman"/>
          <w:kern w:val="0"/>
          <w:sz w:val="24"/>
          <w:szCs w:val="24"/>
        </w:rPr>
      </w:pPr>
      <w:r w:rsidRPr="00E42743">
        <w:rPr>
          <w:rFonts w:ascii="Times New Roman" w:hAnsi="Times New Roman" w:cs="Times New Roman"/>
          <w:color w:val="000000"/>
          <w:kern w:val="0"/>
          <w:sz w:val="20"/>
          <w:szCs w:val="20"/>
          <w:highlight w:val="cyan"/>
        </w:rPr>
        <w:t>21.</w:t>
      </w:r>
      <w:r w:rsidRPr="00E42743">
        <w:rPr>
          <w:rFonts w:ascii="Times New Roman" w:hAnsi="Times New Roman" w:cs="Times New Roman"/>
          <w:color w:val="000000"/>
          <w:kern w:val="0"/>
          <w:sz w:val="20"/>
          <w:szCs w:val="20"/>
          <w:highlight w:val="cyan"/>
        </w:rPr>
        <w:tab/>
      </w:r>
      <w:bookmarkStart w:id="37" w:name="_neb3AF02FF9_E76E_416F_AEA4_B07A7E936006"/>
      <w:r w:rsidRPr="00E42743">
        <w:rPr>
          <w:rFonts w:ascii="Times New Roman" w:hAnsi="Times New Roman" w:cs="Times New Roman"/>
          <w:color w:val="000000"/>
          <w:kern w:val="0"/>
          <w:sz w:val="20"/>
          <w:szCs w:val="20"/>
          <w:highlight w:val="cyan"/>
        </w:rPr>
        <w:t>Chen T, Guestrin C. Proceedings of the 22nd acm sigkdd international conference on knowledge discovery and data mining. 2016.</w:t>
      </w:r>
      <w:bookmarkEnd w:id="37"/>
    </w:p>
    <w:p w14:paraId="2B217339" w14:textId="76CEEB3E" w:rsidR="008A3370" w:rsidRPr="008A3370" w:rsidRDefault="00C6189C" w:rsidP="0088138F">
      <w:pPr>
        <w:spacing w:line="360" w:lineRule="auto"/>
        <w:rPr>
          <w:rFonts w:ascii="Arial" w:hAnsi="Arial" w:cs="Arial"/>
          <w:sz w:val="24"/>
          <w:szCs w:val="24"/>
        </w:rPr>
      </w:pPr>
      <w:r>
        <w:rPr>
          <w:rFonts w:ascii="Arial" w:hAnsi="Arial" w:cs="Arial"/>
          <w:sz w:val="24"/>
          <w:szCs w:val="24"/>
        </w:rPr>
        <w:fldChar w:fldCharType="end"/>
      </w:r>
    </w:p>
    <w:sectPr w:rsidR="008A3370" w:rsidRPr="008A3370" w:rsidSect="00714560">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6D09A" w14:textId="77777777" w:rsidR="004D1C50" w:rsidRDefault="004D1C50" w:rsidP="00930FD7">
      <w:r>
        <w:separator/>
      </w:r>
    </w:p>
  </w:endnote>
  <w:endnote w:type="continuationSeparator" w:id="0">
    <w:p w14:paraId="65C38330" w14:textId="77777777" w:rsidR="004D1C50" w:rsidRDefault="004D1C50" w:rsidP="00930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FC7A4" w14:textId="77777777" w:rsidR="004D1C50" w:rsidRDefault="004D1C50" w:rsidP="00930FD7">
      <w:r>
        <w:separator/>
      </w:r>
    </w:p>
  </w:footnote>
  <w:footnote w:type="continuationSeparator" w:id="0">
    <w:p w14:paraId="698647DD" w14:textId="77777777" w:rsidR="004D1C50" w:rsidRDefault="004D1C50" w:rsidP="00930F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EF509F"/>
    <w:multiLevelType w:val="hybridMultilevel"/>
    <w:tmpl w:val="796CAA2A"/>
    <w:lvl w:ilvl="0" w:tplc="7F9C12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BD73701"/>
    <w:multiLevelType w:val="hybridMultilevel"/>
    <w:tmpl w:val="ED381108"/>
    <w:lvl w:ilvl="0" w:tplc="27EA9E8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5926547D"/>
    <w:multiLevelType w:val="multilevel"/>
    <w:tmpl w:val="F5069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A81DB1"/>
    <w:multiLevelType w:val="multilevel"/>
    <w:tmpl w:val="8E664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16EBD"/>
    <w:multiLevelType w:val="hybridMultilevel"/>
    <w:tmpl w:val="39DAF0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0827949">
    <w:abstractNumId w:val="0"/>
  </w:num>
  <w:num w:numId="2" w16cid:durableId="2107650978">
    <w:abstractNumId w:val="2"/>
  </w:num>
  <w:num w:numId="3" w16cid:durableId="1243415559">
    <w:abstractNumId w:val="3"/>
  </w:num>
  <w:num w:numId="4" w16cid:durableId="1798063764">
    <w:abstractNumId w:val="1"/>
  </w:num>
  <w:num w:numId="5" w16cid:durableId="10872635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E.Ref{0C8B0C4E-E775-459E-9CE4-C0334D304015}" w:val=" ADDIN NE.Ref.{0C8B0C4E-E775-459E-9CE4-C0334D304015}&lt;Citation&gt;&lt;Group&gt;&lt;References&gt;&lt;Item&gt;&lt;ID&gt;31&lt;/ID&gt;&lt;UID&gt;{F318DEAC-1384-41CE-8378-33657391DFA9}&lt;/UID&gt;&lt;Title&gt;A training algorithm for optimal margin classifiers&lt;/Title&gt;&lt;Template&gt;Conference Proceedings&lt;/Template&gt;&lt;Star&gt;0&lt;/Star&gt;&lt;Tag&gt;0&lt;/Tag&gt;&lt;Author&gt;Boser, Bernhard E; Guyon, Isabelle M; Vapnik, Vladimir N&lt;/Author&gt;&lt;Year&gt;1992&lt;/Year&gt;&lt;Details&gt;&lt;_date_display&gt;1992&lt;/_date_display&gt;&lt;_date&gt;1992-01-01&lt;/_date&gt;&lt;_pages&gt;144-152&lt;/_pages&gt;&lt;_created&gt;65188553&lt;/_created&gt;&lt;_modified&gt;65188553&lt;/_modified&gt;&lt;/Details&gt;&lt;Extra&gt;&lt;DBUID&gt;{EA5E5E1D-206A-4D98-8EB6-DF3345FA3763}&lt;/DBUID&gt;&lt;/Extra&gt;&lt;/Item&gt;&lt;/References&gt;&lt;/Group&gt;&lt;/Citation&gt;_x000a_"/>
    <w:docVar w:name="NE.Ref{11C4DD9C-3781-44E8-BD7C-9547DC2F2DEF}" w:val=" ADDIN NE.Ref.{11C4DD9C-3781-44E8-BD7C-9547DC2F2DEF}&lt;Citation&gt;&lt;Group&gt;&lt;References&gt;&lt;Item&gt;&lt;ID&gt;23&lt;/ID&gt;&lt;UID&gt;{86C389A2-E0DF-4C6E-A80A-6C6F31E4CCC9}&lt;/UID&gt;&lt;Title&gt;miRWalk--database: prediction of possible miRNA binding sites by &amp;quot;walking&amp;quot; the  genes of three genomes&lt;/Title&gt;&lt;Template&gt;Journal Article&lt;/Template&gt;&lt;Star&gt;0&lt;/Star&gt;&lt;Tag&gt;0&lt;/Tag&gt;&lt;Author&gt;Dweep, H; Sticht, C; Pandey, P; Gretz, N&lt;/Author&gt;&lt;Year&gt;2011&lt;/Year&gt;&lt;Details&gt;&lt;_accession_num&gt;21605702&lt;/_accession_num&gt;&lt;_author_adr&gt;Medical Research Center, Medical Faculty Mannheim, University of Heidelberg,  D-68167 Mannheim, Germany. harsh.dweep@medma.uni-heidelberg.de&lt;/_author_adr&gt;&lt;_date_display&gt;2011 Oct&lt;/_date_display&gt;&lt;_date&gt;2011-10-01&lt;/_date&gt;&lt;_doi&gt;10.1016/j.jbi.2011.05.002&lt;/_doi&gt;&lt;_isbn&gt;1532-0480 (Electronic); 1532-0464 (Linking)&lt;/_isbn&gt;&lt;_issue&gt;5&lt;/_issue&gt;&lt;_journal&gt;J Biomed Inform&lt;/_journal&gt;&lt;_language&gt;eng&lt;/_language&gt;&lt;_ori_publication&gt;Copyright © 2011 Elsevier Inc. All rights reserved.&lt;/_ori_publication&gt;&lt;_pages&gt;839-47&lt;/_pages&gt;&lt;_subject_headings&gt;3&amp;apos; Untranslated Regions; *Algorithms; Animals; Binding Sites; *Databases, Nucleic Acid; *Genome; Humans; Mice; MicroRNAs/*chemistry/metabolism; RNA, Messenger/chemistry; Rats&lt;/_subject_headings&gt;&lt;_tertiary_title&gt;Journal of biomedical informatics&lt;/_tertiary_title&gt;&lt;_type_work&gt;Journal Article; Research Support, Non-U.S. Gov&amp;apos;t&lt;/_type_work&gt;&lt;_url&gt;http://www.ncbi.nlm.nih.gov/entrez/query.fcgi?cmd=Retrieve&amp;amp;db=pubmed&amp;amp;dopt=Abstract&amp;amp;list_uids=21605702&amp;amp;query_hl=1&lt;/_url&gt;&lt;_volume&gt;44&lt;/_volume&gt;&lt;_created&gt;65188449&lt;/_created&gt;&lt;_modified&gt;65188449&lt;/_modified&gt;&lt;_impact_factor&gt;   4.500&lt;/_impact_factor&gt;&lt;_social_category&gt;计算机：跨学科应用(3) &amp;amp; 医学：信息(3)&lt;/_social_category&gt;&lt;_collection_scope&gt;SCIE;EI&lt;/_collection_scope&gt;&lt;/Details&gt;&lt;Extra&gt;&lt;DBUID&gt;{EA5E5E1D-206A-4D98-8EB6-DF3345FA3763}&lt;/DBUID&gt;&lt;/Extra&gt;&lt;/Item&gt;&lt;/References&gt;&lt;/Group&gt;&lt;/Citation&gt;_x000a_"/>
    <w:docVar w:name="NE.Ref{16BEB782-89C3-43AA-AD77-FB767DC4C0D5}" w:val=" ADDIN NE.Ref.{16BEB782-89C3-43AA-AD77-FB767DC4C0D5}&lt;Citation&gt;&lt;Group&gt;&lt;References&gt;&lt;Item&gt;&lt;ID&gt;32&lt;/ID&gt;&lt;UID&gt;{3380FF16-0EED-41AB-AD28-91B27457AA79}&lt;/UID&gt;&lt;Title&gt;Random forests&lt;/Title&gt;&lt;Template&gt;Journal Article&lt;/Template&gt;&lt;Star&gt;0&lt;/Star&gt;&lt;Tag&gt;0&lt;/Tag&gt;&lt;Author&gt;Breiman, Leo&lt;/Author&gt;&lt;Year&gt;2001&lt;/Year&gt;&lt;Details&gt;&lt;_alternate_title&gt;Machine learning&lt;/_alternate_title&gt;&lt;_date_display&gt;2001&lt;/_date_display&gt;&lt;_date&gt;2001-01-01&lt;/_date&gt;&lt;_isbn&gt;0885-6125&lt;/_isbn&gt;&lt;_journal&gt;Machine learning&lt;/_journal&gt;&lt;_ori_publication&gt;Springer&lt;/_ori_publication&gt;&lt;_pages&gt;5-32&lt;/_pages&gt;&lt;_volume&gt;45&lt;/_volume&gt;&lt;_created&gt;65188555&lt;/_created&gt;&lt;_modified&gt;65188555&lt;/_modified&gt;&lt;_impact_factor&gt;   7.500&lt;/_impact_factor&gt;&lt;_social_category&gt;计算机：人工智能(3)&lt;/_social_category&gt;&lt;_collection_scope&gt;SCIE;EI&lt;/_collection_scope&gt;&lt;/Details&gt;&lt;Extra&gt;&lt;DBUID&gt;{EA5E5E1D-206A-4D98-8EB6-DF3345FA3763}&lt;/DBUID&gt;&lt;/Extra&gt;&lt;/Item&gt;&lt;/References&gt;&lt;/Group&gt;&lt;/Citation&gt;_x000a_"/>
    <w:docVar w:name="NE.Ref{25586462-A7C1-4083-A9A0-E33AF971D087}" w:val=" ADDIN NE.Ref.{25586462-A7C1-4083-A9A0-E33AF971D087}&lt;Citation&gt;&lt;Group&gt;&lt;References&gt;&lt;Item&gt;&lt;ID&gt;30&lt;/ID&gt;&lt;UID&gt;{7C0998B6-6AAF-4DE3-9A45-B2C9991134A4}&lt;/UID&gt;&lt;Title&gt;Regression shrinkage and selection via the lasso&lt;/Title&gt;&lt;Template&gt;Journal Article&lt;/Template&gt;&lt;Star&gt;0&lt;/Star&gt;&lt;Tag&gt;0&lt;/Tag&gt;&lt;Author&gt;Tibshirani, Robert&lt;/Author&gt;&lt;Year&gt;1996&lt;/Year&gt;&lt;Details&gt;&lt;_alternate_title&gt;Journal of the Royal Statistical Society Series B: Statistical Methodology&lt;/_alternate_title&gt;&lt;_date_display&gt;1996&lt;/_date_display&gt;&lt;_date&gt;1996-01-01&lt;/_date&gt;&lt;_isbn&gt;1369-7412&lt;/_isbn&gt;&lt;_issue&gt;1&lt;/_issue&gt;&lt;_journal&gt;Journal of the Royal Statistical Society Series B: Statistical Methodology&lt;/_journal&gt;&lt;_ori_publication&gt;Oxford University Press&lt;/_ori_publication&gt;&lt;_pages&gt;267-288&lt;/_pages&gt;&lt;_volume&gt;58&lt;/_volume&gt;&lt;_created&gt;65188550&lt;/_created&gt;&lt;_modified&gt;65188550&lt;/_modified&gt;&lt;_impact_factor&gt;   5.800&lt;/_impact_factor&gt;&lt;_social_category&gt;统计学与概率论(1)&lt;/_social_category&gt;&lt;/Details&gt;&lt;Extra&gt;&lt;DBUID&gt;{EA5E5E1D-206A-4D98-8EB6-DF3345FA3763}&lt;/DBUID&gt;&lt;/Extra&gt;&lt;/Item&gt;&lt;/References&gt;&lt;/Group&gt;&lt;/Citation&gt;_x000a_"/>
    <w:docVar w:name="NE.Ref{2A38E34C-D061-4939-83D4-D1AB262996D5}" w:val=" ADDIN NE.Ref.{2A38E34C-D061-4939-83D4-D1AB262996D5}&lt;Citation&gt;&lt;Group&gt;&lt;References&gt;&lt;Item&gt;&lt;ID&gt;13&lt;/ID&gt;&lt;UID&gt;{CEBB8EEE-672F-474F-919C-036EC0CCA957}&lt;/UID&gt;&lt;Title&gt;A miRNA-based diagnostic model predicts resectable lung cancer in humans with  high accuracy&lt;/Title&gt;&lt;Template&gt;Journal Article&lt;/Template&gt;&lt;Star&gt;0&lt;/Star&gt;&lt;Tag&gt;0&lt;/Tag&gt;&lt;Author&gt;Asakura, K; Kadota, T; Matsuzaki, J; Yoshida, Y; Yamamoto, Y; Nakagawa, K; Takizawa, S; Aoki, Y; Nakamura, E; Miura, J; Sakamoto, H; Kato, K; Watanabe, S I; Ochiya, T&lt;/Author&gt;&lt;Year&gt;2020&lt;/Year&gt;&lt;Details&gt;&lt;_accession_num&gt;32193503&lt;/_accession_num&gt;&lt;_author_adr&gt;Department of Thoracic Surgery, National Cancer Center Hospital, 5-1-1 Tsukiji,  Chuo-ku, Tokyo, 104-0045, Japan.; Division of Thoracic Surgery, Department of Surgery, Keio University School of  Medicine, 35 Shinanomachi, Shinjuku-ku, Tokyo, 160-8582, Japan.; Division of Molecular and Cellular Medicine, National Cancer Center Research  Institute, 5-1-1 Tsukiji, Chuo-ku, Tokyo, 104-0045, Japan.; Division of Respiratory Diseases, Department of Internal Medicine, The Jikei  University School of Medicine, 3-25-8 Nishi-shimbashi, Minato-ku, Tokyo,  105-8461, Japan.; Division of Molecular and Cellular Medicine, National Cancer Center Research  Institute, 5-1-1 Tsukiji, Chuo-ku, Tokyo, 104-0045, Japan.; Department of Thoracic Surgery, National Cancer Center Hospital, 5-1-1 Tsukiji,  Chuo-ku, Tokyo, 104-0045, Japan.; Division of Molecular and Cellular Medicine, National Cancer Center Research  Institute, 5-1-1 Tsukiji, Chuo-ku, Tokyo, 104-0045, Japan.; Department of Thoracic Surgery, National Cancer Center Hospital, 5-1-1 Tsukiji,  Chuo-ku, Tokyo, 104-0045, Japan.; Division of Molecular and Cellular Medicine, National Cancer Center Research  Institute, 5-1-1 Tsukiji, Chuo-ku, Tokyo, 104-0045, Japan.; Toray Industries, Inc. 6-10-1 Tebiro, Kamakura city, Kanagawa, 248-0036, Japan.; Dynacom Co., Ltd., World Business Garden E25, 2-6-1 Nakase, Mihama-ku, Chiba  city, Chiba, 261-7125, Japan.; Dynacom Co., Ltd., World Business Garden E25, 2-6-1 Nakase, Mihama-ku, Chiba  city, Chiba, 261-7125, Japan.; Dynacom Co., Ltd., World Business Garden E25, 2-6-1 Nakase, Mihama-ku, Chiba  city, Chiba, 261-7125, Japan.; Department of Biobank and Tissue Resources, National Cancer Center Research  Institute, Tokyo, 104-0045, Japan.; Department of Gastrointestinal Medical Oncology, National Cancer Center Hospital,  5-1-1 Tsukiji, Chuo-ku, Tokyo, 104-0045, Japan.; Department of Thoracic Surgery, National Cancer Center Hospital, 5-1-1 Tsukiji,  Chuo-ku, Tokyo, 104-0045, Japan.; Division of Molecular and Cellular Medicine, National Cancer Center Research  Institute, 5-1-1 Tsukiji, Chuo-ku, Tokyo, 104-0045, Japan. tochiya@ncc.go.jp.; Institute of Medical Science, Tokyo Medical University, Tokyo, 160-0023, Japan.  tochiya@ncc.go.jp.&lt;/_author_adr&gt;&lt;_date_display&gt;2020 Mar 19&lt;/_date_display&gt;&lt;_date&gt;2020-03-19&lt;/_date&gt;&lt;_doi&gt;10.1038/s42003-020-0863-y&lt;/_doi&gt;&lt;_isbn&gt;2399-3642 (Electronic); 2399-3642 (Linking)&lt;/_isbn&gt;&lt;_issue&gt;1&lt;/_issue&gt;&lt;_journal&gt;Commun Biol&lt;/_journal&gt;&lt;_language&gt;eng&lt;/_language&gt;&lt;_pages&gt;134&lt;/_pages&gt;&lt;_subject_headings&gt;Aged; Biomarkers, Tumor/blood/*genetics; Case-Control Studies; Circulating MicroRNA/blood/*genetics; Clinical Decision-Making; Databases, Genetic; *Early Detection of Cancer; Female; *Gene Expression Profiling; Humans; Lung Neoplasms/blood/*genetics/pathology/surgery; Male; MicroRNAs/blood/*genetics; Middle Aged; Neoplasm Staging; Pneumonectomy; Predictive Value of Tests; Reproducibility of Results; *Transcriptome&lt;/_subject_headings&gt;&lt;_tertiary_title&gt;Communications biology&lt;/_tertiary_title&gt;&lt;_type_work&gt;Journal Article; Research Support, Non-U.S. Gov&amp;apos;t; Validation Study&lt;/_type_work&gt;&lt;_url&gt;http://www.ncbi.nlm.nih.gov/entrez/query.fcgi?cmd=Retrieve&amp;amp;db=pubmed&amp;amp;dopt=Abstract&amp;amp;list_uids=32193503&amp;amp;query_hl=1&lt;/_url&gt;&lt;_volume&gt;3&lt;/_volume&gt;&lt;_created&gt;65188437&lt;/_created&gt;&lt;_modified&gt;65188437&lt;/_modified&gt;&lt;_impact_factor&gt;   5.900&lt;/_impact_factor&gt;&lt;_social_category&gt;生物学(1)&lt;/_social_category&gt;&lt;_collection_scope&gt;SCIE&lt;/_collection_scope&gt;&lt;/Details&gt;&lt;Extra&gt;&lt;DBUID&gt;{EA5E5E1D-206A-4D98-8EB6-DF3345FA3763}&lt;/DBUID&gt;&lt;/Extra&gt;&lt;/Item&gt;&lt;/References&gt;&lt;/Group&gt;&lt;/Citation&gt;_x000a_"/>
    <w:docVar w:name="NE.Ref{4ABAA9BA-1DAE-4A34-88F6-61A8A3F1272B}" w:val=" ADDIN NE.Ref.{4ABAA9BA-1DAE-4A34-88F6-61A8A3F1272B}&lt;Citation&gt;&lt;Group&gt;&lt;References&gt;&lt;Item&gt;&lt;ID&gt;27&lt;/ID&gt;&lt;UID&gt;{CDF9BFD2-DA6C-42E7-BAB4-77DE4AE6586A}&lt;/UID&gt;&lt;Title&gt;Systematic and integrative analysis of large gene lists using DAVID  bioinformatics resources&lt;/Title&gt;&lt;Template&gt;Journal Article&lt;/Template&gt;&lt;Star&gt;0&lt;/Star&gt;&lt;Tag&gt;0&lt;/Tag&gt;&lt;Author&gt;Huang, Da W; Sherman, B T; Lempicki, R A&lt;/Author&gt;&lt;Year&gt;2009&lt;/Year&gt;&lt;Details&gt;&lt;_accession_num&gt;19131956&lt;/_accession_num&gt;&lt;_author_adr&gt;Laboratory of Immunopathogenesis and Bioinformatics, Clinical Services Program,  SAIC-Frederick Inc., National Cancer Institute at Frederick, Frederick, Maryland  21702, USA.&lt;/_author_adr&gt;&lt;_date_display&gt;2009&lt;/_date_display&gt;&lt;_date&gt;2009-01-20&lt;/_date&gt;&lt;_doi&gt;10.1038/nprot.2008.211&lt;/_doi&gt;&lt;_isbn&gt;1750-2799 (Electronic); 1750-2799 (Linking)&lt;/_isbn&gt;&lt;_issue&gt;1&lt;/_issue&gt;&lt;_journal&gt;Nat Protoc&lt;/_journal&gt;&lt;_language&gt;eng&lt;/_language&gt;&lt;_pages&gt;44-57&lt;/_pages&gt;&lt;_subject_headings&gt;Computational Biology/*methods; Data Interpretation, Statistical; Genes/*genetics; Genomics/*methods; *Internet; *Software&lt;/_subject_headings&gt;&lt;_tertiary_title&gt;Nature protocols&lt;/_tertiary_title&gt;&lt;_type_work&gt;Journal Article; Research Support, N.I.H., Extramural&lt;/_type_work&gt;&lt;_url&gt;http://www.ncbi.nlm.nih.gov/entrez/query.fcgi?cmd=Retrieve&amp;amp;db=pubmed&amp;amp;dopt=Abstract&amp;amp;list_uids=19131956&amp;amp;query_hl=1&lt;/_url&gt;&lt;_volume&gt;4&lt;/_volume&gt;&lt;_created&gt;65188458&lt;/_created&gt;&lt;_modified&gt;65188458&lt;/_modified&gt;&lt;_impact_factor&gt;  14.800&lt;/_impact_factor&gt;&lt;_social_category&gt;生化研究方法(1)&lt;/_social_category&gt;&lt;_collection_scope&gt;SCIE&lt;/_collection_scope&gt;&lt;/Details&gt;&lt;Extra&gt;&lt;DBUID&gt;{EA5E5E1D-206A-4D98-8EB6-DF3345FA3763}&lt;/DBUID&gt;&lt;/Extra&gt;&lt;/Item&gt;&lt;/References&gt;&lt;/Group&gt;&lt;/Citation&gt;_x000a_"/>
    <w:docVar w:name="NE.Ref{6B06F288-17B7-4716-81FA-B19DF312AA58}" w:val=" ADDIN NE.Ref.{6B06F288-17B7-4716-81FA-B19DF312AA58}&lt;Citation&gt;&lt;Group&gt;&lt;References&gt;&lt;Item&gt;&lt;ID&gt;12&lt;/ID&gt;&lt;UID&gt;{F0204A2E-C118-46B3-B3BC-5FD467EA9E24}&lt;/UID&gt;&lt;Title&gt;Large-scale Circulating microRNA Profiling for the Liquid Biopsy of Prostate  Cancer&lt;/Title&gt;&lt;Template&gt;Journal Article&lt;/Template&gt;&lt;Star&gt;0&lt;/Star&gt;&lt;Tag&gt;0&lt;/Tag&gt;&lt;Author&gt;Urabe, F; Matsuzaki, J; Yamamoto, Y; Kimura, T; Hara, T; Ichikawa, M; Takizawa, S; Aoki, Y; Niida, S; Sakamoto, H; Kato, K; Egawa, S; Fujimoto, H; Ochiya, T&lt;/Author&gt;&lt;Year&gt;2019&lt;/Year&gt;&lt;Details&gt;&lt;_accession_num&gt;30808771&lt;/_accession_num&gt;&lt;_author_adr&gt;Division of Molecular and Cellular Medicine, National Cancer Center Research  Institute, Tokyo, Japan.; Department of Urology, The Jikei University School of Medicine, Tokyo, Japan.; Division of Molecular and Cellular Medicine, National Cancer Center Research  Institute, Tokyo, Japan.; Division of Molecular and Cellular Medicine, National Cancer Center Research  Institute, Tokyo, Japan.; Department of Urology, The Jikei University School of Medicine, Tokyo, Japan.; Department of Urology, National Cancer Center Hospital, Tokyo, Japan.; Division of Molecular and Cellular Medicine, National Cancer Center Research  Institute, Tokyo, Japan.; Toray Industries, Inc., Kanagawa, Japan.; Division of Molecular and Cellular Medicine, National Cancer Center Research  Institute, Tokyo, Japan.; Toray Industries, Inc., Kanagawa, Japan.; Dynacom Co., Ltd., Chiba, Japan.; Medical Genome Center, National Center for Geriatrics and Gerontology, Aichi,  Japan.; Department of Biobank and Tissue Resources, National Cancer Center Research  Institute, Tokyo, Japan.; Department of Gastrointestinal Medical Oncology, National Cancer Center Hospital,  Tokyo, Japan.; Department of Urology, The Jikei University School of Medicine, Tokyo, Japan.; Department of Urology, National Cancer Center Hospital, Tokyo, Japan.; Division of Molecular and Cellular Medicine, National Cancer Center Research  Institute, Tokyo, Japan. tochiya@ncc.go.jp.&lt;/_author_adr&gt;&lt;_date_display&gt;2019 May 15&lt;/_date_display&gt;&lt;_date&gt;2019-05-15&lt;/_date&gt;&lt;_doi&gt;10.1158/1078-0432.CCR-18-2849&lt;/_doi&gt;&lt;_isbn&gt;1557-3265 (Electronic); 1078-0432 (Linking)&lt;/_isbn&gt;&lt;_issue&gt;10&lt;/_issue&gt;&lt;_journal&gt;Clin Cancer Res&lt;/_journal&gt;&lt;_language&gt;eng&lt;/_language&gt;&lt;_ori_publication&gt;©2019 American Association for Cancer Research.&lt;/_ori_publication&gt;&lt;_pages&gt;3016-3025&lt;/_pages&gt;&lt;_subject_headings&gt;Age Factors; Aged; Biomarkers, Tumor/blood/genetics; Case-Control Studies; Circulating MicroRNA/*blood/*genetics; Humans; Kallikreins/blood; Liquid Biopsy/methods; Male; Middle Aged; Prostate-Specific Antigen/blood; Prostatic Neoplasms/blood/*diagnosis/genetics/pathology; Retrospective Studies&lt;/_subject_headings&gt;&lt;_tertiary_title&gt;Clinical cancer research : an official journal of the American Association for _x000d__x000a_      Cancer Research&lt;/_tertiary_title&gt;&lt;_type_work&gt;Journal Article; Research Support, Non-U.S. Gov&amp;apos;t&lt;/_type_work&gt;&lt;_url&gt;http://www.ncbi.nlm.nih.gov/entrez/query.fcgi?cmd=Retrieve&amp;amp;db=pubmed&amp;amp;dopt=Abstract&amp;amp;list_uids=30808771&amp;amp;query_hl=1&lt;/_url&gt;&lt;_volume&gt;25&lt;/_volume&gt;&lt;_created&gt;65188418&lt;/_created&gt;&lt;_modified&gt;65188418&lt;/_modified&gt;&lt;_impact_factor&gt;  11.500&lt;/_impact_factor&gt;&lt;_social_category&gt;肿瘤学(1)&lt;/_social_category&gt;&lt;_collection_scope&gt;SCIE&lt;/_collection_scope&gt;&lt;/Details&gt;&lt;Extra&gt;&lt;DBUID&gt;{EA5E5E1D-206A-4D98-8EB6-DF3345FA3763}&lt;/DBUID&gt;&lt;/Extra&gt;&lt;/Item&gt;&lt;/References&gt;&lt;/Group&gt;&lt;/Citation&gt;_x000a_"/>
    <w:docVar w:name="NE.Ref{6C572FB3-F1CA-4A5A-8E51-6CE832756A76}" w:val=" ADDIN NE.Ref.{6C572FB3-F1CA-4A5A-8E51-6CE832756A76}&lt;Citation&gt;&lt;Group&gt;&lt;References&gt;&lt;Item&gt;&lt;ID&gt;15&lt;/ID&gt;&lt;UID&gt;{CEE32DA6-5743-4A0C-AC09-92AE2EABE97B}&lt;/UID&gt;&lt;Title&gt;A serum microRNA classifier for the diagnosis of sarcomas of various histological  subtypes&lt;/Title&gt;&lt;Template&gt;Journal Article&lt;/Template&gt;&lt;Star&gt;0&lt;/Star&gt;&lt;Tag&gt;0&lt;/Tag&gt;&lt;Author&gt;Asano, N; Matsuzaki, J; Ichikawa, M; Kawauchi, J; Takizawa, S; Aoki, Y; Sakamoto, H; Yoshida, A; Kobayashi, E; Tanzawa, Y; Nakayama, R; Morioka, H; Matsumoto, M; Nakamura, M; Kondo, T; Kato, K; Tsuchiya, N; Kawai, A; Ochiya, T&lt;/Author&gt;&lt;Year&gt;2019&lt;/Year&gt;&lt;Details&gt;&lt;_accession_num&gt;30898996&lt;/_accession_num&gt;&lt;_author_adr&gt;Division of Rare Cancer Research, National Cancer Center Research Institute,  5-1-1 Tsukiji, Chuo-ku, Tokyo, 104-0045, Japan.; Department of Orthopaedic Surgery, Keio University School of Medicine, 35  Shinanomachi, Shinjuku-ku, Tokyo, 160-8582, Japan.; Division of Molecular and Cellular Medicine, National Cancer Center Research  Institute, 5-1-1 Tsukiji, Chuo-ku, Tokyo, 104-0045, Japan.; Toray Industries, 6-10-1 Tebiro, Kamakura City, Kanagawa, 248-0036, Japan.; Toray Industries, 6-10-1 Tebiro, Kamakura City, Kanagawa, 248-0036, Japan.; Toray Industries, 6-10-1 Tebiro, Kamakura City, Kanagawa, 248-0036, Japan.; Dynacom Co., Ltd., WBG E25 2-6-1 Nakase, Mihama-ku, Chiba, 261-7125, Japan.; Division of Biobank and Tissue Resources, National Cancer Center Research  Institute, 5-1-1 Tsukiji, Chuo-ku, Tokyo, 104-0045, Japan.; Department of Pathology and Clinical Laboratory, National Cancer Center Hospital,  5-1-1 Tsukiji, Chuo-ku, Tokyo, 104-0045, Japan.; Department of Musculoskeletal Oncology, National Cancer Center Hospital, 5-1-1  Tsukiji, Chuo-ku, Tokyo, 104-0045, Japan.; Department of Musculoskeletal Oncology, National Cancer Center Hospital, 5-1-1  Tsukiji, Chuo-ku, Tokyo, 104-0045, Japan.; Department of Orthopaedic Surgery, Keio University School of Medicine, 35  Shinanomachi, Shinjuku-ku, Tokyo, 160-8582, Japan.; Department of Orthopaedic Surgery, Keio University School of Medicine, 35  Shinanomachi, Shinjuku-ku, Tokyo, 160-8582, Japan.; Department of Orthopaedic Surgery, Keio University School of Medicine, 35  Shinanomachi, Shinjuku-ku, Tokyo, 160-8582, Japan.; Department of Orthopaedic Surgery, Keio University School of Medicine, 35  Shinanomachi, Shinjuku-ku, Tokyo, 160-8582, Japan.; Division of Rare Cancer Research, National Cancer Center Research Institute,  5-1-1 Tsukiji, Chuo-ku, Tokyo, 104-0045, Japan.; Department of Gastrointestinal Medical Oncology, National Cancer Center Hospital,  5-1-1 Tsukiji, Chuo-ku, Tokyo, 104-0045, Japan.; Laboratory of Molecular Carcinogenesis, National Cancer Center Research  Institute, 5-1-1 Tsukiji, Chuo-ku, Tokyo, 104-0045, Japan.; Department of Musculoskeletal Oncology, National Cancer Center Hospital, 5-1-1  Tsukiji, Chuo-ku, Tokyo, 104-0045, Japan.; Division of Molecular and Cellular Medicine, National Cancer Center Research  Institute, 5-1-1 Tsukiji, Chuo-ku, Tokyo, 104-0045, Japan. tochiya@ncc.go.jp.; Department of Molecular and Cellular Medicine, Tokyo Medical University, 6-7-1,  Nishishinjuku, Shinjuku-ku, Tokyo, 160-0023, Japan. tochiya@ncc.go.jp.&lt;/_author_adr&gt;&lt;_date_display&gt;2019 Mar 21&lt;/_date_display&gt;&lt;_date&gt;2019-03-21&lt;/_date&gt;&lt;_doi&gt;10.1038/s41467-019-09143-8&lt;/_doi&gt;&lt;_isbn&gt;2041-1723 (Electronic); 2041-1723 (Linking)&lt;/_isbn&gt;&lt;_issue&gt;1&lt;/_issue&gt;&lt;_journal&gt;Nat Commun&lt;/_journal&gt;&lt;_language&gt;eng&lt;/_language&gt;&lt;_pages&gt;1299&lt;/_pages&gt;&lt;_subject_headings&gt;Adult; Aged; Biomarkers, Tumor/blood/*genetics; Bone Neoplasms/blood/*diagnosis/genetics/pathology; Case-Control Studies; Cell-Free Nucleic Acids/blood/*genetics; Diagnosis, Differential; Female; Humans; Male; MicroRNAs/blood/*genetics; Middle Aged; Neoplasms/blood/*diagnosis/genetics/pathology; Principal Component Analysis; Real-Time Polymerase Chain Reaction; Sarcoma/blood/*diagnosis/genetics/pathology; Sensitivity and Specificity; Soft Tissue Neoplasms/blood/*diagnosis/genetics/pathology; Transcriptome&lt;/_subject_headings&gt;&lt;_tertiary_title&gt;Nature communications&lt;/_tertiary_title&gt;&lt;_type_work&gt;Journal Article; Research Support, Non-U.S. Gov&amp;apos;t&lt;/_type_work&gt;&lt;_url&gt;http://www.ncbi.nlm.nih.gov/entrez/query.fcgi?cmd=Retrieve&amp;amp;db=pubmed&amp;amp;dopt=Abstract&amp;amp;list_uids=30898996&amp;amp;query_hl=1&lt;/_url&gt;&lt;_volume&gt;10&lt;/_volume&gt;&lt;_created&gt;65188440&lt;/_created&gt;&lt;_modified&gt;65188440&lt;/_modified&gt;&lt;_impact_factor&gt;  16.600&lt;/_impact_factor&gt;&lt;_social_category&gt;综合性期刊(1)&lt;/_social_category&gt;&lt;_collection_scope&gt;SCIE&lt;/_collection_scope&gt;&lt;/Details&gt;&lt;Extra&gt;&lt;DBUID&gt;{EA5E5E1D-206A-4D98-8EB6-DF3345FA3763}&lt;/DBUID&gt;&lt;/Extra&gt;&lt;/Item&gt;&lt;/References&gt;&lt;/Group&gt;&lt;/Citation&gt;_x000a_"/>
    <w:docVar w:name="NE.Ref{70CA7DEF-84CD-434D-BFD8-10AB5BF9C551}" w:val=" ADDIN NE.Ref.{70CA7DEF-84CD-434D-BFD8-10AB5BF9C551}&lt;Citation&gt;&lt;Group&gt;&lt;References&gt;&lt;Item&gt;&lt;ID&gt;29&lt;/ID&gt;&lt;UID&gt;{3AF02FF9-E76E-416F-AEA4-B07A7E936006}&lt;/UID&gt;&lt;Title&gt;Proceedings of the 22nd acm sigkdd international conference on knowledge discovery and data mining&lt;/Title&gt;&lt;Template&gt;Journal Article&lt;/Template&gt;&lt;Star&gt;0&lt;/Star&gt;&lt;Tag&gt;0&lt;/Tag&gt;&lt;Author&gt;Chen, Tianqi; Guestrin, Carlos&lt;/Author&gt;&lt;Year&gt;2016&lt;/Year&gt;&lt;Details&gt;&lt;_date_display&gt;2016&lt;/_date_display&gt;&lt;_date&gt;2016-01-01&lt;/_date&gt;&lt;_ori_publication&gt;San Francisco, CA&lt;/_ori_publication&gt;&lt;_created&gt;65188547&lt;/_created&gt;&lt;_modified&gt;65188547&lt;/_modified&gt;&lt;/Details&gt;&lt;Extra&gt;&lt;DBUID&gt;{EA5E5E1D-206A-4D98-8EB6-DF3345FA3763}&lt;/DBUID&gt;&lt;/Extra&gt;&lt;/Item&gt;&lt;/References&gt;&lt;/Group&gt;&lt;/Citation&gt;_x000a_"/>
    <w:docVar w:name="NE.Ref{763A5146-1B6F-473A-9F1C-D15E3747D209}" w:val=" ADDIN NE.Ref.{763A5146-1B6F-473A-9F1C-D15E3747D209}&lt;Citation&gt;&lt;Group&gt;&lt;References&gt;&lt;Item&gt;&lt;ID&gt;18&lt;/ID&gt;&lt;UID&gt;{EF61E882-05B0-4F01-9E5D-360E7C014349}&lt;/UID&gt;&lt;Title&gt;A Novel Blood-Based microRNA Diagnostic Model with High Accuracy for Multi-Cancer  Early Detection&lt;/Title&gt;&lt;Template&gt;Journal Article&lt;/Template&gt;&lt;Star&gt;0&lt;/Star&gt;&lt;Tag&gt;0&lt;/Tag&gt;&lt;Author&gt;Zhang, A; Hu, H&lt;/Author&gt;&lt;Year&gt;2022&lt;/Year&gt;&lt;Details&gt;&lt;_accession_num&gt;35326599&lt;/_accession_num&gt;&lt;_author_adr&gt;Del Norte High School, San Diego, CA 92127, USA.; Chan Soon-Shiong Institute of Molecular Medicine at Windber, Windber, PA 15963,  USA.; miRoncol Diagnostics, San Diego, CA 92127, USA.&lt;/_author_adr&gt;&lt;_date_display&gt;2022 Mar 11&lt;/_date_display&gt;&lt;_date&gt;2022-03-11&lt;/_date&gt;&lt;_doi&gt;10.3390/cancers14061450&lt;/_doi&gt;&lt;_isbn&gt;2072-6694 (Print); 2072-6694 (Electronic); 2072-6694 (Linking)&lt;/_isbn&gt;&lt;_issue&gt;6&lt;/_issue&gt;&lt;_journal&gt;Cancers (Basel)&lt;/_journal&gt;&lt;_keywords&gt;blood-based diagnostic model; microRNA; multi-cancer early detection; noninvasive&lt;/_keywords&gt;&lt;_language&gt;eng&lt;/_language&gt;&lt;_tertiary_title&gt;Cancers&lt;/_tertiary_title&gt;&lt;_type_work&gt;Journal Article&lt;/_type_work&gt;&lt;_url&gt;http://www.ncbi.nlm.nih.gov/entrez/query.fcgi?cmd=Retrieve&amp;amp;db=pubmed&amp;amp;dopt=Abstract&amp;amp;list_uids=35326599&amp;amp;query_hl=1&lt;/_url&gt;&lt;_volume&gt;14&lt;/_volume&gt;&lt;_created&gt;65188443&lt;/_created&gt;&lt;_modified&gt;65188443&lt;/_modified&gt;&lt;_impact_factor&gt;   5.200&lt;/_impact_factor&gt;&lt;_social_category&gt;肿瘤学(3)&lt;/_social_category&gt;&lt;_collection_scope&gt;SCIE&lt;/_collection_scope&gt;&lt;/Details&gt;&lt;Extra&gt;&lt;DBUID&gt;{EA5E5E1D-206A-4D98-8EB6-DF3345FA3763}&lt;/DBUID&gt;&lt;/Extra&gt;&lt;/Item&gt;&lt;/References&gt;&lt;/Group&gt;&lt;/Citation&gt;_x000a_"/>
    <w:docVar w:name="NE.Ref{7EC23317-E5BA-4CBD-A80C-264B5B973E14}" w:val=" ADDIN NE.Ref.{7EC23317-E5BA-4CBD-A80C-264B5B973E14}&lt;Citation&gt;&lt;Group&gt;&lt;References&gt;&lt;Item&gt;&lt;ID&gt;19&lt;/ID&gt;&lt;UID&gt;{41347CB2-19B2-4F1A-ABB2-6AAF7A0B8930}&lt;/UID&gt;&lt;Title&gt;Highly Sensitive Circulating MicroRNA Panel for Accurate Detection of  Hepatocellular Carcinoma in Patients With Liver Disease&lt;/Title&gt;&lt;Template&gt;Journal Article&lt;/Template&gt;&lt;Star&gt;0&lt;/Star&gt;&lt;Tag&gt;0&lt;/Tag&gt;&lt;Author&gt;Yamamoto, Y; Kondo, S; Matsuzaki, J; Esaki, M; Okusaka, T; Shimada, K; Murakami, Y; Enomoto, M; Tamori, A; Kato, K; Aoki, Y; Takizawa, S; Sakamoto, H; Niida, S; Takeshita, F; Ochiya, T&lt;/Author&gt;&lt;Year&gt;2020&lt;/Year&gt;&lt;Details&gt;&lt;_accession_num&gt;32025611&lt;/_accession_num&gt;&lt;_author_adr&gt;Division of Molecular and Cellular Medicine National Cancer Center Research  Institute Tokyo Japan.; Department of Hepatobiliary and Pancreatic Oncology National Cancer Center  Hospital Tokyo Japan.; Division of Molecular and Cellular Medicine National Cancer Center Research  Institute Tokyo Japan.; Department of Hepatobiliary and Pancreatic Surgery National Cancer Center  Hospital Tokyo Japan.; Department of Hepatobiliary and Pancreatic Oncology National Cancer Center  Hospital Tokyo Japan.; Department of Hepatobiliary and Pancreatic Surgery National Cancer Center  Hospital Tokyo Japan.; Department of Hepatology Graduate School of Medicine Osaka City University Osaka  Japan.; Department of Molecular Pathology Tokyo Medical University Tokyo Japan.; Department of Hepatology Graduate School of Medicine Osaka City University Osaka  Japan.; Department of Hepatology Graduate School of Medicine Osaka City University Osaka  Japan.; Department of Gastrointestinal Oncology National Cancer Center Hospital Tokyo  Japan.; Dynacom Co., Ltd. World Business Garden E25 Chiba Japan.; Division of Molecular and Cellular Medicine National Cancer Center Research  Institute Tokyo Japan.; Toray Industries, Inc. Kamakura Japan.; Department of Biobank and Tissue Resources National Cancer Center Research  Institute Tokyo Japan.; Medical Genome Center National Center for Geriatrics and Gerontology Obu Japan.; Fundamental Innovative Oncology Core Center National Cancer Center Research  Institute Tokyo Japan.; Division of Molecular and Cellular Medicine National Cancer Center Research  Institute Tokyo Japan.; Department of Molecular and Cellular Medicine, Institute of Medical Science Tokyo  Medical University Tokyo Japan.&lt;/_author_adr&gt;&lt;_date_display&gt;2020 Feb&lt;/_date_display&gt;&lt;_date&gt;2020-02-01&lt;/_date&gt;&lt;_doi&gt;10.1002/hep4.1451&lt;/_doi&gt;&lt;_isbn&gt;2471-254X (Electronic); 2471-254X (Linking)&lt;/_isbn&gt;&lt;_issue&gt;2&lt;/_issue&gt;&lt;_journal&gt;Hepatol Commun&lt;/_journal&gt;&lt;_language&gt;eng&lt;/_language&gt;&lt;_ori_publication&gt;© 2019 The Authors. Hepatology Communications published by Wiley Periodicals, _x000d__x000a_      Inc., on behalf of the American Association for the Study of Liver Diseases.&lt;/_ori_publication&gt;&lt;_pages&gt;284-297&lt;/_pages&gt;&lt;_tertiary_title&gt;Hepatology communications&lt;/_tertiary_title&gt;&lt;_type_work&gt;Journal Article&lt;/_type_work&gt;&lt;_url&gt;http://www.ncbi.nlm.nih.gov/entrez/query.fcgi?cmd=Retrieve&amp;amp;db=pubmed&amp;amp;dopt=Abstract&amp;amp;list_uids=32025611&amp;amp;query_hl=1&lt;/_url&gt;&lt;_volume&gt;4&lt;/_volume&gt;&lt;_created&gt;65188444&lt;/_created&gt;&lt;_modified&gt;65188444&lt;/_modified&gt;&lt;_impact_factor&gt;   5.100&lt;/_impact_factor&gt;&lt;_social_category&gt;胃肠肝病学(3)&lt;/_social_category&gt;&lt;_collection_scope&gt;SCIE&lt;/_collection_scope&gt;&lt;/Details&gt;&lt;Extra&gt;&lt;DBUID&gt;{EA5E5E1D-206A-4D98-8EB6-DF3345FA3763}&lt;/DBUID&gt;&lt;/Extra&gt;&lt;/Item&gt;&lt;/References&gt;&lt;/Group&gt;&lt;/Citation&gt;_x000a_"/>
    <w:docVar w:name="NE.Ref{B9421F6E-773E-42E0-9A3A-21AD26FADDF3}" w:val=" ADDIN NE.Ref.{B9421F6E-773E-42E0-9A3A-21AD26FADDF3}&lt;Citation&gt;&lt;Group&gt;&lt;References&gt;&lt;Item&gt;&lt;ID&gt;28&lt;/ID&gt;&lt;UID&gt;{39656044-DA1C-4530-95A2-1E75A607ED24}&lt;/UID&gt;&lt;Title&gt;limma powers differential expression analyses for RNA-sequencing and microarray  studies&lt;/Title&gt;&lt;Template&gt;Journal Article&lt;/Template&gt;&lt;Star&gt;0&lt;/Star&gt;&lt;Tag&gt;0&lt;/Tag&gt;&lt;Author&gt;Ritchie, M E; Phipson, B; Wu, D; Hu, Y; Law, C W; Shi, W; Smyth, G K&lt;/Author&gt;&lt;Year&gt;2015&lt;/Year&gt;&lt;Details&gt;&lt;_accession_num&gt;25605792&lt;/_accession_num&gt;&lt;_author_adr&gt;Molecular Medicine Division, The Walter and Eliza Hall Institute of Medical  Research, 1G Royal Parade, Parkville, Victoria 3052, Australia Department of  Mathematics and Statistics, The University of Melbourne, Parkville, Victoria  3010, Australia.; Murdoch Childrens Research Institute, Royal Children&amp;apos;s Hospital, 50 Flemington  Road, Parkville, Victoria 3052, Australia.; Department of Statistics, Harvard University, 1 Oxford Street, Cambridge, MA  02138-2901, USA.; Bioinformatics Division, The Walter and Eliza Hall Institute of Medical Research,  1G Royal Parade, Parkville, Victoria 3052, Australia.; Institute of Molecular Life Sciences, University of Zurich, Winterthurerstrasse  190, Zurich 8057, Switzerland.; Bioinformatics Division, The Walter and Eliza Hall Institute of Medical Research,  1G Royal Parade, Parkville, Victoria 3052, Australia Department of Computing and  Information Systems, The University of Melbourne, Parkville, Victoria 3010,  Australia.; Department of Mathematics and Statistics, The University of Melbourne, Parkville,  Victoria 3010, Australia Bioinformatics Division, The Walter and Eliza Hall  Institute of Medical Research, 1G Royal Parade, Parkville, Victoria 3052,  Australia smyth@wehi.edu.au.&lt;/_author_adr&gt;&lt;_date_display&gt;2015 Apr 20&lt;/_date_display&gt;&lt;_date&gt;2015-04-20&lt;/_date&gt;&lt;_doi&gt;10.1093/nar/gkv007&lt;/_doi&gt;&lt;_isbn&gt;1362-4962 (Electronic); 0305-1048 (Print); 0305-1048 (Linking)&lt;/_isbn&gt;&lt;_issue&gt;7&lt;/_issue&gt;&lt;_journal&gt;Nucleic Acids Res&lt;/_journal&gt;&lt;_language&gt;eng&lt;/_language&gt;&lt;_ori_publication&gt;© The Author(s) 2015. Published by Oxford University Press on behalf of Nucleic _x000d__x000a_      Acids Research.&lt;/_ori_publication&gt;&lt;_pages&gt;e47&lt;/_pages&gt;&lt;_subject_headings&gt;*Gene Expression Regulation; *Oligonucleotide Array Sequence Analysis; *Sequence Analysis, RNA; *Software&lt;/_subject_headings&gt;&lt;_tertiary_title&gt;Nucleic acids research&lt;/_tertiary_title&gt;&lt;_type_work&gt;Journal Article; Research Support, Non-U.S. Gov&amp;apos;t&lt;/_type_work&gt;&lt;_url&gt;http://www.ncbi.nlm.nih.gov/entrez/query.fcgi?cmd=Retrieve&amp;amp;db=pubmed&amp;amp;dopt=Abstract&amp;amp;list_uids=25605792&amp;amp;query_hl=1&lt;/_url&gt;&lt;_volume&gt;43&lt;/_volume&gt;&lt;_created&gt;65188532&lt;/_created&gt;&lt;_modified&gt;65188532&lt;/_modified&gt;&lt;_impact_factor&gt;  14.900&lt;/_impact_factor&gt;&lt;_social_category&gt;生化与分子生物学(2)&lt;/_social_category&gt;&lt;_collection_scope&gt;SCIE&lt;/_collection_scope&gt;&lt;/Details&gt;&lt;Extra&gt;&lt;DBUID&gt;{EA5E5E1D-206A-4D98-8EB6-DF3345FA3763}&lt;/DBUID&gt;&lt;/Extra&gt;&lt;/Item&gt;&lt;/References&gt;&lt;/Group&gt;&lt;/Citation&gt;_x000a_"/>
    <w:docVar w:name="NE.Ref{BBC8BB39-D15C-4CB1-9F68-7F9CA0D780C4}" w:val=" ADDIN NE.Ref.{BBC8BB39-D15C-4CB1-9F68-7F9CA0D780C4}&lt;Citation&gt;&lt;Group&gt;&lt;References&gt;&lt;Item&gt;&lt;ID&gt;17&lt;/ID&gt;&lt;UID&gt;{2EAB544F-5386-43B4-9ECE-E19C1E014273}&lt;/UID&gt;&lt;Title&gt;Integrated extracellular microRNA profiling for ovarian cancer screening&lt;/Title&gt;&lt;Template&gt;Journal Article&lt;/Template&gt;&lt;Star&gt;0&lt;/Star&gt;&lt;Tag&gt;0&lt;/Tag&gt;&lt;Author&gt;Yokoi, A; Matsuzaki, J; Yamamoto, Y; Yoneoka, Y; Takahashi, K; Shimizu, H; Uehara, T; Ishikawa, M; Ikeda, S I; Sonoda, T; Kawauchi, J; Takizawa, S; Aoki, Y; Niida, S; Sakamoto, H; Kato, K; Kato, T; Ochiya, T&lt;/Author&gt;&lt;Year&gt;2018&lt;/Year&gt;&lt;Details&gt;&lt;_accession_num&gt;30333487&lt;/_accession_num&gt;&lt;_author_adr&gt;Division of Molecular and Cellular Medicine, National Cancer Center Research  Institute, 05-01-01 Tsukiji, Chuo-ku, Tokyo, 104-0045, Japan.; Department of Obstetrics and Gynecology, Nagoya University Graduate School of  Medicine, 65 Tsuruma-cho, Showa-ku, Nagoya, 466-8550, Japan.; Division of Molecular and Cellular Medicine, National Cancer Center Research  Institute, 05-01-01 Tsukiji, Chuo-ku, Tokyo, 104-0045, Japan.; Division of Molecular and Cellular Medicine, National Cancer Center Research  Institute, 05-01-01 Tsukiji, Chuo-ku, Tokyo, 104-0045, Japan.; Department of Gynecology, National Cancer Center Hospital, 5-1-1 Tsukiji,  Chuo-ku, Tokyo, 104-0045, Japan.; Department of Gynecology, National Cancer Center Hospital, 5-1-1 Tsukiji,  Chuo-ku, Tokyo, 104-0045, Japan.; Department of Gynecology, National Cancer Center Hospital, 5-1-1 Tsukiji,  Chuo-ku, Tokyo, 104-0045, Japan.; Department of Gynecology, National Cancer Center Hospital, 5-1-1 Tsukiji,  Chuo-ku, Tokyo, 104-0045, Japan.; Department of Gynecology, National Cancer Center Hospital, 5-1-1 Tsukiji,  Chuo-ku, Tokyo, 104-0045, Japan.; Department of Gynecology, National Cancer Center Hospital, 5-1-1 Tsukiji,  Chuo-ku, Tokyo, 104-0045, Japan.; Division of Molecular and Cellular Medicine, National Cancer Center Research  Institute, 05-01-01 Tsukiji, Chuo-ku, Tokyo, 104-0045, Japan.; New Frontiers Research Institute, Toray Industries, 6-10-1 Tebiro, Kamakura city,  Kanagawa, 248-0036, Japan.; New Frontiers Research Institute, Toray Industries, 6-10-1 Tebiro, Kamakura city,  Kanagawa, 248-0036, Japan.; Division of Bioinformatics, Dynacom Co., Ltd., World Business Garden E25, 2-6-1  Nakase, Mihama-ku, Chiba city, Chiba, 261-7125, Japan.; Medical Genome Center, National Center for Geriatrics and Gerontology, 7-430  Morioka-cho, Obu, Aichi, 474-8511, Japan.; Department of Clinical Genomics, Fundamental Innovative Oncology Core, National  Cancer Center Research Institute, Tokyo, 104-0045, Japan.; Department of Gastrointestinal Medical Oncology, National Cancer Center Hospital,  5-1-1 Tsukiji, Chuo-ku, Tokyo, 104-0045, Japan.; Department of Gynecology, National Cancer Center Hospital, 5-1-1 Tsukiji,  Chuo-ku, Tokyo, 104-0045, Japan.; Division of Molecular and Cellular Medicine, National Cancer Center Research  Institute, 05-01-01 Tsukiji, Chuo-ku, Tokyo, 104-0045, Japan. tochiya@ncc.go.jp.&lt;/_author_adr&gt;&lt;_date_display&gt;2018 Oct 17&lt;/_date_display&gt;&lt;_date&gt;2018-10-17&lt;/_date&gt;&lt;_doi&gt;10.1038/s41467-018-06434-4&lt;/_doi&gt;&lt;_isbn&gt;2041-1723 (Electronic); 2041-1723 (Linking)&lt;/_isbn&gt;&lt;_issue&gt;1&lt;/_issue&gt;&lt;_journal&gt;Nat Commun&lt;/_journal&gt;&lt;_language&gt;eng&lt;/_language&gt;&lt;_pages&gt;4319&lt;/_pages&gt;&lt;_subject_headings&gt;Biomarkers/blood; Carcinoma/blood/*diagnosis; Discriminant Analysis; Female; Gene Expression Profiling; Humans; Mass Screening; MicroRNAs/*blood; Middle Aged; Models, Statistical; Ovarian Neoplasms/blood/*diagnosis&lt;/_subject_headings&gt;&lt;_tertiary_title&gt;Nature communications&lt;/_tertiary_title&gt;&lt;_type_work&gt;Journal Article; Research Support, Non-U.S. Gov&amp;apos;t&lt;/_type_work&gt;&lt;_url&gt;http://www.ncbi.nlm.nih.gov/entrez/query.fcgi?cmd=Retrieve&amp;amp;db=pubmed&amp;amp;dopt=Abstract&amp;amp;list_uids=30333487&amp;amp;query_hl=1&lt;/_url&gt;&lt;_volume&gt;9&lt;/_volume&gt;&lt;_created&gt;65188442&lt;/_created&gt;&lt;_modified&gt;65188442&lt;/_modified&gt;&lt;_impact_factor&gt;  16.600&lt;/_impact_factor&gt;&lt;_social_category&gt;综合性期刊(1)&lt;/_social_category&gt;&lt;_collection_scope&gt;SCIE&lt;/_collection_scope&gt;&lt;/Details&gt;&lt;Extra&gt;&lt;DBUID&gt;{EA5E5E1D-206A-4D98-8EB6-DF3345FA3763}&lt;/DBUID&gt;&lt;/Extra&gt;&lt;/Item&gt;&lt;/References&gt;&lt;/Group&gt;&lt;/Citation&gt;_x000a_"/>
    <w:docVar w:name="NE.Ref{BD4AED46-563F-4818-B404-40F1E2793E71}" w:val=" ADDIN NE.Ref.{BD4AED46-563F-4818-B404-40F1E2793E71}&lt;Citation&gt;&lt;Group&gt;&lt;References&gt;&lt;Item&gt;&lt;ID&gt;21&lt;/ID&gt;&lt;UID&gt;{DA6B6C1A-C02A-4AFD-87E3-1A448AE351A1}&lt;/UID&gt;&lt;Title&gt;Novel combination of serum microRNA for detecting breast cancer in the early  stage&lt;/Title&gt;&lt;Template&gt;Journal Article&lt;/Template&gt;&lt;Star&gt;0&lt;/Star&gt;&lt;Tag&gt;0&lt;/Tag&gt;&lt;Author&gt;Shimomura, A; Shiino, S; Kawauchi, J; Takizawa, S; Sakamoto, H; Matsuzaki, J; Ono, M; Takeshita, F; Niida, S; Shimizu, C; Fujiwara, Y; Kinoshita, T; Tamura, K; Ochiya, T&lt;/Author&gt;&lt;Year&gt;2016&lt;/Year&gt;&lt;Details&gt;&lt;_accession_num&gt;26749252&lt;/_accession_num&gt;&lt;_author_adr&gt;Department of Breast and Medical Oncology, National Cancer Center Hospital,  Tokyo, Japan.; Department of Medical Oncology and Translational Research, Graduate School of  Medical Sciences, Kumamoto University, Kumamoto, Japan.; Department of Breast Surgery, National Cancer Center Hospital, Tokyo, Japan.; New Frontiers Research Institute, Toray Industries, Kanagawa, Japan.; New Frontiers Research Institute, Toray Industries, Kanagawa, Japan.; Division of Genetics, Fundamental Innovative Oncology Core Center, National  Cancer Center Research Institute, Tokyo, Japan.; Division of Molecular and Cellular Medicine, Fundamental Innovative Oncology Core  Center, National Cancer Center Research Institute, Tokyo, Japan.; Department of Breast and Medical Oncology, National Cancer Center Hospital,  Tokyo, Japan.; Division of Molecular and Cellular Medicine, Fundamental Innovative Oncology Core  Center, National Cancer Center Research Institute, Tokyo, Japan.; Department of Functional Analysis, Fundamental Innovative Oncology Core Center,  National Cancer Center Research Institute, Tokyo, Japan.; Medical Genome Center, National Center for Geriatrics and Gerontology, Aichi,  Japan.; Department of Breast and Medical Oncology, National Cancer Center Hospital,  Tokyo, Japan.; Department of Breast and Medical Oncology, National Cancer Center Hospital,  Tokyo, Japan.; Department of Breast Surgery, National Cancer Center Hospital, Tokyo, Japan.; Department of Breast and Medical Oncology, National Cancer Center Hospital,  Tokyo, Japan.; Department of Medical Oncology and Translational Research, Graduate School of  Medical Sciences, Kumamoto University, Kumamoto, Japan.; Division of Molecular and Cellular Medicine, Fundamental Innovative Oncology Core  Center, National Cancer Center Research Institute, Tokyo, Japan.&lt;/_author_adr&gt;&lt;_date_display&gt;2016 Mar&lt;/_date_display&gt;&lt;_date&gt;2016-03-01&lt;/_date&gt;&lt;_doi&gt;10.1111/cas.12880&lt;/_doi&gt;&lt;_isbn&gt;1349-7006 (Electronic); 1347-9032 (Print); 1347-9032 (Linking)&lt;/_isbn&gt;&lt;_issue&gt;3&lt;/_issue&gt;&lt;_journal&gt;Cancer Sci&lt;/_journal&gt;&lt;_keywords&gt;Biomarker; breast cancer; cancer screening; liquid biopsy; microRNA&lt;/_keywords&gt;&lt;_language&gt;eng&lt;/_language&gt;&lt;_ori_publication&gt;© 2016 The Authors. Cancer Science published by John Wiley &amp;amp; Sons Australia, Ltd _x000d__x000a_      on behalf of Japanese Cancer Association.&lt;/_ori_publication&gt;&lt;_pages&gt;326-34&lt;/_pages&gt;&lt;_subject_headings&gt;Adult; Biomarkers, Tumor/*blood/genetics; Breast Neoplasms/*blood/diagnosis; Case-Control Studies; Early Detection of Cancer; Female; Gene Expression; Gene Regulatory Networks; Humans; Male; MicroRNAs/*blood/genetics; Middle Aged; ROC Curve&lt;/_subject_headings&gt;&lt;_tertiary_title&gt;Cancer science&lt;/_tertiary_title&gt;&lt;_type_work&gt;Journal Article; Research Support, Non-U.S. Gov&amp;apos;t&lt;/_type_work&gt;&lt;_url&gt;http://www.ncbi.nlm.nih.gov/entrez/query.fcgi?cmd=Retrieve&amp;amp;db=pubmed&amp;amp;dopt=Abstract&amp;amp;list_uids=26749252&amp;amp;query_hl=1&lt;/_url&gt;&lt;_volume&gt;107&lt;/_volume&gt;&lt;_created&gt;65188446&lt;/_created&gt;&lt;_modified&gt;65188446&lt;/_modified&gt;&lt;_impact_factor&gt;   5.700&lt;/_impact_factor&gt;&lt;_social_category&gt;肿瘤学(2)&lt;/_social_category&gt;&lt;_collection_scope&gt;SCIE&lt;/_collection_scope&gt;&lt;/Details&gt;&lt;Extra&gt;&lt;DBUID&gt;{EA5E5E1D-206A-4D98-8EB6-DF3345FA3763}&lt;/DBUID&gt;&lt;/Extra&gt;&lt;/Item&gt;&lt;/References&gt;&lt;/Group&gt;&lt;/Citation&gt;_x000a_"/>
    <w:docVar w:name="NE.Ref{BF4F6254-DAFC-4E3B-AE30-764A6380E4A8}" w:val=" ADDIN NE.Ref.{BF4F6254-DAFC-4E3B-AE30-764A6380E4A8}&lt;Citation&gt;&lt;Group&gt;&lt;References&gt;&lt;Item&gt;&lt;ID&gt;16&lt;/ID&gt;&lt;UID&gt;{91B006FB-CC24-4268-A22B-CAA1B1C28DCD}&lt;/UID&gt;&lt;Title&gt;Circulating miRNA panels for specific and early detection in bladder cancer&lt;/Title&gt;&lt;Template&gt;Journal Article&lt;/Template&gt;&lt;Star&gt;0&lt;/Star&gt;&lt;Tag&gt;0&lt;/Tag&gt;&lt;Author&gt;Usuba, W; Urabe, F; Yamamoto, Y; Matsuzaki, J; Sasaki, H; Ichikawa, M; Takizawa, S; Aoki, Y; Niida, S; Kato, K; Egawa, S; Chikaraishi, T; Fujimoto, H; Ochiya, T&lt;/Author&gt;&lt;Year&gt;2019&lt;/Year&gt;&lt;Details&gt;&lt;_accession_num&gt;30382619&lt;/_accession_num&gt;&lt;_author_adr&gt;Division of Molecular and Cellular Medicine, National Cancer Center Research  Institute, Tokyo, Japan.; Department of Urology, St. Marianna University School of Medicine, Kawasaki-shi,  Japan.; Division of Molecular and Cellular Medicine, National Cancer Center Research  Institute, Tokyo, Japan.; Department of Urology, The Jikei University School of Medicine, Tokyo, Japan.; Division of Molecular and Cellular Medicine, National Cancer Center Research  Institute, Tokyo, Japan.; Division of Molecular and Cellular Medicine, National Cancer Center Research  Institute, Tokyo, Japan.; Department of Urology, St. Marianna University School of Medicine, Kawasaki-shi,  Japan.; Toray Industries, Kamakura, Japan.; Toray Industries, Kamakura, Japan.; Dynacom, Chiba, Japan.; Medical Genome Center, National Center for Geriatrics and Gerontology, Obu,  Japan.; Department of Gastrointestinal Medical Oncology, National Cancer Center Hospital,  Tokyo, Japan.; Department of Urology, The Jikei University School of Medicine, Tokyo, Japan.; Department of Urology, St. Marianna University School of Medicine, Kawasaki-shi,  Japan.; Department of Urology, National Cancer Center Hospital, Tokyo, Japan.; Division of Molecular and Cellular Medicine, National Cancer Center Research  Institute, Tokyo, Japan.&lt;/_author_adr&gt;&lt;_date_display&gt;2019 Jan&lt;/_date_display&gt;&lt;_date&gt;2019-01-01&lt;/_date&gt;&lt;_doi&gt;10.1111/cas.13856&lt;/_doi&gt;&lt;_isbn&gt;1349-7006 (Electronic); 1347-9032 (Print); 1347-9032 (Linking)&lt;/_isbn&gt;&lt;_issue&gt;1&lt;/_issue&gt;&lt;_journal&gt;Cancer Sci&lt;/_journal&gt;&lt;_keywords&gt;bladder cancer; circulating microRNA; diagnosis; early detection; liquid biopsy&lt;/_keywords&gt;&lt;_language&gt;eng&lt;/_language&gt;&lt;_ori_publication&gt;© 2018 The Authors. Cancer Science published by John Wiley &amp;amp; Sons Australia, Ltd _x000d__x000a_      on behalf of Japanese Cancer Association.&lt;/_ori_publication&gt;&lt;_pages&gt;408-419&lt;/_pages&gt;&lt;_subject_headings&gt;Aged; Biomarkers, Tumor/blood/*genetics; Cohort Studies; Diagnosis, Differential; Early Detection of Cancer/*methods; Female; Gene Expression Profiling; Gene Expression Regulation, Neoplastic; Humans; Male; MicroRNAs/blood/*genetics; Middle Aged; Sensitivity and Specificity; Urinary Bladder Neoplasms/blood/diagnosis/*genetics&lt;/_subject_headings&gt;&lt;_tertiary_title&gt;Cancer science&lt;/_tertiary_title&gt;&lt;_type_work&gt;Journal Article&lt;/_type_work&gt;&lt;_url&gt;http://www.ncbi.nlm.nih.gov/entrez/query.fcgi?cmd=Retrieve&amp;amp;db=pubmed&amp;amp;dopt=Abstract&amp;amp;list_uids=30382619&amp;amp;query_hl=1&lt;/_url&gt;&lt;_volume&gt;110&lt;/_volume&gt;&lt;_created&gt;65188441&lt;/_created&gt;&lt;_modified&gt;65188441&lt;/_modified&gt;&lt;_impact_factor&gt;   5.700&lt;/_impact_factor&gt;&lt;_social_category&gt;肿瘤学(2)&lt;/_social_category&gt;&lt;_collection_scope&gt;SCIE&lt;/_collection_scope&gt;&lt;/Details&gt;&lt;Extra&gt;&lt;DBUID&gt;{EA5E5E1D-206A-4D98-8EB6-DF3345FA3763}&lt;/DBUID&gt;&lt;/Extra&gt;&lt;/Item&gt;&lt;/References&gt;&lt;/Group&gt;&lt;/Citation&gt;_x000a_"/>
    <w:docVar w:name="NE.Ref{C1924D17-36AA-4174-945C-CBBA7626D3E5}" w:val=" ADDIN NE.Ref.{C1924D17-36AA-4174-945C-CBBA7626D3E5}&lt;Citation&gt;&lt;Group&gt;&lt;References&gt;&lt;Item&gt;&lt;ID&gt;23&lt;/ID&gt;&lt;UID&gt;{86C389A2-E0DF-4C6E-A80A-6C6F31E4CCC9}&lt;/UID&gt;&lt;Title&gt;miRWalk--database: prediction of possible miRNA binding sites by &amp;quot;walking&amp;quot; the  genes of three genomes&lt;/Title&gt;&lt;Template&gt;Journal Article&lt;/Template&gt;&lt;Star&gt;0&lt;/Star&gt;&lt;Tag&gt;0&lt;/Tag&gt;&lt;Author&gt;Dweep, H; Sticht, C; Pandey, P; Gretz, N&lt;/Author&gt;&lt;Year&gt;2011&lt;/Year&gt;&lt;Details&gt;&lt;_accession_num&gt;21605702&lt;/_accession_num&gt;&lt;_author_adr&gt;Medical Research Center, Medical Faculty Mannheim, University of Heidelberg,  D-68167 Mannheim, Germany. harsh.dweep@medma.uni-heidelberg.de&lt;/_author_adr&gt;&lt;_date_display&gt;2011 Oct&lt;/_date_display&gt;&lt;_date&gt;2011-10-01&lt;/_date&gt;&lt;_doi&gt;10.1016/j.jbi.2011.05.002&lt;/_doi&gt;&lt;_isbn&gt;1532-0480 (Electronic); 1532-0464 (Linking)&lt;/_isbn&gt;&lt;_issue&gt;5&lt;/_issue&gt;&lt;_journal&gt;J Biomed Inform&lt;/_journal&gt;&lt;_language&gt;eng&lt;/_language&gt;&lt;_ori_publication&gt;Copyright © 2011 Elsevier Inc. All rights reserved.&lt;/_ori_publication&gt;&lt;_pages&gt;839-47&lt;/_pages&gt;&lt;_subject_headings&gt;3&amp;apos; Untranslated Regions; *Algorithms; Animals; Binding Sites; *Databases, Nucleic Acid; *Genome; Humans; Mice; MicroRNAs/*chemistry/metabolism; RNA, Messenger/chemistry; Rats&lt;/_subject_headings&gt;&lt;_tertiary_title&gt;Journal of biomedical informatics&lt;/_tertiary_title&gt;&lt;_type_work&gt;Journal Article; Research Support, Non-U.S. Gov&amp;apos;t&lt;/_type_work&gt;&lt;_url&gt;http://www.ncbi.nlm.nih.gov/entrez/query.fcgi?cmd=Retrieve&amp;amp;db=pubmed&amp;amp;dopt=Abstract&amp;amp;list_uids=21605702&amp;amp;query_hl=1&lt;/_url&gt;&lt;_volume&gt;44&lt;/_volume&gt;&lt;_created&gt;65188449&lt;/_created&gt;&lt;_modified&gt;65188449&lt;/_modified&gt;&lt;_impact_factor&gt;   4.500&lt;/_impact_factor&gt;&lt;_social_category&gt;计算机：跨学科应用(3) &amp;amp; 医学：信息(3)&lt;/_social_category&gt;&lt;_collection_scope&gt;SCIE;EI&lt;/_collection_scope&gt;&lt;/Details&gt;&lt;Extra&gt;&lt;DBUID&gt;{EA5E5E1D-206A-4D98-8EB6-DF3345FA3763}&lt;/DBUID&gt;&lt;/Extra&gt;&lt;/Item&gt;&lt;/References&gt;&lt;/Group&gt;&lt;Group&gt;&lt;References&gt;&lt;Item&gt;&lt;ID&gt;25&lt;/ID&gt;&lt;UID&gt;{47EA00D5-DD70-41FF-9CE2-BDDC15C3CBF7}&lt;/UID&gt;&lt;Title&gt;miRDB: an online database for prediction of functional microRNA targets&lt;/Title&gt;&lt;Template&gt;Journal Article&lt;/Template&gt;&lt;Star&gt;0&lt;/Star&gt;&lt;Tag&gt;0&lt;/Tag&gt;&lt;Author&gt;Chen, Y; Wang, X&lt;/Author&gt;&lt;Year&gt;2020&lt;/Year&gt;&lt;Details&gt;&lt;_accession_num&gt;31504780&lt;/_accession_num&gt;&lt;_author_adr&gt;Department of Radiation Oncology, Washington University School of Medicine, St  Louis, MO, USA.; Department of Electrical and Systems Engineering, Washington University in St  Louis, St Louis, MO, USA.; Department of Radiation Oncology, Washington University School of Medicine, St  Louis, MO, USA.&lt;/_author_adr&gt;&lt;_date_display&gt;2020 Jan 8&lt;/_date_display&gt;&lt;_date&gt;2020-01-08&lt;/_date&gt;&lt;_doi&gt;10.1093/nar/gkz757&lt;/_doi&gt;&lt;_isbn&gt;1362-4962 (Electronic); 0305-1048 (Print); 0305-1048 (Linking)&lt;/_isbn&gt;&lt;_issue&gt;D1&lt;/_issue&gt;&lt;_journal&gt;Nucleic Acids Res&lt;/_journal&gt;&lt;_language&gt;eng&lt;/_language&gt;&lt;_ori_publication&gt;© The Author(s) 2019. Published by Oxford University Press on behalf of Nucleic _x000d__x000a_      Acids Research.&lt;/_ori_publication&gt;&lt;_pages&gt;D127-D131&lt;/_pages&gt;&lt;_subject_headings&gt;Algorithms; Computational Biology/*methods; *Databases, Nucleic Acid; *Gene Expression Regulation; Gene Ontology; MicroRNAs/*genetics; *RNA Interference; RNA, Messenger/*genetics; User-Computer Interface; *Web Browser&lt;/_subject_headings&gt;&lt;_tertiary_title&gt;Nucleic acids research&lt;/_tertiary_title&gt;&lt;_type_work&gt;Journal Article; Research Support, N.I.H., Extramural&lt;/_type_work&gt;&lt;_url&gt;http://www.ncbi.nlm.nih.gov/entrez/query.fcgi?cmd=Retrieve&amp;amp;db=pubmed&amp;amp;dopt=Abstract&amp;amp;list_uids=31504780&amp;amp;query_hl=1&lt;/_url&gt;&lt;_volume&gt;48&lt;/_volume&gt;&lt;_created&gt;65188450&lt;/_created&gt;&lt;_modified&gt;65188450&lt;/_modified&gt;&lt;_impact_factor&gt;  14.900&lt;/_impact_factor&gt;&lt;_social_category&gt;生化与分子生物学(2)&lt;/_social_category&gt;&lt;_collection_scope&gt;SCIE&lt;/_collection_scope&gt;&lt;/Details&gt;&lt;Extra&gt;&lt;DBUID&gt;{EA5E5E1D-206A-4D98-8EB6-DF3345FA3763}&lt;/DBUID&gt;&lt;/Extra&gt;&lt;/Item&gt;&lt;/References&gt;&lt;/Group&gt;&lt;/Citation&gt;_x000a_"/>
    <w:docVar w:name="NE.Ref{D192B129-06DF-4D00-BAA8-B517F6901CE3}" w:val=" ADDIN NE.Ref.{D192B129-06DF-4D00-BAA8-B517F6901CE3}&lt;Citation&gt;&lt;Group&gt;&lt;References&gt;&lt;Item&gt;&lt;ID&gt;24&lt;/ID&gt;&lt;UID&gt;{D762C159-D47A-4ACB-A376-E3AD8F3478DD}&lt;/UID&gt;&lt;Title&gt;Prediction of mammalian microRNA targets&lt;/Title&gt;&lt;Template&gt;Journal Article&lt;/Template&gt;&lt;Star&gt;0&lt;/Star&gt;&lt;Tag&gt;0&lt;/Tag&gt;&lt;Author&gt;Lewis, B P; Shih, I H; Jones-Rhoades, M W; Bartel, D P; Burge, C B&lt;/Author&gt;&lt;Year&gt;2003&lt;/Year&gt;&lt;Details&gt;&lt;_accession_num&gt;14697198&lt;/_accession_num&gt;&lt;_author_adr&gt;Department of Biology, Massachusetts Institute of Technology, Cambridge, MA  02139, USA.&lt;/_author_adr&gt;&lt;_date_display&gt;2003 Dec 26&lt;/_date_display&gt;&lt;_date&gt;2003-12-26&lt;/_date&gt;&lt;_doi&gt;10.1016/s0092-8674(03)01018-3&lt;/_doi&gt;&lt;_isbn&gt;0092-8674 (Print); 0092-8674 (Linking)&lt;/_isbn&gt;&lt;_issue&gt;7&lt;/_issue&gt;&lt;_journal&gt;Cell&lt;/_journal&gt;&lt;_language&gt;eng&lt;/_language&gt;&lt;_pages&gt;787-98&lt;/_pages&gt;&lt;_subject_headings&gt;3&amp;apos; Untranslated Regions/genetics; 5&amp;apos; Untranslated Regions/genetics; Algorithms; Animals; Artifacts; Computational Biology/methods; Evolution, Molecular; Gene Expression Regulation/*genetics; Gene Targeting/methods; HeLa Cells; Humans; Mammals; Mice; MicroRNAs/*genetics; Molecular Biology/methods; Predictive Value of Tests; RNA Interference/*physiology; RNA, Messenger/*genetics/*isolation &amp;amp; purification; Rats; Sequence Homology, Nucleic Acid&lt;/_subject_headings&gt;&lt;_tertiary_title&gt;Cell&lt;/_tertiary_title&gt;&lt;_type_work&gt;Journal Article; Research Support, Non-U.S. Gov&amp;apos;t; Research Support, U.S. Gov&amp;apos;t, Non-P.H.S.; Research Support, U.S. Gov&amp;apos;t, P.H.S.&lt;/_type_work&gt;&lt;_url&gt;http://www.ncbi.nlm.nih.gov/entrez/query.fcgi?cmd=Retrieve&amp;amp;db=pubmed&amp;amp;dopt=Abstract&amp;amp;list_uids=14697198&amp;amp;query_hl=1&lt;/_url&gt;&lt;_volume&gt;115&lt;/_volume&gt;&lt;_created&gt;65188450&lt;/_created&gt;&lt;_modified&gt;65188450&lt;/_modified&gt;&lt;_impact_factor&gt;  64.500&lt;/_impact_factor&gt;&lt;_social_category&gt;生化与分子生物学(1) &amp;amp; 细胞生物学(1)&lt;/_social_category&gt;&lt;_collection_scope&gt;SCIE&lt;/_collection_scope&gt;&lt;/Details&gt;&lt;Extra&gt;&lt;DBUID&gt;{EA5E5E1D-206A-4D98-8EB6-DF3345FA3763}&lt;/DBUID&gt;&lt;/Extra&gt;&lt;/Item&gt;&lt;/References&gt;&lt;/Group&gt;&lt;Group&gt;&lt;References&gt;&lt;Item&gt;&lt;ID&gt;26&lt;/ID&gt;&lt;UID&gt;{6E921972-C590-4DDF-A719-E2D711BB5A0A}&lt;/UID&gt;&lt;Title&gt;miRTarBase update 2022: an informative resource for experimentally validated  miRNA-target interactions&lt;/Title&gt;&lt;Template&gt;Journal Article&lt;/Template&gt;&lt;Star&gt;0&lt;/Star&gt;&lt;Tag&gt;0&lt;/Tag&gt;&lt;Author&gt;Huang, H Y; Lin, Y C; Cui, S; Huang, Y; Tang, Y; Xu, J; Bao, J; Li, Y; Wen, J; Zuo, H; Wang, W; Li, J; Ni, J; Ruan, Y; Li, L; Chen, Y; Xie, Y; Zhu, Z; Cai, X; Chen, X; Yao, L; Chen, Y; Luo, Y; LuXu, S; Luo, M; Chiu, C M; Ma, K; Zhu, L; Cheng, G J; Bai, C; Chiang, Y C; Wang, L; Wei, F; Lee, T Y; Huang, H D&lt;/Author&gt;&lt;Year&gt;2022&lt;/Year&gt;&lt;Details&gt;&lt;_accession_num&gt;34850920&lt;/_accession_num&gt;&lt;_author_adr&gt;The Genetics Laboratory, Longgang District Maternity &amp;amp; Child Healthcare Hospital  of Shenzhen City,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The Genetics Laboratory, Longgang District Maternity &amp;amp; Child Healthcare Hospital  of Shenzhen City,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Division of Biological Sciences, Section of Bioinformatics, University of  California, San Diego, San Diego, CA 92093, US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Computer Science and Technology, University of Science and Technology  of China, Hefei 230027,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Warshel Institute for Computational Biology, The Chinese University of Hong Kong,  Shenzhen, Longgang District, Shenzhen, Guangdong518172, China.; Warshel Institute for Computational Biology,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Warshel Institute for Computational Biology, The Chinese University of Hong Kong,  Shenzhen, Longgang District, Shenzhen, Guangdong518172, China.; School of Science and Engineering, The Chinese University of Hong Kong, Shenzhen,  Longgang District, Shenzhen, Guangdong 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Kobilka Institute of Innovative Drug Discovery, School of Life and Health  Sciences, The Chinese University of Hong Kong, Shenzhen, Longgang  District, Shenzhen, Guangdong 518172, China.; Department of Reproductive Medicine Centre, Shenzhen Second People&amp;apos;s Hospital,  The First Affiliated Hospital of Shenzhen University, Shenzhen, Guangdong 518035,  China.; The Genetics Laboratory, Longgang District Maternity &amp;amp; Child Healthcare Hospital  of Shenzhen City, Shenzhen, Guangdong518172, China.; Department of Cell Biology, Jiamusi University, Jiamusi, Heilongjiang 154007,  China.; Shenzhen Children&amp;apos;s Hospital of China Medical University,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The Genetics Laboratory, Longgang District Maternity &amp;amp; Child Healthcare Hospital  of Shenzhen City,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lt;/_author_adr&gt;&lt;_date_display&gt;2022 Jan 7&lt;/_date_display&gt;&lt;_date&gt;2022-01-07&lt;/_date&gt;&lt;_doi&gt;10.1093/nar/gkab1079&lt;/_doi&gt;&lt;_isbn&gt;1362-4962 (Electronic); 0305-1048 (Print); 0305-1048 (Linking)&lt;/_isbn&gt;&lt;_issue&gt;D1&lt;/_issue&gt;&lt;_journal&gt;Nucleic Acids Res&lt;/_journal&gt;&lt;_language&gt;eng&lt;/_language&gt;&lt;_ori_publication&gt;© The Author(s) 2021. Published by Oxford University Press on behalf of Nucleic _x000d__x000a_      Acids Research.&lt;/_ori_publication&gt;&lt;_pages&gt;D222-D230&lt;/_pages&gt;&lt;_subject_headings&gt;*3&amp;apos; Untranslated Regions; Animals; Binding Sites; Biomarkers/metabolism; Data Mining/statistics &amp;amp; numerical data; *Databases, Nucleic Acid; Exosomes/chemistry/metabolism; Gene Expression Regulation; *Gene Regulatory Networks; Humans; Internet; Mice; MicroRNAs/classification/*genetics/metabolism; Molecular Sequence Annotation; Neoplasms/*genetics/metabolism/pathology; Polymorphism, Single Nucleotide; RNA, Untranslated/classification/*genetics/metabolism; Tumor Cells, Cultured; User-Computer Interface&lt;/_subject_headings&gt;&lt;_tertiary_title&gt;Nucleic acids research&lt;/_tertiary_title&gt;&lt;_type_work&gt;Journal Article; Research Support, Non-U.S. Gov&amp;apos;t&lt;/_type_work&gt;&lt;_url&gt;http://www.ncbi.nlm.nih.gov/entrez/query.fcgi?cmd=Retrieve&amp;amp;db=pubmed&amp;amp;dopt=Abstract&amp;amp;list_uids=34850920&amp;amp;query_hl=1&lt;/_url&gt;&lt;_volume&gt;50&lt;/_volume&gt;&lt;_created&gt;65188451&lt;/_created&gt;&lt;_modified&gt;65188451&lt;/_modified&gt;&lt;_impact_factor&gt;  14.900&lt;/_impact_factor&gt;&lt;_social_category&gt;生化与分子生物学(2)&lt;/_social_category&gt;&lt;_collection_scope&gt;SCIE&lt;/_collection_scope&gt;&lt;/Details&gt;&lt;Extra&gt;&lt;DBUID&gt;{EA5E5E1D-206A-4D98-8EB6-DF3345FA3763}&lt;/DBUID&gt;&lt;/Extra&gt;&lt;/Item&gt;&lt;/References&gt;&lt;/Group&gt;&lt;Group&gt;&lt;References&gt;&lt;Item&gt;&lt;ID&gt;25&lt;/ID&gt;&lt;UID&gt;{47EA00D5-DD70-41FF-9CE2-BDDC15C3CBF7}&lt;/UID&gt;&lt;Title&gt;miRDB: an online database for prediction of functional microRNA targets&lt;/Title&gt;&lt;Template&gt;Journal Article&lt;/Template&gt;&lt;Star&gt;0&lt;/Star&gt;&lt;Tag&gt;0&lt;/Tag&gt;&lt;Author&gt;Chen, Y; Wang, X&lt;/Author&gt;&lt;Year&gt;2020&lt;/Year&gt;&lt;Details&gt;&lt;_accession_num&gt;31504780&lt;/_accession_num&gt;&lt;_author_adr&gt;Department of Radiation Oncology, Washington University School of Medicine, St  Louis, MO, USA.; Department of Electrical and Systems Engineering, Washington University in St  Louis, St Louis, MO, USA.; Department of Radiation Oncology, Washington University School of Medicine, St  Louis, MO, USA.&lt;/_author_adr&gt;&lt;_date_display&gt;2020 Jan 8&lt;/_date_display&gt;&lt;_date&gt;2020-01-08&lt;/_date&gt;&lt;_doi&gt;10.1093/nar/gkz757&lt;/_doi&gt;&lt;_isbn&gt;1362-4962 (Electronic); 0305-1048 (Print); 0305-1048 (Linking)&lt;/_isbn&gt;&lt;_issue&gt;D1&lt;/_issue&gt;&lt;_journal&gt;Nucleic Acids Res&lt;/_journal&gt;&lt;_language&gt;eng&lt;/_language&gt;&lt;_ori_publication&gt;© The Author(s) 2019. Published by Oxford University Press on behalf of Nucleic _x000d__x000a_      Acids Research.&lt;/_ori_publication&gt;&lt;_pages&gt;D127-D131&lt;/_pages&gt;&lt;_subject_headings&gt;Algorithms; Computational Biology/*methods; *Databases, Nucleic Acid; *Gene Expression Regulation; Gene Ontology; MicroRNAs/*genetics; *RNA Interference; RNA, Messenger/*genetics; User-Computer Interface; *Web Browser&lt;/_subject_headings&gt;&lt;_tertiary_title&gt;Nucleic acids research&lt;/_tertiary_title&gt;&lt;_type_work&gt;Journal Article; Research Support, N.I.H., Extramural&lt;/_type_work&gt;&lt;_url&gt;http://www.ncbi.nlm.nih.gov/entrez/query.fcgi?cmd=Retrieve&amp;amp;db=pubmed&amp;amp;dopt=Abstract&amp;amp;list_uids=31504780&amp;amp;query_hl=1&lt;/_url&gt;&lt;_volume&gt;48&lt;/_volume&gt;&lt;_created&gt;65188450&lt;/_created&gt;&lt;_modified&gt;65188450&lt;/_modified&gt;&lt;_impact_factor&gt;  14.900&lt;/_impact_factor&gt;&lt;_social_category&gt;生化与分子生物学(2)&lt;/_social_category&gt;&lt;_collection_scope&gt;SCIE&lt;/_collection_scope&gt;&lt;/Details&gt;&lt;Extra&gt;&lt;DBUID&gt;{EA5E5E1D-206A-4D98-8EB6-DF3345FA3763}&lt;/DBUID&gt;&lt;/Extra&gt;&lt;/Item&gt;&lt;/References&gt;&lt;/Group&gt;&lt;/Citation&gt;_x000a_"/>
    <w:docVar w:name="NE.Ref{E8C8F162-A46D-40AB-A1D5-26F0FBED85AC}" w:val=" ADDIN NE.Ref.{E8C8F162-A46D-40AB-A1D5-26F0FBED85AC}&lt;Citation&gt;&lt;Group&gt;&lt;References&gt;&lt;Item&gt;&lt;ID&gt;22&lt;/ID&gt;&lt;UID&gt;{FB99D7D0-B33F-48C7-95E7-0D7330FB495F}&lt;/UID&gt;&lt;Title&gt;Gene Ontology Consortium: going forward&lt;/Title&gt;&lt;Template&gt;Journal Article&lt;/Template&gt;&lt;Star&gt;0&lt;/Star&gt;&lt;Tag&gt;0&lt;/Tag&gt;&lt;Author/&gt;&lt;Year&gt;2015&lt;/Year&gt;&lt;Details&gt;&lt;_accession_num&gt;25428369&lt;/_accession_num&gt;&lt;_date_display&gt;2015 Jan&lt;/_date_display&gt;&lt;_date&gt;2015-01-01&lt;/_date&gt;&lt;_doi&gt;10.1093/nar/gku1179&lt;/_doi&gt;&lt;_isbn&gt;1362-4962 (Electronic); 0305-1048 (Print); 0305-1048 (Linking)&lt;/_isbn&gt;&lt;_issue&gt;Database issue&lt;/_issue&gt;&lt;_journal&gt;Nucleic Acids Res&lt;/_journal&gt;&lt;_language&gt;eng&lt;/_language&gt;&lt;_ori_publication&gt;© The Author(s) 2014. Published by Oxford University Press on behalf of Nucleic _x000d__x000a_      Acids Research.&lt;/_ori_publication&gt;&lt;_pages&gt;D1049-56&lt;/_pages&gt;&lt;_subject_headings&gt;Cell Cycle; *Databases, Genetic; *Gene Ontology; Internet; Molecular Sequence Annotation&lt;/_subject_headings&gt;&lt;_tertiary_title&gt;Nucleic acids research&lt;/_tertiary_title&gt;&lt;_type_work&gt;Journal Article; Research Support, N.I.H., Extramural&lt;/_type_work&gt;&lt;_url&gt;http://www.ncbi.nlm.nih.gov/entrez/query.fcgi?cmd=Retrieve&amp;amp;db=pubmed&amp;amp;dopt=Abstract&amp;amp;list_uids=25428369&amp;amp;query_hl=1&lt;/_url&gt;&lt;_volume&gt;43&lt;/_volume&gt;&lt;_created&gt;65188448&lt;/_created&gt;&lt;_modified&gt;65188448&lt;/_modified&gt;&lt;_impact_factor&gt;  14.900&lt;/_impact_factor&gt;&lt;_social_category&gt;生化与分子生物学(2)&lt;/_social_category&gt;&lt;_collection_scope&gt;SCIE&lt;/_collection_scope&gt;&lt;/Details&gt;&lt;Extra&gt;&lt;DBUID&gt;{EA5E5E1D-206A-4D98-8EB6-DF3345FA3763}&lt;/DBUID&gt;&lt;/Extra&gt;&lt;/Item&gt;&lt;/References&gt;&lt;/Group&gt;&lt;/Citation&gt;_x000a_"/>
    <w:docVar w:name="NE.Ref{EAB997F2-14BD-4F54-B915-DA4B69F7BEBC}" w:val=" ADDIN NE.Ref.{EAB997F2-14BD-4F54-B915-DA4B69F7BEBC}&lt;Citation&gt;&lt;Group&gt;&lt;References&gt;&lt;Item&gt;&lt;ID&gt;20&lt;/ID&gt;&lt;UID&gt;{8F2CF2C7-D5C7-44C1-8FB0-2AF0A0B4B3D1}&lt;/UID&gt;&lt;Title&gt;Assessment of the Diagnostic Utility of Serum MicroRNA Classification in Patients  With Diffuse Glioma&lt;/Title&gt;&lt;Template&gt;Journal Article&lt;/Template&gt;&lt;Star&gt;0&lt;/Star&gt;&lt;Tag&gt;0&lt;/Tag&gt;&lt;Author&gt;Ohno, M; Matsuzaki, J; Kawauchi, J; Aoki, Y; Miura, J; Takizawa, S; Kato, K; Sakamoto, H; Matsushita, Y; Takahashi, M; Miyakita, Y; Ichimura, K; Narita, Y; Ochiya, T&lt;/Author&gt;&lt;Year&gt;2019&lt;/Year&gt;&lt;Details&gt;&lt;_accession_num&gt;31808923&lt;/_accession_num&gt;&lt;_author_adr&gt;Department of Neurosurgery and Neuro-oncology, National Cancer Center Hospital,  Tokyo, Japan.; Division of Molecular and Cellular Medicine, National Cancer Center Research  Institute, Tokyo, Japan.; Division of Molecular and Cellular Medicine, National Cancer Center Research  Institute, Tokyo, Japan.; Toray Industries, Inc, Tebiro, Kamakura, Japan.; Dynacom Co, Ltd, Chiba, Japan.; Dynacom Co, Ltd, Chiba, Japan.; Division of Molecular and Cellular Medicine, National Cancer Center Research  Institute, Tokyo, Japan.; Toray Industries, Inc, Tebiro, Kamakura, Japan.; Department of Gastrointestinal Medical Oncology, National Cancer Center Hospital,  Tokyo, Japan.; Department of Biobank and Tissue Resources, National Cancer Center Research  Institute, Tokyo, Japan.; Department of Neurosurgery and Neuro-oncology, National Cancer Center Hospital,  Tokyo, Japan.; Department of Neurosurgery and Neuro-oncology, National Cancer Center Hospital,  Tokyo, Japan.; Department of Neurosurgery and Neuro-oncology, National Cancer Center Hospital,  Tokyo, Japan.; Division of Brain Tumor Translational Research, National Cancer Center Research  Institute, Tokyo, Japan.; Department of Neurosurgery and Neuro-oncology, National Cancer Center Hospital,  Tokyo, Japan.; Division of Molecular and Cellular Medicine, National Cancer Center Research  Institute, Tokyo, Japan.; Department of Molecular and Cellular Medicine, Tokyo Medical University, Tokyo,  Japan.&lt;/_author_adr&gt;&lt;_date_display&gt;2019 Dec 2&lt;/_date_display&gt;&lt;_date&gt;2019-12-02&lt;/_date&gt;&lt;_doi&gt;10.1001/jamanetworkopen.2019.16953&lt;/_doi&gt;&lt;_isbn&gt;2574-3805 (Electronic); 2574-3805 (Linking)&lt;/_isbn&gt;&lt;_issue&gt;12&lt;/_issue&gt;&lt;_journal&gt;JAMA Netw Open&lt;/_journal&gt;&lt;_language&gt;eng&lt;/_language&gt;&lt;_pages&gt;e1916953&lt;/_pages&gt;&lt;_subject_headings&gt;Adolescent; Adult; Aged; Aged, 80 and over; Biomarkers, Tumor/blood; Brain Neoplasms/*diagnosis/secondary; Case-Control Studies; Central Nervous System Neoplasms/*diagnosis; Diagnosis, Differential; Female; Glioblastoma/*diagnosis; Glioma/*diagnosis; Humans; Lymphoma/*diagnosis; Male; MicroRNAs/*blood; Middle Aged; ROC Curve; Retrospective Studies; Sensitivity and Specificity; Young Adult&lt;/_subject_headings&gt;&lt;_tertiary_title&gt;JAMA network open&lt;/_tertiary_title&gt;&lt;_type_work&gt;Journal Article; Research Support, Non-U.S. Gov&amp;apos;t&lt;/_type_work&gt;&lt;_url&gt;http://www.ncbi.nlm.nih.gov/entrez/query.fcgi?cmd=Retrieve&amp;amp;db=pubmed&amp;amp;dopt=Abstract&amp;amp;list_uids=31808923&amp;amp;query_hl=1&lt;/_url&gt;&lt;_volume&gt;2&lt;/_volume&gt;&lt;_created&gt;65188446&lt;/_created&gt;&lt;_modified&gt;65188446&lt;/_modified&gt;&lt;_impact_factor&gt;  13.800&lt;/_impact_factor&gt;&lt;_social_category&gt;医学：内科(1)&lt;/_social_category&gt;&lt;_collection_scope&gt;SCIE&lt;/_collection_scope&gt;&lt;/Details&gt;&lt;Extra&gt;&lt;DBUID&gt;{EA5E5E1D-206A-4D98-8EB6-DF3345FA3763}&lt;/DBUID&gt;&lt;/Extra&gt;&lt;/Item&gt;&lt;/References&gt;&lt;/Group&gt;&lt;/Citation&gt;_x000a_"/>
    <w:docVar w:name="NE.Ref{ECE15EE2-F06D-45C8-85D9-EC4017793005}" w:val=" ADDIN NE.Ref.{ECE15EE2-F06D-45C8-85D9-EC4017793005}&lt;Citation&gt;&lt;Group&gt;&lt;References&gt;&lt;Item&gt;&lt;ID&gt;14&lt;/ID&gt;&lt;UID&gt;{5DC5137C-9D46-4F47-9896-3FE8B5904308}&lt;/UID&gt;&lt;Title&gt;Development and Validation of an Esophageal Squamous Cell Carcinoma Detection  Model by Large-Scale MicroRNA Profiling&lt;/Title&gt;&lt;Template&gt;Journal Article&lt;/Template&gt;&lt;Star&gt;0&lt;/Star&gt;&lt;Tag&gt;0&lt;/Tag&gt;&lt;Author&gt;Sudo, K; Kato, K; Matsuzaki, J; Boku, N; Abe, S; Saito, Y; Daiko, H; Takizawa, S; Aoki, Y; Sakamoto, H; Niida, S; Takeshita, F; Fukuda, T; Ochiya, T&lt;/Author&gt;&lt;Year&gt;2019&lt;/Year&gt;&lt;Details&gt;&lt;_accession_num&gt;31125107&lt;/_accession_num&gt;&lt;_author_adr&gt;Department of Breast and Medical Oncology, National Cancer Center Hospital,  Tokyo, Japan.; Advanced Clinical Research of Cancer, Juntendo University Graduate School of  Medicine, Tokyo, Japan.; Department of Gastrointestinal Medical Oncology, National Cancer Center Hospital,  Tokyo, Japan.; Department of Gastrointestinal Medical Oncology, National Cancer Center Hospital,  Tokyo, Japan.; Division of Molecular and Cellular Medicine, National Cancer Center Research  Institute, Tokyo, Japan.; Department of Gastrointestinal Medical Oncology, National Cancer Center Hospital,  Tokyo, Japan.; Endoscopy Division, National Cancer Center Hospital, Tokyo, Japan.; Endoscopy Division, National Cancer Center Hospital, Tokyo, Japan.; Department of Esophageal Surgery, National Cancer Center Hospital, Tokyo, Japan.; Division of Molecular and Cellular Medicine, National Cancer Center Research  Institute, Tokyo, Japan.; Toray Industries, Inc, Kamakura, Japan.; Dynacom Co, Mihama, Japan.; Department of Biobank and Tissue Resources, National Cancer Center Research  Institute, Tokyo, Japan.; Medical Genome Center, National Center for Geriatrics and Gerontology, Obu,  Japan.; Fundamental Innovative Oncology Core Center, National Cancer Center Research  Institute, Tokyo, Japan.; Department of Hematopoietic Stem Cell Transplantation, National Cancer Center  Hospital, Tokyo, Japan.; Division of Molecular and Cellular Medicine, National Cancer Center Research  Institute, Tokyo, Japan.&lt;/_author_adr&gt;&lt;_date_display&gt;2019 May 3&lt;/_date_display&gt;&lt;_date&gt;2019-05-03&lt;/_date&gt;&lt;_doi&gt;10.1001/jamanetworkopen.2019.4573&lt;/_doi&gt;&lt;_isbn&gt;2574-3805 (Electronic); 2574-3805 (Linking)&lt;/_isbn&gt;&lt;_issue&gt;5&lt;/_issue&gt;&lt;_journal&gt;JAMA Netw Open&lt;/_journal&gt;&lt;_language&gt;eng&lt;/_language&gt;&lt;_pages&gt;e194573&lt;/_pages&gt;&lt;_subject_headings&gt;Adult; Aged; Aged, 80 and over; Biomarkers, Tumor/blood; Case-Control Studies; Early Detection of Cancer/methods; Esophageal Neoplasms/*blood/diagnosis; Esophageal Squamous Cell Carcinoma/*blood/diagnosis; Female; Humans; Male; MicroRNAs/*blood; Middle Aged; Predictive Value of Tests; Retrospective Studies; Young Adult&lt;/_subject_headings&gt;&lt;_tertiary_title&gt;JAMA network open&lt;/_tertiary_title&gt;&lt;_type_work&gt;Journal Article; Research Support, Non-U.S. Gov&amp;apos;t; Validation Study&lt;/_type_work&gt;&lt;_url&gt;http://www.ncbi.nlm.nih.gov/entrez/query.fcgi?cmd=Retrieve&amp;amp;db=pubmed&amp;amp;dopt=Abstract&amp;amp;list_uids=31125107&amp;amp;query_hl=1&lt;/_url&gt;&lt;_volume&gt;2&lt;/_volume&gt;&lt;_created&gt;65188438&lt;/_created&gt;&lt;_modified&gt;65188438&lt;/_modified&gt;&lt;_impact_factor&gt;  13.800&lt;/_impact_factor&gt;&lt;_social_category&gt;医学：内科(1)&lt;/_social_category&gt;&lt;_collection_scope&gt;SCIE&lt;/_collection_scope&gt;&lt;/Details&gt;&lt;Extra&gt;&lt;DBUID&gt;{EA5E5E1D-206A-4D98-8EB6-DF3345FA3763}&lt;/DBUID&gt;&lt;/Extra&gt;&lt;/Item&gt;&lt;/References&gt;&lt;/Group&gt;&lt;/Citation&gt;_x000a_"/>
    <w:docVar w:name="NE.Ref{F8C98BEF-56E2-4BB8-AC49-CE5811CAC202}" w:val=" ADDIN NE.Ref.{F8C98BEF-56E2-4BB8-AC49-CE5811CAC202}&lt;Citation&gt;&lt;Group&gt;&lt;References&gt;&lt;Item&gt;&lt;ID&gt;24&lt;/ID&gt;&lt;UID&gt;{D762C159-D47A-4ACB-A376-E3AD8F3478DD}&lt;/UID&gt;&lt;Title&gt;Prediction of mammalian microRNA targets&lt;/Title&gt;&lt;Template&gt;Journal Article&lt;/Template&gt;&lt;Star&gt;0&lt;/Star&gt;&lt;Tag&gt;0&lt;/Tag&gt;&lt;Author&gt;Lewis, B P; Shih, I H; Jones-Rhoades, M W; Bartel, D P; Burge, C B&lt;/Author&gt;&lt;Year&gt;2003&lt;/Year&gt;&lt;Details&gt;&lt;_accession_num&gt;14697198&lt;/_accession_num&gt;&lt;_author_adr&gt;Department of Biology, Massachusetts Institute of Technology, Cambridge, MA  02139, USA.&lt;/_author_adr&gt;&lt;_date_display&gt;2003 Dec 26&lt;/_date_display&gt;&lt;_date&gt;2003-12-26&lt;/_date&gt;&lt;_doi&gt;10.1016/s0092-8674(03)01018-3&lt;/_doi&gt;&lt;_isbn&gt;0092-8674 (Print); 0092-8674 (Linking)&lt;/_isbn&gt;&lt;_issue&gt;7&lt;/_issue&gt;&lt;_journal&gt;Cell&lt;/_journal&gt;&lt;_language&gt;eng&lt;/_language&gt;&lt;_pages&gt;787-98&lt;/_pages&gt;&lt;_subject_headings&gt;3&amp;apos; Untranslated Regions/genetics; 5&amp;apos; Untranslated Regions/genetics; Algorithms; Animals; Artifacts; Computational Biology/methods; Evolution, Molecular; Gene Expression Regulation/*genetics; Gene Targeting/methods; HeLa Cells; Humans; Mammals; Mice; MicroRNAs/*genetics; Molecular Biology/methods; Predictive Value of Tests; RNA Interference/*physiology; RNA, Messenger/*genetics/*isolation &amp;amp; purification; Rats; Sequence Homology, Nucleic Acid&lt;/_subject_headings&gt;&lt;_tertiary_title&gt;Cell&lt;/_tertiary_title&gt;&lt;_type_work&gt;Journal Article; Research Support, Non-U.S. Gov&amp;apos;t; Research Support, U.S. Gov&amp;apos;t, Non-P.H.S.; Research Support, U.S. Gov&amp;apos;t, P.H.S.&lt;/_type_work&gt;&lt;_url&gt;http://www.ncbi.nlm.nih.gov/entrez/query.fcgi?cmd=Retrieve&amp;amp;db=pubmed&amp;amp;dopt=Abstract&amp;amp;list_uids=14697198&amp;amp;query_hl=1&lt;/_url&gt;&lt;_volume&gt;115&lt;/_volume&gt;&lt;_created&gt;65188450&lt;/_created&gt;&lt;_modified&gt;65188450&lt;/_modified&gt;&lt;_impact_factor&gt;  64.500&lt;/_impact_factor&gt;&lt;_social_category&gt;生化与分子生物学(1) &amp;amp; 细胞生物学(1)&lt;/_social_category&gt;&lt;_collection_scope&gt;SCIE&lt;/_collection_scope&gt;&lt;/Details&gt;&lt;Extra&gt;&lt;DBUID&gt;{EA5E5E1D-206A-4D98-8EB6-DF3345FA3763}&lt;/DBUID&gt;&lt;/Extra&gt;&lt;/Item&gt;&lt;/References&gt;&lt;/Group&gt;&lt;Group&gt;&lt;References&gt;&lt;Item&gt;&lt;ID&gt;25&lt;/ID&gt;&lt;UID&gt;{47EA00D5-DD70-41FF-9CE2-BDDC15C3CBF7}&lt;/UID&gt;&lt;Title&gt;miRDB: an online database for prediction of functional microRNA targets&lt;/Title&gt;&lt;Template&gt;Journal Article&lt;/Template&gt;&lt;Star&gt;0&lt;/Star&gt;&lt;Tag&gt;0&lt;/Tag&gt;&lt;Author&gt;Chen, Y; Wang, X&lt;/Author&gt;&lt;Year&gt;2020&lt;/Year&gt;&lt;Details&gt;&lt;_accession_num&gt;31504780&lt;/_accession_num&gt;&lt;_author_adr&gt;Department of Radiation Oncology, Washington University School of Medicine, St  Louis, MO, USA.; Department of Electrical and Systems Engineering, Washington University in St  Louis, St Louis, MO, USA.; Department of Radiation Oncology, Washington University School of Medicine, St  Louis, MO, USA.&lt;/_author_adr&gt;&lt;_date_display&gt;2020 Jan 8&lt;/_date_display&gt;&lt;_date&gt;2020-01-08&lt;/_date&gt;&lt;_doi&gt;10.1093/nar/gkz757&lt;/_doi&gt;&lt;_isbn&gt;1362-4962 (Electronic); 0305-1048 (Print); 0305-1048 (Linking)&lt;/_isbn&gt;&lt;_issue&gt;D1&lt;/_issue&gt;&lt;_journal&gt;Nucleic Acids Res&lt;/_journal&gt;&lt;_language&gt;eng&lt;/_language&gt;&lt;_ori_publication&gt;© The Author(s) 2019. Published by Oxford University Press on behalf of Nucleic _x000d__x000a_      Acids Research.&lt;/_ori_publication&gt;&lt;_pages&gt;D127-D131&lt;/_pages&gt;&lt;_subject_headings&gt;Algorithms; Computational Biology/*methods; *Databases, Nucleic Acid; *Gene Expression Regulation; Gene Ontology; MicroRNAs/*genetics; *RNA Interference; RNA, Messenger/*genetics; User-Computer Interface; *Web Browser&lt;/_subject_headings&gt;&lt;_tertiary_title&gt;Nucleic acids research&lt;/_tertiary_title&gt;&lt;_type_work&gt;Journal Article; Research Support, N.I.H., Extramural&lt;/_type_work&gt;&lt;_url&gt;http://www.ncbi.nlm.nih.gov/entrez/query.fcgi?cmd=Retrieve&amp;amp;db=pubmed&amp;amp;dopt=Abstract&amp;amp;list_uids=31504780&amp;amp;query_hl=1&lt;/_url&gt;&lt;_volume&gt;48&lt;/_volume&gt;&lt;_created&gt;65188450&lt;/_created&gt;&lt;_modified&gt;65188450&lt;/_modified&gt;&lt;_impact_factor&gt;  14.900&lt;/_impact_factor&gt;&lt;_social_category&gt;生化与分子生物学(2)&lt;/_social_category&gt;&lt;_collection_scope&gt;SCIE&lt;/_collection_scope&gt;&lt;/Details&gt;&lt;Extra&gt;&lt;DBUID&gt;{EA5E5E1D-206A-4D98-8EB6-DF3345FA3763}&lt;/DBUID&gt;&lt;/Extra&gt;&lt;/Item&gt;&lt;/References&gt;&lt;/Group&gt;&lt;Group&gt;&lt;References&gt;&lt;Item&gt;&lt;ID&gt;26&lt;/ID&gt;&lt;UID&gt;{6E921972-C590-4DDF-A719-E2D711BB5A0A}&lt;/UID&gt;&lt;Title&gt;miRTarBase update 2022: an informative resource for experimentally validated  miRNA-target interactions&lt;/Title&gt;&lt;Template&gt;Journal Article&lt;/Template&gt;&lt;Star&gt;0&lt;/Star&gt;&lt;Tag&gt;0&lt;/Tag&gt;&lt;Author&gt;Huang, H Y; Lin, Y C; Cui, S; Huang, Y; Tang, Y; Xu, J; Bao, J; Li, Y; Wen, J; Zuo, H; Wang, W; Li, J; Ni, J; Ruan, Y; Li, L; Chen, Y; Xie, Y; Zhu, Z; Cai, X; Chen, X; Yao, L; Chen, Y; Luo, Y; LuXu, S; Luo, M; Chiu, C M; Ma, K; Zhu, L; Cheng, G J; Bai, C; Chiang, Y C; Wang, L; Wei, F; Lee, T Y; Huang, H D&lt;/Author&gt;&lt;Year&gt;2022&lt;/Year&gt;&lt;Details&gt;&lt;_accession_num&gt;34850920&lt;/_accession_num&gt;&lt;_author_adr&gt;The Genetics Laboratory, Longgang District Maternity &amp;amp; Child Healthcare Hospital  of Shenzhen City,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The Genetics Laboratory, Longgang District Maternity &amp;amp; Child Healthcare Hospital  of Shenzhen City,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Division of Biological Sciences, Section of Bioinformatics, University of  California, San Diego, San Diego, CA 92093, US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Computer Science and Technology, University of Science and Technology  of China, Hefei 230027,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Warshel Institute for Computational Biology, The Chinese University of Hong Kong,  Shenzhen, Longgang District, Shenzhen, Guangdong518172, China.; Warshel Institute for Computational Biology,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Warshel Institute for Computational Biology, The Chinese University of Hong Kong,  Shenzhen, Longgang District, Shenzhen, Guangdong518172, China.; School of Science and Engineering, The Chinese University of Hong Kong, Shenzhen,  Longgang District, Shenzhen, Guangdong 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Kobilka Institute of Innovative Drug Discovery, School of Life and Health  Sciences, The Chinese University of Hong Kong, Shenzhen, Longgang  District, Shenzhen, Guangdong 518172, China.; Department of Reproductive Medicine Centre, Shenzhen Second People&amp;apos;s Hospital,  The First Affiliated Hospital of Shenzhen University, Shenzhen, Guangdong 518035,  China.; The Genetics Laboratory, Longgang District Maternity &amp;amp; Child Healthcare Hospital  of Shenzhen City, Shenzhen, Guangdong518172, China.; Department of Cell Biology, Jiamusi University, Jiamusi, Heilongjiang 154007,  China.; Shenzhen Children&amp;apos;s Hospital of China Medical University,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 The Genetics Laboratory, Longgang District Maternity &amp;amp; Child Healthcare Hospital  of Shenzhen City, Shenzhen, Guangdong518172, China.; School of Life and Health Sciences, The Chinese University of Hong Kong,  Shenzhen, Longgang District, Shenzhen, Guangdong518172, China.; Warshel Institute for Computational Biology, The Chinese University of Hong Kong,  Shenzhen, Longgang District, Shenzhen, Guangdong518172, China.&lt;/_author_adr&gt;&lt;_date_display&gt;2022 Jan 7&lt;/_date_display&gt;&lt;_date&gt;2022-01-07&lt;/_date&gt;&lt;_doi&gt;10.1093/nar/gkab1079&lt;/_doi&gt;&lt;_isbn&gt;1362-4962 (Electronic); 0305-1048 (Print); 0305-1048 (Linking)&lt;/_isbn&gt;&lt;_issue&gt;D1&lt;/_issue&gt;&lt;_journal&gt;Nucleic Acids Res&lt;/_journal&gt;&lt;_language&gt;eng&lt;/_language&gt;&lt;_ori_publication&gt;© The Author(s) 2021. Published by Oxford University Press on behalf of Nucleic _x000d__x000a_      Acids Research.&lt;/_ori_publication&gt;&lt;_pages&gt;D222-D230&lt;/_pages&gt;&lt;_subject_headings&gt;*3&amp;apos; Untranslated Regions; Animals; Binding Sites; Biomarkers/metabolism; Data Mining/statistics &amp;amp; numerical data; *Databases, Nucleic Acid; Exosomes/chemistry/metabolism; Gene Expression Regulation; *Gene Regulatory Networks; Humans; Internet; Mice; MicroRNAs/classification/*genetics/metabolism; Molecular Sequence Annotation; Neoplasms/*genetics/metabolism/pathology; Polymorphism, Single Nucleotide; RNA, Untranslated/classification/*genetics/metabolism; Tumor Cells, Cultured; User-Computer Interface&lt;/_subject_headings&gt;&lt;_tertiary_title&gt;Nucleic acids research&lt;/_tertiary_title&gt;&lt;_type_work&gt;Journal Article; Research Support, Non-U.S. Gov&amp;apos;t&lt;/_type_work&gt;&lt;_url&gt;http://www.ncbi.nlm.nih.gov/entrez/query.fcgi?cmd=Retrieve&amp;amp;db=pubmed&amp;amp;dopt=Abstract&amp;amp;list_uids=34850920&amp;amp;query_hl=1&lt;/_url&gt;&lt;_volume&gt;50&lt;/_volume&gt;&lt;_created&gt;65188451&lt;/_created&gt;&lt;_modified&gt;65188451&lt;/_modified&gt;&lt;_impact_factor&gt;  14.900&lt;/_impact_factor&gt;&lt;_social_category&gt;生化与分子生物学(2)&lt;/_social_category&gt;&lt;_collection_scope&gt;SCIE&lt;/_collection_scope&gt;&lt;/Details&gt;&lt;Extra&gt;&lt;DBUID&gt;{EA5E5E1D-206A-4D98-8EB6-DF3345FA3763}&lt;/DBUID&gt;&lt;/Extra&gt;&lt;/Item&gt;&lt;/References&gt;&lt;/Group&gt;&lt;/Citation&gt;_x000a_"/>
    <w:docVar w:name="ne_docsoft" w:val="MSWord"/>
    <w:docVar w:name="ne_docversion" w:val="NoteExpress 2.0"/>
    <w:docVar w:name="ne_stylename" w:val="Molecular Cancer"/>
  </w:docVars>
  <w:rsids>
    <w:rsidRoot w:val="00413BB7"/>
    <w:rsid w:val="00000DC6"/>
    <w:rsid w:val="0000432F"/>
    <w:rsid w:val="00005208"/>
    <w:rsid w:val="00006C49"/>
    <w:rsid w:val="00015065"/>
    <w:rsid w:val="00015D38"/>
    <w:rsid w:val="0002161F"/>
    <w:rsid w:val="00022EF4"/>
    <w:rsid w:val="00023AB0"/>
    <w:rsid w:val="00030214"/>
    <w:rsid w:val="00031482"/>
    <w:rsid w:val="0003791D"/>
    <w:rsid w:val="00044C29"/>
    <w:rsid w:val="000543F3"/>
    <w:rsid w:val="000546D5"/>
    <w:rsid w:val="00057775"/>
    <w:rsid w:val="00062805"/>
    <w:rsid w:val="00070327"/>
    <w:rsid w:val="00071A4C"/>
    <w:rsid w:val="00075AE2"/>
    <w:rsid w:val="000820C2"/>
    <w:rsid w:val="00082168"/>
    <w:rsid w:val="000844BE"/>
    <w:rsid w:val="00085212"/>
    <w:rsid w:val="00086AB4"/>
    <w:rsid w:val="000875AE"/>
    <w:rsid w:val="00090626"/>
    <w:rsid w:val="0009293F"/>
    <w:rsid w:val="00095084"/>
    <w:rsid w:val="0009552F"/>
    <w:rsid w:val="00096521"/>
    <w:rsid w:val="00097BF5"/>
    <w:rsid w:val="000A0747"/>
    <w:rsid w:val="000A146A"/>
    <w:rsid w:val="000A5B73"/>
    <w:rsid w:val="000A6187"/>
    <w:rsid w:val="000A67A3"/>
    <w:rsid w:val="000A6802"/>
    <w:rsid w:val="000A6815"/>
    <w:rsid w:val="000A6B4F"/>
    <w:rsid w:val="000B09A1"/>
    <w:rsid w:val="000B3F6C"/>
    <w:rsid w:val="000B5A37"/>
    <w:rsid w:val="000C157F"/>
    <w:rsid w:val="000C3082"/>
    <w:rsid w:val="000D17B7"/>
    <w:rsid w:val="000D3AAA"/>
    <w:rsid w:val="000E1BAE"/>
    <w:rsid w:val="000E3A95"/>
    <w:rsid w:val="000E63C9"/>
    <w:rsid w:val="000F05E1"/>
    <w:rsid w:val="000F36CA"/>
    <w:rsid w:val="000F5400"/>
    <w:rsid w:val="000F5DF5"/>
    <w:rsid w:val="000F6CD3"/>
    <w:rsid w:val="00104016"/>
    <w:rsid w:val="00104A63"/>
    <w:rsid w:val="001050E5"/>
    <w:rsid w:val="00106CC3"/>
    <w:rsid w:val="0010783C"/>
    <w:rsid w:val="00107B9C"/>
    <w:rsid w:val="00123AC1"/>
    <w:rsid w:val="00124096"/>
    <w:rsid w:val="00124A11"/>
    <w:rsid w:val="00135F2C"/>
    <w:rsid w:val="0014303C"/>
    <w:rsid w:val="0014376F"/>
    <w:rsid w:val="0015127D"/>
    <w:rsid w:val="00160978"/>
    <w:rsid w:val="00161516"/>
    <w:rsid w:val="001618AE"/>
    <w:rsid w:val="00164508"/>
    <w:rsid w:val="00166602"/>
    <w:rsid w:val="0017100D"/>
    <w:rsid w:val="00172CB8"/>
    <w:rsid w:val="001750E5"/>
    <w:rsid w:val="001771EC"/>
    <w:rsid w:val="0017735E"/>
    <w:rsid w:val="00177E2D"/>
    <w:rsid w:val="00182FA9"/>
    <w:rsid w:val="0018462A"/>
    <w:rsid w:val="001939A0"/>
    <w:rsid w:val="00197229"/>
    <w:rsid w:val="00197B0B"/>
    <w:rsid w:val="001B399F"/>
    <w:rsid w:val="001B5FDE"/>
    <w:rsid w:val="001B75C9"/>
    <w:rsid w:val="001C6167"/>
    <w:rsid w:val="001C6D8A"/>
    <w:rsid w:val="001D25DB"/>
    <w:rsid w:val="001E0E33"/>
    <w:rsid w:val="001E1093"/>
    <w:rsid w:val="001E21CC"/>
    <w:rsid w:val="001E26C3"/>
    <w:rsid w:val="001E3D80"/>
    <w:rsid w:val="001E6A74"/>
    <w:rsid w:val="001F3136"/>
    <w:rsid w:val="001F4339"/>
    <w:rsid w:val="001F7687"/>
    <w:rsid w:val="001F7F7F"/>
    <w:rsid w:val="00200FA0"/>
    <w:rsid w:val="00201E37"/>
    <w:rsid w:val="0020481F"/>
    <w:rsid w:val="002065B1"/>
    <w:rsid w:val="00206D4D"/>
    <w:rsid w:val="00211267"/>
    <w:rsid w:val="002134D7"/>
    <w:rsid w:val="002232A4"/>
    <w:rsid w:val="002233F1"/>
    <w:rsid w:val="00224720"/>
    <w:rsid w:val="00227439"/>
    <w:rsid w:val="00227FEF"/>
    <w:rsid w:val="002311B7"/>
    <w:rsid w:val="00241DC5"/>
    <w:rsid w:val="002430F1"/>
    <w:rsid w:val="0024389C"/>
    <w:rsid w:val="00247613"/>
    <w:rsid w:val="00250EC1"/>
    <w:rsid w:val="00250ECF"/>
    <w:rsid w:val="0025222F"/>
    <w:rsid w:val="0025561E"/>
    <w:rsid w:val="0025617E"/>
    <w:rsid w:val="002567B6"/>
    <w:rsid w:val="00257926"/>
    <w:rsid w:val="00260DF2"/>
    <w:rsid w:val="00265DFC"/>
    <w:rsid w:val="002669E9"/>
    <w:rsid w:val="00270411"/>
    <w:rsid w:val="002711A4"/>
    <w:rsid w:val="00275CE4"/>
    <w:rsid w:val="00283694"/>
    <w:rsid w:val="00284CF9"/>
    <w:rsid w:val="0028573C"/>
    <w:rsid w:val="00297390"/>
    <w:rsid w:val="002A23EF"/>
    <w:rsid w:val="002A35BD"/>
    <w:rsid w:val="002A55C1"/>
    <w:rsid w:val="002B0B63"/>
    <w:rsid w:val="002B11FA"/>
    <w:rsid w:val="002B295C"/>
    <w:rsid w:val="002B7F5A"/>
    <w:rsid w:val="002C0F6E"/>
    <w:rsid w:val="002C2B23"/>
    <w:rsid w:val="002D2177"/>
    <w:rsid w:val="002D4368"/>
    <w:rsid w:val="002D4997"/>
    <w:rsid w:val="002D4B3C"/>
    <w:rsid w:val="002E2482"/>
    <w:rsid w:val="002E50DC"/>
    <w:rsid w:val="002E6512"/>
    <w:rsid w:val="002F04EC"/>
    <w:rsid w:val="002F3204"/>
    <w:rsid w:val="00301607"/>
    <w:rsid w:val="00302E1B"/>
    <w:rsid w:val="003047F4"/>
    <w:rsid w:val="0030481D"/>
    <w:rsid w:val="00305A4E"/>
    <w:rsid w:val="0031014E"/>
    <w:rsid w:val="00313F76"/>
    <w:rsid w:val="003140C8"/>
    <w:rsid w:val="00314FD7"/>
    <w:rsid w:val="00315ADA"/>
    <w:rsid w:val="00321499"/>
    <w:rsid w:val="00326B6E"/>
    <w:rsid w:val="0033198A"/>
    <w:rsid w:val="00332373"/>
    <w:rsid w:val="003361FE"/>
    <w:rsid w:val="0033715A"/>
    <w:rsid w:val="00340FEB"/>
    <w:rsid w:val="003421B3"/>
    <w:rsid w:val="00347A44"/>
    <w:rsid w:val="003548C6"/>
    <w:rsid w:val="003627AE"/>
    <w:rsid w:val="00363B4C"/>
    <w:rsid w:val="003653BA"/>
    <w:rsid w:val="00366435"/>
    <w:rsid w:val="003707FF"/>
    <w:rsid w:val="00370B9A"/>
    <w:rsid w:val="0038060F"/>
    <w:rsid w:val="00382DD0"/>
    <w:rsid w:val="003959B6"/>
    <w:rsid w:val="003970A3"/>
    <w:rsid w:val="003A1B38"/>
    <w:rsid w:val="003A4FF4"/>
    <w:rsid w:val="003A5109"/>
    <w:rsid w:val="003A55F9"/>
    <w:rsid w:val="003A61E8"/>
    <w:rsid w:val="003A7964"/>
    <w:rsid w:val="003B032F"/>
    <w:rsid w:val="003B0A37"/>
    <w:rsid w:val="003B2258"/>
    <w:rsid w:val="003B3660"/>
    <w:rsid w:val="003B6BAC"/>
    <w:rsid w:val="003C539A"/>
    <w:rsid w:val="003D0232"/>
    <w:rsid w:val="003D3F05"/>
    <w:rsid w:val="003D61CA"/>
    <w:rsid w:val="003D6C06"/>
    <w:rsid w:val="003E1440"/>
    <w:rsid w:val="003E3986"/>
    <w:rsid w:val="003E3F73"/>
    <w:rsid w:val="003E4A5D"/>
    <w:rsid w:val="003E5E87"/>
    <w:rsid w:val="003E6867"/>
    <w:rsid w:val="003F00A5"/>
    <w:rsid w:val="003F178B"/>
    <w:rsid w:val="003F2727"/>
    <w:rsid w:val="003F6C63"/>
    <w:rsid w:val="004058CC"/>
    <w:rsid w:val="00413BB7"/>
    <w:rsid w:val="00415356"/>
    <w:rsid w:val="004162CE"/>
    <w:rsid w:val="00420555"/>
    <w:rsid w:val="00420A3B"/>
    <w:rsid w:val="00425F71"/>
    <w:rsid w:val="00431B6E"/>
    <w:rsid w:val="00440399"/>
    <w:rsid w:val="004410F7"/>
    <w:rsid w:val="00441B6A"/>
    <w:rsid w:val="004431E8"/>
    <w:rsid w:val="004442CC"/>
    <w:rsid w:val="0044779F"/>
    <w:rsid w:val="00451529"/>
    <w:rsid w:val="00453031"/>
    <w:rsid w:val="00456192"/>
    <w:rsid w:val="00463830"/>
    <w:rsid w:val="00471FDC"/>
    <w:rsid w:val="0047204F"/>
    <w:rsid w:val="00473299"/>
    <w:rsid w:val="004827EC"/>
    <w:rsid w:val="004840F2"/>
    <w:rsid w:val="0048575F"/>
    <w:rsid w:val="004858D5"/>
    <w:rsid w:val="00491A24"/>
    <w:rsid w:val="004928E3"/>
    <w:rsid w:val="0049685E"/>
    <w:rsid w:val="00497132"/>
    <w:rsid w:val="004B372E"/>
    <w:rsid w:val="004B7752"/>
    <w:rsid w:val="004C1D16"/>
    <w:rsid w:val="004C60BA"/>
    <w:rsid w:val="004C6849"/>
    <w:rsid w:val="004D0A41"/>
    <w:rsid w:val="004D1C50"/>
    <w:rsid w:val="004D2C92"/>
    <w:rsid w:val="004D5B54"/>
    <w:rsid w:val="004D6FD2"/>
    <w:rsid w:val="004E1107"/>
    <w:rsid w:val="004E2FA0"/>
    <w:rsid w:val="004E3D75"/>
    <w:rsid w:val="004F00EC"/>
    <w:rsid w:val="004F066D"/>
    <w:rsid w:val="004F2FCF"/>
    <w:rsid w:val="004F5022"/>
    <w:rsid w:val="004F63B6"/>
    <w:rsid w:val="004F6551"/>
    <w:rsid w:val="004F67A2"/>
    <w:rsid w:val="004F75A0"/>
    <w:rsid w:val="0050048D"/>
    <w:rsid w:val="00505EF9"/>
    <w:rsid w:val="0050639F"/>
    <w:rsid w:val="00507839"/>
    <w:rsid w:val="00512757"/>
    <w:rsid w:val="00514985"/>
    <w:rsid w:val="00515231"/>
    <w:rsid w:val="005154FA"/>
    <w:rsid w:val="005178D5"/>
    <w:rsid w:val="0052755A"/>
    <w:rsid w:val="00527624"/>
    <w:rsid w:val="00532E1E"/>
    <w:rsid w:val="005334BF"/>
    <w:rsid w:val="00533A0D"/>
    <w:rsid w:val="00533EF3"/>
    <w:rsid w:val="00535828"/>
    <w:rsid w:val="005367A1"/>
    <w:rsid w:val="005369DB"/>
    <w:rsid w:val="005473C9"/>
    <w:rsid w:val="00547C22"/>
    <w:rsid w:val="00550025"/>
    <w:rsid w:val="00550483"/>
    <w:rsid w:val="00557D7F"/>
    <w:rsid w:val="0056416E"/>
    <w:rsid w:val="00564D61"/>
    <w:rsid w:val="00567111"/>
    <w:rsid w:val="00577D75"/>
    <w:rsid w:val="0058105F"/>
    <w:rsid w:val="005810A4"/>
    <w:rsid w:val="00582730"/>
    <w:rsid w:val="00585A35"/>
    <w:rsid w:val="00593BC1"/>
    <w:rsid w:val="00593EE9"/>
    <w:rsid w:val="005A1318"/>
    <w:rsid w:val="005A2518"/>
    <w:rsid w:val="005A49AD"/>
    <w:rsid w:val="005B1F41"/>
    <w:rsid w:val="005B255F"/>
    <w:rsid w:val="005B4BD3"/>
    <w:rsid w:val="005B5E16"/>
    <w:rsid w:val="005C1518"/>
    <w:rsid w:val="005C245C"/>
    <w:rsid w:val="005C36A8"/>
    <w:rsid w:val="005C5D9B"/>
    <w:rsid w:val="005D4102"/>
    <w:rsid w:val="005D425C"/>
    <w:rsid w:val="005E34EE"/>
    <w:rsid w:val="005F573F"/>
    <w:rsid w:val="00602DA9"/>
    <w:rsid w:val="00602F9A"/>
    <w:rsid w:val="006148DE"/>
    <w:rsid w:val="00615C6B"/>
    <w:rsid w:val="006165C6"/>
    <w:rsid w:val="0062001D"/>
    <w:rsid w:val="00623717"/>
    <w:rsid w:val="00623A7A"/>
    <w:rsid w:val="00625E02"/>
    <w:rsid w:val="00627AA1"/>
    <w:rsid w:val="0063168A"/>
    <w:rsid w:val="006318D7"/>
    <w:rsid w:val="0063232D"/>
    <w:rsid w:val="006467A8"/>
    <w:rsid w:val="00647A95"/>
    <w:rsid w:val="0065151C"/>
    <w:rsid w:val="00654D08"/>
    <w:rsid w:val="0065714A"/>
    <w:rsid w:val="00661B96"/>
    <w:rsid w:val="006625BF"/>
    <w:rsid w:val="00663179"/>
    <w:rsid w:val="00664142"/>
    <w:rsid w:val="006700C4"/>
    <w:rsid w:val="006714F5"/>
    <w:rsid w:val="0068319B"/>
    <w:rsid w:val="0068348B"/>
    <w:rsid w:val="00686220"/>
    <w:rsid w:val="006916C4"/>
    <w:rsid w:val="00691B3C"/>
    <w:rsid w:val="00695B35"/>
    <w:rsid w:val="00695EF3"/>
    <w:rsid w:val="006A1BE1"/>
    <w:rsid w:val="006A2920"/>
    <w:rsid w:val="006A6855"/>
    <w:rsid w:val="006A70C8"/>
    <w:rsid w:val="006B0D99"/>
    <w:rsid w:val="006B5461"/>
    <w:rsid w:val="006C1921"/>
    <w:rsid w:val="006C66F6"/>
    <w:rsid w:val="006C7E69"/>
    <w:rsid w:val="006D0439"/>
    <w:rsid w:val="006D0C29"/>
    <w:rsid w:val="006D4387"/>
    <w:rsid w:val="006D5B4B"/>
    <w:rsid w:val="006E51C5"/>
    <w:rsid w:val="006E5C45"/>
    <w:rsid w:val="006E788B"/>
    <w:rsid w:val="006F17C0"/>
    <w:rsid w:val="006F293B"/>
    <w:rsid w:val="006F2E43"/>
    <w:rsid w:val="006F3B24"/>
    <w:rsid w:val="007028BF"/>
    <w:rsid w:val="007060EB"/>
    <w:rsid w:val="00706431"/>
    <w:rsid w:val="0071033A"/>
    <w:rsid w:val="00714560"/>
    <w:rsid w:val="007164D2"/>
    <w:rsid w:val="00716590"/>
    <w:rsid w:val="007222E4"/>
    <w:rsid w:val="0072631D"/>
    <w:rsid w:val="00727BC2"/>
    <w:rsid w:val="007302E7"/>
    <w:rsid w:val="00730442"/>
    <w:rsid w:val="007309A8"/>
    <w:rsid w:val="00734BB0"/>
    <w:rsid w:val="00736B30"/>
    <w:rsid w:val="00740C86"/>
    <w:rsid w:val="007459A7"/>
    <w:rsid w:val="00746988"/>
    <w:rsid w:val="00762739"/>
    <w:rsid w:val="00766E52"/>
    <w:rsid w:val="00770F9E"/>
    <w:rsid w:val="00772E11"/>
    <w:rsid w:val="00775827"/>
    <w:rsid w:val="00776604"/>
    <w:rsid w:val="00776C33"/>
    <w:rsid w:val="00777583"/>
    <w:rsid w:val="007809FA"/>
    <w:rsid w:val="00784624"/>
    <w:rsid w:val="00797C16"/>
    <w:rsid w:val="007A050D"/>
    <w:rsid w:val="007A1D40"/>
    <w:rsid w:val="007A2B77"/>
    <w:rsid w:val="007A3705"/>
    <w:rsid w:val="007A5D18"/>
    <w:rsid w:val="007B435D"/>
    <w:rsid w:val="007C304A"/>
    <w:rsid w:val="007C3D39"/>
    <w:rsid w:val="007C4707"/>
    <w:rsid w:val="007C50DB"/>
    <w:rsid w:val="007D0574"/>
    <w:rsid w:val="007D164B"/>
    <w:rsid w:val="007D5908"/>
    <w:rsid w:val="007E76C5"/>
    <w:rsid w:val="007F1BEE"/>
    <w:rsid w:val="007F55C8"/>
    <w:rsid w:val="0080413B"/>
    <w:rsid w:val="00805C20"/>
    <w:rsid w:val="00815B34"/>
    <w:rsid w:val="008160E0"/>
    <w:rsid w:val="0081652A"/>
    <w:rsid w:val="00821A1F"/>
    <w:rsid w:val="00821BBE"/>
    <w:rsid w:val="00821FBB"/>
    <w:rsid w:val="008220D3"/>
    <w:rsid w:val="00822D99"/>
    <w:rsid w:val="00835B09"/>
    <w:rsid w:val="00837CA5"/>
    <w:rsid w:val="00846A79"/>
    <w:rsid w:val="0085366B"/>
    <w:rsid w:val="00855346"/>
    <w:rsid w:val="008636BD"/>
    <w:rsid w:val="008667B2"/>
    <w:rsid w:val="008711F5"/>
    <w:rsid w:val="00871676"/>
    <w:rsid w:val="008724B9"/>
    <w:rsid w:val="00872504"/>
    <w:rsid w:val="00872660"/>
    <w:rsid w:val="00876603"/>
    <w:rsid w:val="00877294"/>
    <w:rsid w:val="0088138F"/>
    <w:rsid w:val="0089164C"/>
    <w:rsid w:val="008935FD"/>
    <w:rsid w:val="00893DF8"/>
    <w:rsid w:val="00895A38"/>
    <w:rsid w:val="00897C1D"/>
    <w:rsid w:val="008A0048"/>
    <w:rsid w:val="008A3370"/>
    <w:rsid w:val="008A3374"/>
    <w:rsid w:val="008A72E9"/>
    <w:rsid w:val="008A7B2B"/>
    <w:rsid w:val="008B32DB"/>
    <w:rsid w:val="008B5CC2"/>
    <w:rsid w:val="008B6666"/>
    <w:rsid w:val="008B71CD"/>
    <w:rsid w:val="008C4B96"/>
    <w:rsid w:val="008C6F5F"/>
    <w:rsid w:val="008D0C35"/>
    <w:rsid w:val="008D769B"/>
    <w:rsid w:val="008E6924"/>
    <w:rsid w:val="008F2ACC"/>
    <w:rsid w:val="008F2FCA"/>
    <w:rsid w:val="008F36D0"/>
    <w:rsid w:val="008F55F2"/>
    <w:rsid w:val="00903CC1"/>
    <w:rsid w:val="0090400C"/>
    <w:rsid w:val="00904FB0"/>
    <w:rsid w:val="009067A6"/>
    <w:rsid w:val="00911C2E"/>
    <w:rsid w:val="00914794"/>
    <w:rsid w:val="0091783B"/>
    <w:rsid w:val="009225C5"/>
    <w:rsid w:val="00930FD7"/>
    <w:rsid w:val="00934901"/>
    <w:rsid w:val="00936831"/>
    <w:rsid w:val="00953D01"/>
    <w:rsid w:val="00955D5B"/>
    <w:rsid w:val="00956337"/>
    <w:rsid w:val="00960C64"/>
    <w:rsid w:val="00963136"/>
    <w:rsid w:val="00964F5C"/>
    <w:rsid w:val="00970F64"/>
    <w:rsid w:val="00973ACA"/>
    <w:rsid w:val="009743C8"/>
    <w:rsid w:val="00974605"/>
    <w:rsid w:val="00982B8C"/>
    <w:rsid w:val="0098686D"/>
    <w:rsid w:val="00986AC3"/>
    <w:rsid w:val="00990529"/>
    <w:rsid w:val="009966D9"/>
    <w:rsid w:val="00997002"/>
    <w:rsid w:val="00997250"/>
    <w:rsid w:val="009A2391"/>
    <w:rsid w:val="009A31DC"/>
    <w:rsid w:val="009A5FB1"/>
    <w:rsid w:val="009B0ECB"/>
    <w:rsid w:val="009B5193"/>
    <w:rsid w:val="009B7E1E"/>
    <w:rsid w:val="009D4ED7"/>
    <w:rsid w:val="009E0D64"/>
    <w:rsid w:val="009E1FF9"/>
    <w:rsid w:val="009E2A97"/>
    <w:rsid w:val="009E44E2"/>
    <w:rsid w:val="009E558A"/>
    <w:rsid w:val="009F45DF"/>
    <w:rsid w:val="00A03022"/>
    <w:rsid w:val="00A0431A"/>
    <w:rsid w:val="00A075B1"/>
    <w:rsid w:val="00A07950"/>
    <w:rsid w:val="00A1068B"/>
    <w:rsid w:val="00A118B2"/>
    <w:rsid w:val="00A11A65"/>
    <w:rsid w:val="00A1650A"/>
    <w:rsid w:val="00A178FC"/>
    <w:rsid w:val="00A1799F"/>
    <w:rsid w:val="00A23BA9"/>
    <w:rsid w:val="00A25F7C"/>
    <w:rsid w:val="00A27D1E"/>
    <w:rsid w:val="00A34391"/>
    <w:rsid w:val="00A34D69"/>
    <w:rsid w:val="00A35E59"/>
    <w:rsid w:val="00A36C14"/>
    <w:rsid w:val="00A41136"/>
    <w:rsid w:val="00A419A2"/>
    <w:rsid w:val="00A44FF6"/>
    <w:rsid w:val="00A5149E"/>
    <w:rsid w:val="00A51912"/>
    <w:rsid w:val="00A51C4A"/>
    <w:rsid w:val="00A65DCD"/>
    <w:rsid w:val="00A713E8"/>
    <w:rsid w:val="00A76EEA"/>
    <w:rsid w:val="00A84EC4"/>
    <w:rsid w:val="00A861D9"/>
    <w:rsid w:val="00A922EA"/>
    <w:rsid w:val="00A9361C"/>
    <w:rsid w:val="00A96623"/>
    <w:rsid w:val="00AA4348"/>
    <w:rsid w:val="00AA4E63"/>
    <w:rsid w:val="00AA5BF4"/>
    <w:rsid w:val="00AB12A1"/>
    <w:rsid w:val="00AB38A2"/>
    <w:rsid w:val="00AB5FE5"/>
    <w:rsid w:val="00AB6FDA"/>
    <w:rsid w:val="00AC348D"/>
    <w:rsid w:val="00AD5555"/>
    <w:rsid w:val="00AD7468"/>
    <w:rsid w:val="00AE2E10"/>
    <w:rsid w:val="00AE3653"/>
    <w:rsid w:val="00AE4831"/>
    <w:rsid w:val="00AE493E"/>
    <w:rsid w:val="00AE7BC3"/>
    <w:rsid w:val="00AF011B"/>
    <w:rsid w:val="00AF0C3F"/>
    <w:rsid w:val="00AF4676"/>
    <w:rsid w:val="00B01785"/>
    <w:rsid w:val="00B036BF"/>
    <w:rsid w:val="00B12495"/>
    <w:rsid w:val="00B17E86"/>
    <w:rsid w:val="00B234BC"/>
    <w:rsid w:val="00B25CD2"/>
    <w:rsid w:val="00B26B12"/>
    <w:rsid w:val="00B31545"/>
    <w:rsid w:val="00B402A3"/>
    <w:rsid w:val="00B42897"/>
    <w:rsid w:val="00B434A5"/>
    <w:rsid w:val="00B50288"/>
    <w:rsid w:val="00B54D07"/>
    <w:rsid w:val="00B60C57"/>
    <w:rsid w:val="00B66886"/>
    <w:rsid w:val="00B766FE"/>
    <w:rsid w:val="00B76704"/>
    <w:rsid w:val="00B81A79"/>
    <w:rsid w:val="00B90A8E"/>
    <w:rsid w:val="00B90FEE"/>
    <w:rsid w:val="00B9748A"/>
    <w:rsid w:val="00BA06B2"/>
    <w:rsid w:val="00BA1300"/>
    <w:rsid w:val="00BA2588"/>
    <w:rsid w:val="00BA3A5A"/>
    <w:rsid w:val="00BB1636"/>
    <w:rsid w:val="00BB1756"/>
    <w:rsid w:val="00BB1D03"/>
    <w:rsid w:val="00BB55D4"/>
    <w:rsid w:val="00BC1BD5"/>
    <w:rsid w:val="00BC2318"/>
    <w:rsid w:val="00BC4FA7"/>
    <w:rsid w:val="00BC7E43"/>
    <w:rsid w:val="00BD03F8"/>
    <w:rsid w:val="00BD4963"/>
    <w:rsid w:val="00BD5994"/>
    <w:rsid w:val="00BD5E38"/>
    <w:rsid w:val="00BE215A"/>
    <w:rsid w:val="00BE25CC"/>
    <w:rsid w:val="00BE5FD3"/>
    <w:rsid w:val="00BF1954"/>
    <w:rsid w:val="00BF707E"/>
    <w:rsid w:val="00BF70F1"/>
    <w:rsid w:val="00BF7589"/>
    <w:rsid w:val="00C00828"/>
    <w:rsid w:val="00C01EFB"/>
    <w:rsid w:val="00C024D9"/>
    <w:rsid w:val="00C0690D"/>
    <w:rsid w:val="00C10297"/>
    <w:rsid w:val="00C1224E"/>
    <w:rsid w:val="00C21C7D"/>
    <w:rsid w:val="00C2315B"/>
    <w:rsid w:val="00C235FC"/>
    <w:rsid w:val="00C317B4"/>
    <w:rsid w:val="00C32A51"/>
    <w:rsid w:val="00C34046"/>
    <w:rsid w:val="00C3460A"/>
    <w:rsid w:val="00C36E24"/>
    <w:rsid w:val="00C5029C"/>
    <w:rsid w:val="00C51CC1"/>
    <w:rsid w:val="00C547EF"/>
    <w:rsid w:val="00C54B79"/>
    <w:rsid w:val="00C5563C"/>
    <w:rsid w:val="00C56F71"/>
    <w:rsid w:val="00C57085"/>
    <w:rsid w:val="00C57EB5"/>
    <w:rsid w:val="00C6189C"/>
    <w:rsid w:val="00C63BF2"/>
    <w:rsid w:val="00C665F7"/>
    <w:rsid w:val="00C717E4"/>
    <w:rsid w:val="00C72530"/>
    <w:rsid w:val="00C80E0B"/>
    <w:rsid w:val="00C8441F"/>
    <w:rsid w:val="00C86971"/>
    <w:rsid w:val="00C94EBA"/>
    <w:rsid w:val="00C974B0"/>
    <w:rsid w:val="00CA17D2"/>
    <w:rsid w:val="00CA1A5A"/>
    <w:rsid w:val="00CA4B5C"/>
    <w:rsid w:val="00CA7B09"/>
    <w:rsid w:val="00CB0A8E"/>
    <w:rsid w:val="00CB0AA7"/>
    <w:rsid w:val="00CB12EE"/>
    <w:rsid w:val="00CC08A4"/>
    <w:rsid w:val="00CC1269"/>
    <w:rsid w:val="00CC14D8"/>
    <w:rsid w:val="00CC3618"/>
    <w:rsid w:val="00CD0C2C"/>
    <w:rsid w:val="00CD16DA"/>
    <w:rsid w:val="00CD1CDB"/>
    <w:rsid w:val="00CD228C"/>
    <w:rsid w:val="00CD4C7E"/>
    <w:rsid w:val="00CE00E0"/>
    <w:rsid w:val="00CE48B9"/>
    <w:rsid w:val="00CE4D86"/>
    <w:rsid w:val="00CE682C"/>
    <w:rsid w:val="00CF0002"/>
    <w:rsid w:val="00CF1ACA"/>
    <w:rsid w:val="00CF351D"/>
    <w:rsid w:val="00CF4475"/>
    <w:rsid w:val="00CF50B1"/>
    <w:rsid w:val="00CF7E3F"/>
    <w:rsid w:val="00D01FD7"/>
    <w:rsid w:val="00D051ED"/>
    <w:rsid w:val="00D159A6"/>
    <w:rsid w:val="00D16660"/>
    <w:rsid w:val="00D20B51"/>
    <w:rsid w:val="00D25E76"/>
    <w:rsid w:val="00D2659F"/>
    <w:rsid w:val="00D31711"/>
    <w:rsid w:val="00D37BDF"/>
    <w:rsid w:val="00D4510A"/>
    <w:rsid w:val="00D45622"/>
    <w:rsid w:val="00D47153"/>
    <w:rsid w:val="00D50DD1"/>
    <w:rsid w:val="00D61EFE"/>
    <w:rsid w:val="00D61FD8"/>
    <w:rsid w:val="00D6661B"/>
    <w:rsid w:val="00D71D35"/>
    <w:rsid w:val="00D75C04"/>
    <w:rsid w:val="00D76653"/>
    <w:rsid w:val="00D807C3"/>
    <w:rsid w:val="00D8363A"/>
    <w:rsid w:val="00D91F96"/>
    <w:rsid w:val="00D92EEC"/>
    <w:rsid w:val="00D93908"/>
    <w:rsid w:val="00D95E91"/>
    <w:rsid w:val="00DA3326"/>
    <w:rsid w:val="00DA3F76"/>
    <w:rsid w:val="00DB326C"/>
    <w:rsid w:val="00DD5CD5"/>
    <w:rsid w:val="00DE5DE8"/>
    <w:rsid w:val="00DF3BDD"/>
    <w:rsid w:val="00DF3D57"/>
    <w:rsid w:val="00DF52ED"/>
    <w:rsid w:val="00DF5A17"/>
    <w:rsid w:val="00E02DC3"/>
    <w:rsid w:val="00E0413D"/>
    <w:rsid w:val="00E070D5"/>
    <w:rsid w:val="00E1322C"/>
    <w:rsid w:val="00E14F27"/>
    <w:rsid w:val="00E15775"/>
    <w:rsid w:val="00E1637B"/>
    <w:rsid w:val="00E172DA"/>
    <w:rsid w:val="00E22B2B"/>
    <w:rsid w:val="00E2317F"/>
    <w:rsid w:val="00E23DCC"/>
    <w:rsid w:val="00E24CCB"/>
    <w:rsid w:val="00E260B3"/>
    <w:rsid w:val="00E368AF"/>
    <w:rsid w:val="00E40951"/>
    <w:rsid w:val="00E40EBF"/>
    <w:rsid w:val="00E42743"/>
    <w:rsid w:val="00E43709"/>
    <w:rsid w:val="00E43FB6"/>
    <w:rsid w:val="00E53558"/>
    <w:rsid w:val="00E54796"/>
    <w:rsid w:val="00E617DF"/>
    <w:rsid w:val="00E61A4C"/>
    <w:rsid w:val="00E71616"/>
    <w:rsid w:val="00E742A9"/>
    <w:rsid w:val="00E81955"/>
    <w:rsid w:val="00E82825"/>
    <w:rsid w:val="00E845A9"/>
    <w:rsid w:val="00E90365"/>
    <w:rsid w:val="00E913DD"/>
    <w:rsid w:val="00E92520"/>
    <w:rsid w:val="00E97B21"/>
    <w:rsid w:val="00EA53E5"/>
    <w:rsid w:val="00EA6C66"/>
    <w:rsid w:val="00EA72E5"/>
    <w:rsid w:val="00EB4E96"/>
    <w:rsid w:val="00EB79DF"/>
    <w:rsid w:val="00EC2145"/>
    <w:rsid w:val="00EC4721"/>
    <w:rsid w:val="00EC5199"/>
    <w:rsid w:val="00ED0747"/>
    <w:rsid w:val="00ED658C"/>
    <w:rsid w:val="00ED7158"/>
    <w:rsid w:val="00EE56B5"/>
    <w:rsid w:val="00EE626C"/>
    <w:rsid w:val="00F016BE"/>
    <w:rsid w:val="00F02478"/>
    <w:rsid w:val="00F02FC2"/>
    <w:rsid w:val="00F0508C"/>
    <w:rsid w:val="00F07556"/>
    <w:rsid w:val="00F076B5"/>
    <w:rsid w:val="00F11636"/>
    <w:rsid w:val="00F12508"/>
    <w:rsid w:val="00F15EA4"/>
    <w:rsid w:val="00F22F78"/>
    <w:rsid w:val="00F25F92"/>
    <w:rsid w:val="00F262B9"/>
    <w:rsid w:val="00F276A8"/>
    <w:rsid w:val="00F314F2"/>
    <w:rsid w:val="00F35064"/>
    <w:rsid w:val="00F351AF"/>
    <w:rsid w:val="00F377F1"/>
    <w:rsid w:val="00F40540"/>
    <w:rsid w:val="00F414A4"/>
    <w:rsid w:val="00F42716"/>
    <w:rsid w:val="00F4337E"/>
    <w:rsid w:val="00F462BF"/>
    <w:rsid w:val="00F50D71"/>
    <w:rsid w:val="00F5534C"/>
    <w:rsid w:val="00F61065"/>
    <w:rsid w:val="00F63FD7"/>
    <w:rsid w:val="00F65691"/>
    <w:rsid w:val="00F70881"/>
    <w:rsid w:val="00F71DCB"/>
    <w:rsid w:val="00F724BB"/>
    <w:rsid w:val="00F7354A"/>
    <w:rsid w:val="00F76EAE"/>
    <w:rsid w:val="00F81ECD"/>
    <w:rsid w:val="00F82697"/>
    <w:rsid w:val="00F90F28"/>
    <w:rsid w:val="00F93DEF"/>
    <w:rsid w:val="00F9542C"/>
    <w:rsid w:val="00F958B7"/>
    <w:rsid w:val="00FA0B80"/>
    <w:rsid w:val="00FA77EF"/>
    <w:rsid w:val="00FB24E4"/>
    <w:rsid w:val="00FB2516"/>
    <w:rsid w:val="00FB41E6"/>
    <w:rsid w:val="00FB496D"/>
    <w:rsid w:val="00FC36B1"/>
    <w:rsid w:val="00FC3A8B"/>
    <w:rsid w:val="00FC3FC7"/>
    <w:rsid w:val="00FC5918"/>
    <w:rsid w:val="00FD200E"/>
    <w:rsid w:val="00FD30FB"/>
    <w:rsid w:val="00FD4DEC"/>
    <w:rsid w:val="00FD5B5B"/>
    <w:rsid w:val="00FD71D1"/>
    <w:rsid w:val="00FE2E5D"/>
    <w:rsid w:val="00FE571F"/>
    <w:rsid w:val="00FF4AC6"/>
    <w:rsid w:val="00FF62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136EB6"/>
  <w15:chartTrackingRefBased/>
  <w15:docId w15:val="{457D9F1D-E4A9-4B8B-BF8D-38589BF9A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0FD7"/>
    <w:pPr>
      <w:widowControl w:val="0"/>
      <w:jc w:val="both"/>
    </w:pPr>
  </w:style>
  <w:style w:type="paragraph" w:styleId="1">
    <w:name w:val="heading 1"/>
    <w:basedOn w:val="a"/>
    <w:link w:val="10"/>
    <w:uiPriority w:val="9"/>
    <w:qFormat/>
    <w:rsid w:val="004442CC"/>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0FD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30FD7"/>
    <w:rPr>
      <w:sz w:val="18"/>
      <w:szCs w:val="18"/>
    </w:rPr>
  </w:style>
  <w:style w:type="paragraph" w:styleId="a5">
    <w:name w:val="footer"/>
    <w:basedOn w:val="a"/>
    <w:link w:val="a6"/>
    <w:uiPriority w:val="99"/>
    <w:unhideWhenUsed/>
    <w:rsid w:val="00930FD7"/>
    <w:pPr>
      <w:tabs>
        <w:tab w:val="center" w:pos="4153"/>
        <w:tab w:val="right" w:pos="8306"/>
      </w:tabs>
      <w:snapToGrid w:val="0"/>
      <w:jc w:val="left"/>
    </w:pPr>
    <w:rPr>
      <w:sz w:val="18"/>
      <w:szCs w:val="18"/>
    </w:rPr>
  </w:style>
  <w:style w:type="character" w:customStyle="1" w:styleId="a6">
    <w:name w:val="页脚 字符"/>
    <w:basedOn w:val="a0"/>
    <w:link w:val="a5"/>
    <w:uiPriority w:val="99"/>
    <w:rsid w:val="00930FD7"/>
    <w:rPr>
      <w:sz w:val="18"/>
      <w:szCs w:val="18"/>
    </w:rPr>
  </w:style>
  <w:style w:type="character" w:styleId="a7">
    <w:name w:val="Hyperlink"/>
    <w:basedOn w:val="a0"/>
    <w:uiPriority w:val="99"/>
    <w:unhideWhenUsed/>
    <w:rsid w:val="007302E7"/>
    <w:rPr>
      <w:color w:val="0563C1" w:themeColor="hyperlink"/>
      <w:u w:val="single"/>
    </w:rPr>
  </w:style>
  <w:style w:type="character" w:styleId="a8">
    <w:name w:val="Unresolved Mention"/>
    <w:basedOn w:val="a0"/>
    <w:uiPriority w:val="99"/>
    <w:semiHidden/>
    <w:unhideWhenUsed/>
    <w:rsid w:val="00762739"/>
    <w:rPr>
      <w:color w:val="605E5C"/>
      <w:shd w:val="clear" w:color="auto" w:fill="E1DFDD"/>
    </w:rPr>
  </w:style>
  <w:style w:type="character" w:styleId="a9">
    <w:name w:val="annotation reference"/>
    <w:basedOn w:val="a0"/>
    <w:uiPriority w:val="99"/>
    <w:semiHidden/>
    <w:unhideWhenUsed/>
    <w:rsid w:val="004F00EC"/>
    <w:rPr>
      <w:sz w:val="21"/>
      <w:szCs w:val="21"/>
    </w:rPr>
  </w:style>
  <w:style w:type="paragraph" w:styleId="aa">
    <w:name w:val="annotation text"/>
    <w:basedOn w:val="a"/>
    <w:link w:val="ab"/>
    <w:uiPriority w:val="99"/>
    <w:unhideWhenUsed/>
    <w:rsid w:val="004F00EC"/>
    <w:pPr>
      <w:jc w:val="left"/>
    </w:pPr>
  </w:style>
  <w:style w:type="character" w:customStyle="1" w:styleId="ab">
    <w:name w:val="批注文字 字符"/>
    <w:basedOn w:val="a0"/>
    <w:link w:val="aa"/>
    <w:uiPriority w:val="99"/>
    <w:rsid w:val="004F00EC"/>
  </w:style>
  <w:style w:type="paragraph" w:styleId="ac">
    <w:name w:val="annotation subject"/>
    <w:basedOn w:val="aa"/>
    <w:next w:val="aa"/>
    <w:link w:val="ad"/>
    <w:uiPriority w:val="99"/>
    <w:semiHidden/>
    <w:unhideWhenUsed/>
    <w:rsid w:val="004F00EC"/>
    <w:rPr>
      <w:b/>
      <w:bCs/>
    </w:rPr>
  </w:style>
  <w:style w:type="character" w:customStyle="1" w:styleId="ad">
    <w:name w:val="批注主题 字符"/>
    <w:basedOn w:val="ab"/>
    <w:link w:val="ac"/>
    <w:uiPriority w:val="99"/>
    <w:semiHidden/>
    <w:rsid w:val="004F00EC"/>
    <w:rPr>
      <w:b/>
      <w:bCs/>
    </w:rPr>
  </w:style>
  <w:style w:type="character" w:styleId="ae">
    <w:name w:val="Emphasis"/>
    <w:basedOn w:val="a0"/>
    <w:uiPriority w:val="20"/>
    <w:qFormat/>
    <w:rsid w:val="00835B09"/>
    <w:rPr>
      <w:i/>
      <w:iCs/>
    </w:rPr>
  </w:style>
  <w:style w:type="character" w:customStyle="1" w:styleId="10">
    <w:name w:val="标题 1 字符"/>
    <w:basedOn w:val="a0"/>
    <w:link w:val="1"/>
    <w:uiPriority w:val="9"/>
    <w:rsid w:val="004442CC"/>
    <w:rPr>
      <w:rFonts w:ascii="宋体" w:eastAsia="宋体" w:hAnsi="宋体" w:cs="宋体"/>
      <w:b/>
      <w:bCs/>
      <w:kern w:val="36"/>
      <w:sz w:val="48"/>
      <w:szCs w:val="48"/>
    </w:rPr>
  </w:style>
  <w:style w:type="paragraph" w:styleId="af">
    <w:name w:val="List Paragraph"/>
    <w:basedOn w:val="a"/>
    <w:uiPriority w:val="34"/>
    <w:qFormat/>
    <w:rsid w:val="0068319B"/>
    <w:pPr>
      <w:ind w:firstLineChars="200" w:firstLine="420"/>
    </w:pPr>
  </w:style>
  <w:style w:type="paragraph" w:customStyle="1" w:styleId="loaitem">
    <w:name w:val="loa__item"/>
    <w:basedOn w:val="a"/>
    <w:rsid w:val="00022EF4"/>
    <w:pPr>
      <w:widowControl/>
      <w:spacing w:before="100" w:beforeAutospacing="1" w:after="100" w:afterAutospacing="1"/>
      <w:jc w:val="left"/>
    </w:pPr>
    <w:rPr>
      <w:rFonts w:ascii="宋体" w:eastAsia="宋体" w:hAnsi="宋体" w:cs="宋体"/>
      <w:kern w:val="0"/>
      <w:sz w:val="24"/>
      <w:szCs w:val="24"/>
    </w:rPr>
  </w:style>
  <w:style w:type="character" w:customStyle="1" w:styleId="refseries">
    <w:name w:val="ref__series"/>
    <w:basedOn w:val="a0"/>
    <w:rsid w:val="00022EF4"/>
  </w:style>
  <w:style w:type="character" w:customStyle="1" w:styleId="refseriesdate">
    <w:name w:val="ref__seriesdate"/>
    <w:basedOn w:val="a0"/>
    <w:rsid w:val="00022EF4"/>
  </w:style>
  <w:style w:type="character" w:customStyle="1" w:styleId="refseriesvolume">
    <w:name w:val="ref__seriesvolume"/>
    <w:basedOn w:val="a0"/>
    <w:rsid w:val="00022EF4"/>
  </w:style>
  <w:style w:type="character" w:customStyle="1" w:styleId="refseriespages">
    <w:name w:val="ref__seriespages"/>
    <w:basedOn w:val="a0"/>
    <w:rsid w:val="00022EF4"/>
  </w:style>
  <w:style w:type="character" w:customStyle="1" w:styleId="cs1-format">
    <w:name w:val="cs1-format"/>
    <w:basedOn w:val="a0"/>
    <w:rsid w:val="00022EF4"/>
  </w:style>
  <w:style w:type="paragraph" w:styleId="af0">
    <w:name w:val="Revision"/>
    <w:hidden/>
    <w:uiPriority w:val="99"/>
    <w:semiHidden/>
    <w:rsid w:val="00F70881"/>
  </w:style>
  <w:style w:type="character" w:styleId="af1">
    <w:name w:val="line number"/>
    <w:basedOn w:val="a0"/>
    <w:uiPriority w:val="99"/>
    <w:semiHidden/>
    <w:unhideWhenUsed/>
    <w:rsid w:val="00714560"/>
  </w:style>
  <w:style w:type="character" w:customStyle="1" w:styleId="citation-part">
    <w:name w:val="citation-part"/>
    <w:basedOn w:val="a0"/>
    <w:rsid w:val="00E02DC3"/>
  </w:style>
  <w:style w:type="character" w:customStyle="1" w:styleId="docsum-pmid">
    <w:name w:val="docsum-pmid"/>
    <w:basedOn w:val="a0"/>
    <w:rsid w:val="00E02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08809">
      <w:bodyDiv w:val="1"/>
      <w:marLeft w:val="0"/>
      <w:marRight w:val="0"/>
      <w:marTop w:val="0"/>
      <w:marBottom w:val="0"/>
      <w:divBdr>
        <w:top w:val="none" w:sz="0" w:space="0" w:color="auto"/>
        <w:left w:val="none" w:sz="0" w:space="0" w:color="auto"/>
        <w:bottom w:val="none" w:sz="0" w:space="0" w:color="auto"/>
        <w:right w:val="none" w:sz="0" w:space="0" w:color="auto"/>
      </w:divBdr>
    </w:div>
    <w:div w:id="286279935">
      <w:bodyDiv w:val="1"/>
      <w:marLeft w:val="0"/>
      <w:marRight w:val="0"/>
      <w:marTop w:val="0"/>
      <w:marBottom w:val="0"/>
      <w:divBdr>
        <w:top w:val="none" w:sz="0" w:space="0" w:color="auto"/>
        <w:left w:val="none" w:sz="0" w:space="0" w:color="auto"/>
        <w:bottom w:val="none" w:sz="0" w:space="0" w:color="auto"/>
        <w:right w:val="none" w:sz="0" w:space="0" w:color="auto"/>
      </w:divBdr>
    </w:div>
    <w:div w:id="352465421">
      <w:bodyDiv w:val="1"/>
      <w:marLeft w:val="0"/>
      <w:marRight w:val="0"/>
      <w:marTop w:val="0"/>
      <w:marBottom w:val="0"/>
      <w:divBdr>
        <w:top w:val="none" w:sz="0" w:space="0" w:color="auto"/>
        <w:left w:val="none" w:sz="0" w:space="0" w:color="auto"/>
        <w:bottom w:val="none" w:sz="0" w:space="0" w:color="auto"/>
        <w:right w:val="none" w:sz="0" w:space="0" w:color="auto"/>
      </w:divBdr>
    </w:div>
    <w:div w:id="779761255">
      <w:bodyDiv w:val="1"/>
      <w:marLeft w:val="0"/>
      <w:marRight w:val="0"/>
      <w:marTop w:val="0"/>
      <w:marBottom w:val="0"/>
      <w:divBdr>
        <w:top w:val="none" w:sz="0" w:space="0" w:color="auto"/>
        <w:left w:val="none" w:sz="0" w:space="0" w:color="auto"/>
        <w:bottom w:val="none" w:sz="0" w:space="0" w:color="auto"/>
        <w:right w:val="none" w:sz="0" w:space="0" w:color="auto"/>
      </w:divBdr>
    </w:div>
    <w:div w:id="857549893">
      <w:bodyDiv w:val="1"/>
      <w:marLeft w:val="0"/>
      <w:marRight w:val="0"/>
      <w:marTop w:val="0"/>
      <w:marBottom w:val="0"/>
      <w:divBdr>
        <w:top w:val="none" w:sz="0" w:space="0" w:color="auto"/>
        <w:left w:val="none" w:sz="0" w:space="0" w:color="auto"/>
        <w:bottom w:val="none" w:sz="0" w:space="0" w:color="auto"/>
        <w:right w:val="none" w:sz="0" w:space="0" w:color="auto"/>
      </w:divBdr>
    </w:div>
    <w:div w:id="1172258753">
      <w:bodyDiv w:val="1"/>
      <w:marLeft w:val="0"/>
      <w:marRight w:val="0"/>
      <w:marTop w:val="0"/>
      <w:marBottom w:val="0"/>
      <w:divBdr>
        <w:top w:val="none" w:sz="0" w:space="0" w:color="auto"/>
        <w:left w:val="none" w:sz="0" w:space="0" w:color="auto"/>
        <w:bottom w:val="none" w:sz="0" w:space="0" w:color="auto"/>
        <w:right w:val="none" w:sz="0" w:space="0" w:color="auto"/>
      </w:divBdr>
    </w:div>
    <w:div w:id="1468860190">
      <w:bodyDiv w:val="1"/>
      <w:marLeft w:val="0"/>
      <w:marRight w:val="0"/>
      <w:marTop w:val="0"/>
      <w:marBottom w:val="0"/>
      <w:divBdr>
        <w:top w:val="none" w:sz="0" w:space="0" w:color="auto"/>
        <w:left w:val="none" w:sz="0" w:space="0" w:color="auto"/>
        <w:bottom w:val="none" w:sz="0" w:space="0" w:color="auto"/>
        <w:right w:val="none" w:sz="0" w:space="0" w:color="auto"/>
      </w:divBdr>
    </w:div>
    <w:div w:id="1776830162">
      <w:bodyDiv w:val="1"/>
      <w:marLeft w:val="0"/>
      <w:marRight w:val="0"/>
      <w:marTop w:val="0"/>
      <w:marBottom w:val="0"/>
      <w:divBdr>
        <w:top w:val="none" w:sz="0" w:space="0" w:color="auto"/>
        <w:left w:val="none" w:sz="0" w:space="0" w:color="auto"/>
        <w:bottom w:val="none" w:sz="0" w:space="0" w:color="auto"/>
        <w:right w:val="none" w:sz="0" w:space="0" w:color="auto"/>
      </w:divBdr>
      <w:divsChild>
        <w:div w:id="921794571">
          <w:marLeft w:val="0"/>
          <w:marRight w:val="0"/>
          <w:marTop w:val="0"/>
          <w:marBottom w:val="0"/>
          <w:divBdr>
            <w:top w:val="none" w:sz="0" w:space="0" w:color="auto"/>
            <w:left w:val="none" w:sz="0" w:space="0" w:color="auto"/>
            <w:bottom w:val="none" w:sz="0" w:space="0" w:color="auto"/>
            <w:right w:val="none" w:sz="0" w:space="0" w:color="auto"/>
          </w:divBdr>
        </w:div>
      </w:divsChild>
    </w:div>
    <w:div w:id="1849253260">
      <w:bodyDiv w:val="1"/>
      <w:marLeft w:val="0"/>
      <w:marRight w:val="0"/>
      <w:marTop w:val="0"/>
      <w:marBottom w:val="0"/>
      <w:divBdr>
        <w:top w:val="none" w:sz="0" w:space="0" w:color="auto"/>
        <w:left w:val="none" w:sz="0" w:space="0" w:color="auto"/>
        <w:bottom w:val="none" w:sz="0" w:space="0" w:color="auto"/>
        <w:right w:val="none" w:sz="0" w:space="0" w:color="auto"/>
      </w:divBdr>
    </w:div>
    <w:div w:id="1924219464">
      <w:bodyDiv w:val="1"/>
      <w:marLeft w:val="0"/>
      <w:marRight w:val="0"/>
      <w:marTop w:val="0"/>
      <w:marBottom w:val="0"/>
      <w:divBdr>
        <w:top w:val="none" w:sz="0" w:space="0" w:color="auto"/>
        <w:left w:val="none" w:sz="0" w:space="0" w:color="auto"/>
        <w:bottom w:val="none" w:sz="0" w:space="0" w:color="auto"/>
        <w:right w:val="none" w:sz="0" w:space="0" w:color="auto"/>
      </w:divBdr>
    </w:div>
    <w:div w:id="194768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nnan@vip.126.com" TargetMode="External"/><Relationship Id="rId13" Type="http://schemas.openxmlformats.org/officeDocument/2006/relationships/image" Target="media/image3.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tif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tiff"/><Relationship Id="rId5" Type="http://schemas.openxmlformats.org/officeDocument/2006/relationships/webSettings" Target="webSettings.xml"/><Relationship Id="rId15" Type="http://schemas.openxmlformats.org/officeDocument/2006/relationships/image" Target="media/image5.tiff"/><Relationship Id="rId10" Type="http://schemas.openxmlformats.org/officeDocument/2006/relationships/hyperlink" Target="https://www.python.org/downloads/release/" TargetMode="External"/><Relationship Id="rId4" Type="http://schemas.openxmlformats.org/officeDocument/2006/relationships/settings" Target="settings.xml"/><Relationship Id="rId9" Type="http://schemas.openxmlformats.org/officeDocument/2006/relationships/hyperlink" Target="http://www.r-project.org" TargetMode="External"/><Relationship Id="rId14"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55705-4699-447C-A001-628B72163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13</Pages>
  <Words>3152</Words>
  <Characters>17972</Characters>
  <Application>Microsoft Office Word</Application>
  <DocSecurity>0</DocSecurity>
  <Lines>149</Lines>
  <Paragraphs>42</Paragraphs>
  <ScaleCrop>false</ScaleCrop>
  <Company/>
  <LinksUpToDate>false</LinksUpToDate>
  <CharactersWithSpaces>21082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 芃</dc:creator>
  <cp:keywords/>
  <dc:description>NE.Ref</dc:description>
  <cp:lastModifiedBy>芃 吴</cp:lastModifiedBy>
  <cp:revision>27</cp:revision>
  <dcterms:created xsi:type="dcterms:W3CDTF">2023-12-11T09:59:00Z</dcterms:created>
  <dcterms:modified xsi:type="dcterms:W3CDTF">2023-12-11T13:24:00Z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070aca735b97c735625c1a9a9baa80fe7e171f1b4211260a3676465aedaa3a27</vt:lpwstr>
  </property>
</Properties>
</file>