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C68FF" w14:textId="77777777" w:rsidR="00522055" w:rsidRDefault="00522055" w:rsidP="00522055">
      <w:pPr>
        <w:pStyle w:val="Heading1"/>
        <w:shd w:val="clear" w:color="auto" w:fill="FFFFFF"/>
        <w:spacing w:before="0" w:line="240" w:lineRule="auto"/>
        <w:rPr>
          <w:rFonts w:ascii="Times New Roman" w:hAnsi="Times New Roman" w:cs="Times New Roman"/>
          <w:b/>
          <w:bCs/>
          <w:color w:val="242424"/>
          <w:sz w:val="22"/>
          <w:szCs w:val="22"/>
          <w:shd w:val="clear" w:color="auto" w:fill="FFFFFF"/>
        </w:rPr>
      </w:pPr>
      <w:r w:rsidRPr="005F5E9C">
        <w:rPr>
          <w:rFonts w:ascii="Times New Roman" w:hAnsi="Times New Roman" w:cs="Times New Roman"/>
          <w:b/>
          <w:bCs/>
          <w:color w:val="242424"/>
          <w:sz w:val="22"/>
          <w:szCs w:val="22"/>
          <w:shd w:val="clear" w:color="auto" w:fill="FFFFFF"/>
        </w:rPr>
        <w:t xml:space="preserve">Charting the metabolic biogeography of the colorectum in cancer: challenging the </w:t>
      </w:r>
      <w:r>
        <w:rPr>
          <w:rFonts w:ascii="Times New Roman" w:hAnsi="Times New Roman" w:cs="Times New Roman"/>
          <w:b/>
          <w:bCs/>
          <w:color w:val="242424"/>
          <w:sz w:val="22"/>
          <w:szCs w:val="22"/>
          <w:shd w:val="clear" w:color="auto" w:fill="FFFFFF"/>
        </w:rPr>
        <w:t>right sided</w:t>
      </w:r>
      <w:r w:rsidRPr="005F5E9C">
        <w:rPr>
          <w:rFonts w:ascii="Times New Roman" w:hAnsi="Times New Roman" w:cs="Times New Roman"/>
          <w:b/>
          <w:bCs/>
          <w:color w:val="242424"/>
          <w:sz w:val="22"/>
          <w:szCs w:val="22"/>
          <w:shd w:val="clear" w:color="auto" w:fill="FFFFFF"/>
        </w:rPr>
        <w:t xml:space="preserve"> versus </w:t>
      </w:r>
      <w:r>
        <w:rPr>
          <w:rFonts w:ascii="Times New Roman" w:hAnsi="Times New Roman" w:cs="Times New Roman"/>
          <w:b/>
          <w:bCs/>
          <w:color w:val="242424"/>
          <w:sz w:val="22"/>
          <w:szCs w:val="22"/>
          <w:shd w:val="clear" w:color="auto" w:fill="FFFFFF"/>
        </w:rPr>
        <w:t>left sided</w:t>
      </w:r>
      <w:r w:rsidRPr="005F5E9C">
        <w:rPr>
          <w:rFonts w:ascii="Times New Roman" w:hAnsi="Times New Roman" w:cs="Times New Roman"/>
          <w:b/>
          <w:bCs/>
          <w:color w:val="242424"/>
          <w:sz w:val="22"/>
          <w:szCs w:val="22"/>
          <w:shd w:val="clear" w:color="auto" w:fill="FFFFFF"/>
        </w:rPr>
        <w:t xml:space="preserve"> classification</w:t>
      </w:r>
    </w:p>
    <w:p w14:paraId="5FC4DF38" w14:textId="77777777" w:rsidR="00522055" w:rsidRPr="007E509A" w:rsidRDefault="00522055" w:rsidP="00522055"/>
    <w:p w14:paraId="1EB4465B" w14:textId="77777777" w:rsidR="00522055" w:rsidRDefault="00522055" w:rsidP="00522055">
      <w:pPr>
        <w:pStyle w:val="NormalWeb"/>
        <w:shd w:val="clear" w:color="auto" w:fill="FFFFFF"/>
        <w:spacing w:before="0" w:beforeAutospacing="0" w:after="0" w:afterAutospacing="0"/>
        <w:rPr>
          <w:color w:val="000000"/>
          <w:sz w:val="22"/>
          <w:szCs w:val="22"/>
          <w:bdr w:val="none" w:sz="0" w:space="0" w:color="auto" w:frame="1"/>
          <w:shd w:val="clear" w:color="auto" w:fill="FFFFFF"/>
          <w:vertAlign w:val="superscript"/>
        </w:rPr>
      </w:pPr>
      <w:r w:rsidRPr="005F5E9C">
        <w:rPr>
          <w:color w:val="000000"/>
          <w:sz w:val="22"/>
          <w:szCs w:val="22"/>
          <w:bdr w:val="none" w:sz="0" w:space="0" w:color="auto" w:frame="1"/>
        </w:rPr>
        <w:t>Abhishek Jain</w:t>
      </w:r>
      <w:r>
        <w:rPr>
          <w:color w:val="000000"/>
          <w:sz w:val="22"/>
          <w:szCs w:val="22"/>
          <w:bdr w:val="none" w:sz="0" w:space="0" w:color="auto" w:frame="1"/>
          <w:vertAlign w:val="superscript"/>
        </w:rPr>
        <w:t>a</w:t>
      </w:r>
      <w:r w:rsidRPr="005F5E9C">
        <w:rPr>
          <w:color w:val="000000"/>
          <w:sz w:val="22"/>
          <w:szCs w:val="22"/>
          <w:bdr w:val="none" w:sz="0" w:space="0" w:color="auto" w:frame="1"/>
        </w:rPr>
        <w:t>,</w:t>
      </w:r>
      <w:r w:rsidRPr="005F5E9C">
        <w:rPr>
          <w:color w:val="000000"/>
          <w:sz w:val="22"/>
          <w:szCs w:val="22"/>
          <w:bdr w:val="none" w:sz="0" w:space="0" w:color="auto" w:frame="1"/>
          <w:shd w:val="clear" w:color="auto" w:fill="FFFFFF"/>
        </w:rPr>
        <w:t xml:space="preserve"> Montana T. </w:t>
      </w:r>
      <w:proofErr w:type="spellStart"/>
      <w:r w:rsidRPr="005F5E9C">
        <w:rPr>
          <w:color w:val="000000"/>
          <w:sz w:val="22"/>
          <w:szCs w:val="22"/>
          <w:bdr w:val="none" w:sz="0" w:space="0" w:color="auto" w:frame="1"/>
          <w:shd w:val="clear" w:color="auto" w:fill="FFFFFF"/>
        </w:rPr>
        <w:t>Morris</w:t>
      </w:r>
      <w:r>
        <w:rPr>
          <w:sz w:val="22"/>
          <w:szCs w:val="22"/>
          <w:vertAlign w:val="superscript"/>
        </w:rPr>
        <w:t>b</w:t>
      </w:r>
      <w:proofErr w:type="spellEnd"/>
      <w:r w:rsidRPr="005F5E9C">
        <w:rPr>
          <w:color w:val="000000"/>
          <w:sz w:val="22"/>
          <w:szCs w:val="22"/>
          <w:bdr w:val="none" w:sz="0" w:space="0" w:color="auto" w:frame="1"/>
          <w:shd w:val="clear" w:color="auto" w:fill="FFFFFF"/>
        </w:rPr>
        <w:t>,</w:t>
      </w:r>
      <w:r w:rsidRPr="005F5E9C">
        <w:rPr>
          <w:color w:val="000000"/>
          <w:sz w:val="22"/>
          <w:szCs w:val="22"/>
          <w:bdr w:val="none" w:sz="0" w:space="0" w:color="auto" w:frame="1"/>
        </w:rPr>
        <w:t xml:space="preserve"> Domenica </w:t>
      </w:r>
      <w:proofErr w:type="spellStart"/>
      <w:r w:rsidRPr="005F5E9C">
        <w:rPr>
          <w:color w:val="000000"/>
          <w:sz w:val="22"/>
          <w:szCs w:val="22"/>
          <w:bdr w:val="none" w:sz="0" w:space="0" w:color="auto" w:frame="1"/>
        </w:rPr>
        <w:t>Berardi</w:t>
      </w:r>
      <w:r>
        <w:rPr>
          <w:color w:val="000000"/>
          <w:sz w:val="22"/>
          <w:szCs w:val="22"/>
          <w:bdr w:val="none" w:sz="0" w:space="0" w:color="auto" w:frame="1"/>
          <w:vertAlign w:val="superscript"/>
        </w:rPr>
        <w:t>a</w:t>
      </w:r>
      <w:proofErr w:type="spellEnd"/>
      <w:r w:rsidRPr="005F5E9C">
        <w:rPr>
          <w:color w:val="000000"/>
          <w:sz w:val="22"/>
          <w:szCs w:val="22"/>
          <w:bdr w:val="none" w:sz="0" w:space="0" w:color="auto" w:frame="1"/>
        </w:rPr>
        <w:t xml:space="preserve">, Trisha </w:t>
      </w:r>
      <w:proofErr w:type="spellStart"/>
      <w:r w:rsidRPr="005F5E9C">
        <w:rPr>
          <w:color w:val="000000"/>
          <w:sz w:val="22"/>
          <w:szCs w:val="22"/>
          <w:bdr w:val="none" w:sz="0" w:space="0" w:color="auto" w:frame="1"/>
        </w:rPr>
        <w:t>Arora</w:t>
      </w:r>
      <w:r>
        <w:rPr>
          <w:color w:val="000000"/>
          <w:sz w:val="22"/>
          <w:szCs w:val="22"/>
          <w:bdr w:val="none" w:sz="0" w:space="0" w:color="auto" w:frame="1"/>
          <w:vertAlign w:val="superscript"/>
        </w:rPr>
        <w:t>c</w:t>
      </w:r>
      <w:proofErr w:type="spellEnd"/>
      <w:r w:rsidRPr="005F5E9C">
        <w:rPr>
          <w:color w:val="000000"/>
          <w:sz w:val="22"/>
          <w:szCs w:val="22"/>
          <w:bdr w:val="none" w:sz="0" w:space="0" w:color="auto" w:frame="1"/>
        </w:rPr>
        <w:t>, Xavier Domingo</w:t>
      </w:r>
      <w:r>
        <w:rPr>
          <w:color w:val="000000"/>
          <w:sz w:val="22"/>
          <w:szCs w:val="22"/>
          <w:bdr w:val="none" w:sz="0" w:space="0" w:color="auto" w:frame="1"/>
        </w:rPr>
        <w:t>-</w:t>
      </w:r>
      <w:proofErr w:type="spellStart"/>
      <w:r w:rsidRPr="005F5E9C">
        <w:rPr>
          <w:color w:val="000000"/>
          <w:sz w:val="22"/>
          <w:szCs w:val="22"/>
          <w:bdr w:val="none" w:sz="0" w:space="0" w:color="auto" w:frame="1"/>
        </w:rPr>
        <w:t>Almenara</w:t>
      </w:r>
      <w:r>
        <w:rPr>
          <w:color w:val="000000"/>
          <w:sz w:val="22"/>
          <w:szCs w:val="22"/>
          <w:bdr w:val="none" w:sz="0" w:space="0" w:color="auto" w:frame="1"/>
          <w:vertAlign w:val="superscript"/>
        </w:rPr>
        <w:t>c</w:t>
      </w:r>
      <w:proofErr w:type="spellEnd"/>
      <w:r w:rsidRPr="005F5E9C">
        <w:rPr>
          <w:color w:val="000000"/>
          <w:sz w:val="22"/>
          <w:szCs w:val="22"/>
          <w:bdr w:val="none" w:sz="0" w:space="0" w:color="auto" w:frame="1"/>
        </w:rPr>
        <w:t xml:space="preserve">, </w:t>
      </w:r>
      <w:r w:rsidRPr="005F5E9C">
        <w:rPr>
          <w:color w:val="000000"/>
          <w:sz w:val="22"/>
          <w:szCs w:val="22"/>
          <w:bdr w:val="none" w:sz="0" w:space="0" w:color="auto" w:frame="1"/>
          <w:shd w:val="clear" w:color="auto" w:fill="FFFFFF"/>
        </w:rPr>
        <w:t xml:space="preserve">Philip B. </w:t>
      </w:r>
      <w:proofErr w:type="spellStart"/>
      <w:r w:rsidRPr="005F5E9C">
        <w:rPr>
          <w:color w:val="000000"/>
          <w:sz w:val="22"/>
          <w:szCs w:val="22"/>
          <w:bdr w:val="none" w:sz="0" w:space="0" w:color="auto" w:frame="1"/>
          <w:shd w:val="clear" w:color="auto" w:fill="FFFFFF"/>
        </w:rPr>
        <w:t>Paty</w:t>
      </w:r>
      <w:r>
        <w:rPr>
          <w:color w:val="000000"/>
          <w:sz w:val="22"/>
          <w:szCs w:val="22"/>
          <w:bdr w:val="none" w:sz="0" w:space="0" w:color="auto" w:frame="1"/>
          <w:shd w:val="clear" w:color="auto" w:fill="FFFFFF"/>
          <w:vertAlign w:val="superscript"/>
        </w:rPr>
        <w:t>d</w:t>
      </w:r>
      <w:proofErr w:type="spellEnd"/>
      <w:r w:rsidRPr="005F5E9C">
        <w:rPr>
          <w:color w:val="000000"/>
          <w:sz w:val="22"/>
          <w:szCs w:val="22"/>
          <w:bdr w:val="none" w:sz="0" w:space="0" w:color="auto" w:frame="1"/>
          <w:shd w:val="clear" w:color="auto" w:fill="FFFFFF"/>
        </w:rPr>
        <w:t>, Nicholas J</w:t>
      </w:r>
      <w:r>
        <w:rPr>
          <w:color w:val="000000"/>
          <w:sz w:val="22"/>
          <w:szCs w:val="22"/>
          <w:bdr w:val="none" w:sz="0" w:space="0" w:color="auto" w:frame="1"/>
          <w:shd w:val="clear" w:color="auto" w:fill="FFFFFF"/>
        </w:rPr>
        <w:t>.</w:t>
      </w:r>
      <w:r w:rsidRPr="005F5E9C">
        <w:rPr>
          <w:color w:val="000000"/>
          <w:sz w:val="22"/>
          <w:szCs w:val="22"/>
          <w:bdr w:val="none" w:sz="0" w:space="0" w:color="auto" w:frame="1"/>
          <w:shd w:val="clear" w:color="auto" w:fill="FFFFFF"/>
        </w:rPr>
        <w:t xml:space="preserve"> W</w:t>
      </w:r>
      <w:r>
        <w:rPr>
          <w:color w:val="000000"/>
          <w:sz w:val="22"/>
          <w:szCs w:val="22"/>
          <w:bdr w:val="none" w:sz="0" w:space="0" w:color="auto" w:frame="1"/>
          <w:shd w:val="clear" w:color="auto" w:fill="FFFFFF"/>
        </w:rPr>
        <w:t>.</w:t>
      </w:r>
      <w:r w:rsidRPr="005F5E9C">
        <w:rPr>
          <w:color w:val="000000"/>
          <w:sz w:val="22"/>
          <w:szCs w:val="22"/>
          <w:bdr w:val="none" w:sz="0" w:space="0" w:color="auto" w:frame="1"/>
          <w:shd w:val="clear" w:color="auto" w:fill="FFFFFF"/>
        </w:rPr>
        <w:t xml:space="preserve"> </w:t>
      </w:r>
      <w:proofErr w:type="spellStart"/>
      <w:r w:rsidRPr="005F5E9C">
        <w:rPr>
          <w:color w:val="000000"/>
          <w:sz w:val="22"/>
          <w:szCs w:val="22"/>
          <w:bdr w:val="none" w:sz="0" w:space="0" w:color="auto" w:frame="1"/>
          <w:shd w:val="clear" w:color="auto" w:fill="FFFFFF"/>
        </w:rPr>
        <w:t>Rattray</w:t>
      </w:r>
      <w:r w:rsidRPr="007E509A">
        <w:rPr>
          <w:color w:val="000000"/>
          <w:sz w:val="22"/>
          <w:szCs w:val="22"/>
          <w:bdr w:val="none" w:sz="0" w:space="0" w:color="auto" w:frame="1"/>
          <w:shd w:val="clear" w:color="auto" w:fill="FFFFFF"/>
          <w:vertAlign w:val="superscript"/>
        </w:rPr>
        <w:t>e</w:t>
      </w:r>
      <w:proofErr w:type="spellEnd"/>
      <w:r w:rsidRPr="005F5E9C">
        <w:rPr>
          <w:color w:val="000000"/>
          <w:sz w:val="22"/>
          <w:szCs w:val="22"/>
          <w:bdr w:val="none" w:sz="0" w:space="0" w:color="auto" w:frame="1"/>
          <w:shd w:val="clear" w:color="auto" w:fill="FFFFFF"/>
        </w:rPr>
        <w:t xml:space="preserve">, Daniel </w:t>
      </w:r>
      <w:proofErr w:type="spellStart"/>
      <w:r w:rsidRPr="005F5E9C">
        <w:rPr>
          <w:color w:val="000000"/>
          <w:sz w:val="22"/>
          <w:szCs w:val="22"/>
          <w:bdr w:val="none" w:sz="0" w:space="0" w:color="auto" w:frame="1"/>
          <w:shd w:val="clear" w:color="auto" w:fill="FFFFFF"/>
        </w:rPr>
        <w:t>Kerekes</w:t>
      </w:r>
      <w:r>
        <w:rPr>
          <w:sz w:val="22"/>
          <w:szCs w:val="22"/>
          <w:vertAlign w:val="superscript"/>
        </w:rPr>
        <w:t>b</w:t>
      </w:r>
      <w:proofErr w:type="spellEnd"/>
      <w:r w:rsidRPr="005F5E9C">
        <w:rPr>
          <w:color w:val="000000"/>
          <w:sz w:val="22"/>
          <w:szCs w:val="22"/>
          <w:bdr w:val="none" w:sz="0" w:space="0" w:color="auto" w:frame="1"/>
          <w:shd w:val="clear" w:color="auto" w:fill="FFFFFF"/>
        </w:rPr>
        <w:t>,</w:t>
      </w:r>
      <w:r w:rsidRPr="005F5E9C">
        <w:rPr>
          <w:color w:val="000000"/>
          <w:sz w:val="22"/>
          <w:szCs w:val="22"/>
          <w:bdr w:val="none" w:sz="0" w:space="0" w:color="auto" w:frame="1"/>
        </w:rPr>
        <w:t xml:space="preserve"> Lingeng </w:t>
      </w:r>
      <w:proofErr w:type="spellStart"/>
      <w:r w:rsidRPr="005F5E9C">
        <w:rPr>
          <w:color w:val="000000"/>
          <w:sz w:val="22"/>
          <w:szCs w:val="22"/>
          <w:bdr w:val="none" w:sz="0" w:space="0" w:color="auto" w:frame="1"/>
        </w:rPr>
        <w:t>Lu</w:t>
      </w:r>
      <w:r w:rsidRPr="007E509A">
        <w:rPr>
          <w:color w:val="000000"/>
          <w:sz w:val="22"/>
          <w:szCs w:val="22"/>
          <w:bdr w:val="none" w:sz="0" w:space="0" w:color="auto" w:frame="1"/>
          <w:vertAlign w:val="superscript"/>
        </w:rPr>
        <w:t>f</w:t>
      </w:r>
      <w:proofErr w:type="spellEnd"/>
      <w:r w:rsidRPr="005F5E9C">
        <w:rPr>
          <w:color w:val="000000"/>
          <w:sz w:val="22"/>
          <w:szCs w:val="22"/>
          <w:bdr w:val="none" w:sz="0" w:space="0" w:color="auto" w:frame="1"/>
        </w:rPr>
        <w:t>,</w:t>
      </w:r>
      <w:r w:rsidRPr="005F5E9C">
        <w:rPr>
          <w:color w:val="000000"/>
          <w:sz w:val="22"/>
          <w:szCs w:val="22"/>
          <w:bdr w:val="none" w:sz="0" w:space="0" w:color="auto" w:frame="1"/>
          <w:shd w:val="clear" w:color="auto" w:fill="FFFFFF"/>
        </w:rPr>
        <w:t xml:space="preserve"> Sajid A. Khan</w:t>
      </w:r>
      <w:proofErr w:type="gramStart"/>
      <w:r>
        <w:rPr>
          <w:sz w:val="22"/>
          <w:szCs w:val="22"/>
          <w:vertAlign w:val="superscript"/>
        </w:rPr>
        <w:t>*,b</w:t>
      </w:r>
      <w:proofErr w:type="gramEnd"/>
      <w:r w:rsidRPr="005F5E9C">
        <w:rPr>
          <w:color w:val="000000"/>
          <w:sz w:val="22"/>
          <w:szCs w:val="22"/>
          <w:bdr w:val="none" w:sz="0" w:space="0" w:color="auto" w:frame="1"/>
          <w:shd w:val="clear" w:color="auto" w:fill="FFFFFF"/>
        </w:rPr>
        <w:t>, Caroline H.</w:t>
      </w:r>
      <w:r>
        <w:rPr>
          <w:color w:val="000000"/>
          <w:sz w:val="22"/>
          <w:szCs w:val="22"/>
          <w:bdr w:val="none" w:sz="0" w:space="0" w:color="auto" w:frame="1"/>
          <w:shd w:val="clear" w:color="auto" w:fill="FFFFFF"/>
        </w:rPr>
        <w:t xml:space="preserve"> Johnson</w:t>
      </w:r>
      <w:r>
        <w:rPr>
          <w:color w:val="000000"/>
          <w:sz w:val="22"/>
          <w:szCs w:val="22"/>
          <w:bdr w:val="none" w:sz="0" w:space="0" w:color="auto" w:frame="1"/>
          <w:shd w:val="clear" w:color="auto" w:fill="FFFFFF"/>
          <w:vertAlign w:val="superscript"/>
        </w:rPr>
        <w:t>*,a</w:t>
      </w:r>
    </w:p>
    <w:p w14:paraId="04FBD0D4" w14:textId="77777777" w:rsidR="00522055" w:rsidRDefault="00522055" w:rsidP="00522055">
      <w:pPr>
        <w:pStyle w:val="NormalWeb"/>
        <w:shd w:val="clear" w:color="auto" w:fill="FFFFFF"/>
        <w:spacing w:before="0" w:beforeAutospacing="0" w:after="0" w:afterAutospacing="0"/>
        <w:rPr>
          <w:color w:val="000000"/>
          <w:sz w:val="22"/>
          <w:szCs w:val="22"/>
          <w:bdr w:val="none" w:sz="0" w:space="0" w:color="auto" w:frame="1"/>
          <w:shd w:val="clear" w:color="auto" w:fill="FFFFFF"/>
          <w:vertAlign w:val="superscript"/>
        </w:rPr>
      </w:pPr>
    </w:p>
    <w:p w14:paraId="4B86F83B" w14:textId="77777777" w:rsidR="00522055" w:rsidRPr="008F517C" w:rsidRDefault="00522055" w:rsidP="00522055">
      <w:pPr>
        <w:pStyle w:val="NormalWeb"/>
        <w:shd w:val="clear" w:color="auto" w:fill="FFFFFF"/>
        <w:spacing w:before="0" w:beforeAutospacing="0" w:after="0" w:afterAutospacing="0"/>
        <w:rPr>
          <w:sz w:val="22"/>
          <w:szCs w:val="22"/>
          <w:bdr w:val="none" w:sz="0" w:space="0" w:color="auto" w:frame="1"/>
          <w:shd w:val="clear" w:color="auto" w:fill="FFFFFF"/>
        </w:rPr>
      </w:pPr>
    </w:p>
    <w:p w14:paraId="13EDD783" w14:textId="77777777" w:rsidR="00522055" w:rsidRPr="00990F9C" w:rsidRDefault="00522055" w:rsidP="00522055">
      <w:pPr>
        <w:pStyle w:val="NormalWeb"/>
        <w:spacing w:before="0" w:beforeAutospacing="0" w:after="0" w:afterAutospacing="0"/>
        <w:rPr>
          <w:sz w:val="22"/>
          <w:szCs w:val="22"/>
        </w:rPr>
      </w:pPr>
      <w:r w:rsidRPr="00990F9C">
        <w:rPr>
          <w:sz w:val="22"/>
          <w:szCs w:val="22"/>
          <w:vertAlign w:val="superscript"/>
        </w:rPr>
        <w:t xml:space="preserve">a </w:t>
      </w:r>
      <w:r w:rsidRPr="00990F9C">
        <w:rPr>
          <w:sz w:val="22"/>
          <w:szCs w:val="22"/>
        </w:rPr>
        <w:t>Department of Environmental Health Sciences, Yale School of Public Health, 60 College Street, New Haven, CT, 06510, USA</w:t>
      </w:r>
    </w:p>
    <w:p w14:paraId="26717B88" w14:textId="77777777" w:rsidR="00522055" w:rsidRPr="00990F9C" w:rsidRDefault="00522055" w:rsidP="00522055">
      <w:pPr>
        <w:pStyle w:val="NormalWeb"/>
        <w:shd w:val="clear" w:color="auto" w:fill="FFFFFF"/>
        <w:spacing w:before="0" w:beforeAutospacing="0" w:after="0" w:afterAutospacing="0"/>
        <w:rPr>
          <w:sz w:val="22"/>
          <w:szCs w:val="22"/>
        </w:rPr>
      </w:pPr>
      <w:proofErr w:type="spellStart"/>
      <w:r w:rsidRPr="00990F9C">
        <w:rPr>
          <w:sz w:val="22"/>
          <w:szCs w:val="22"/>
          <w:vertAlign w:val="superscript"/>
        </w:rPr>
        <w:t>b</w:t>
      </w:r>
      <w:r w:rsidRPr="007E509A">
        <w:rPr>
          <w:color w:val="212121"/>
          <w:sz w:val="22"/>
          <w:szCs w:val="22"/>
          <w:shd w:val="clear" w:color="auto" w:fill="FFFFFF"/>
        </w:rPr>
        <w:t>Department</w:t>
      </w:r>
      <w:proofErr w:type="spellEnd"/>
      <w:r w:rsidRPr="007E509A">
        <w:rPr>
          <w:color w:val="212121"/>
          <w:sz w:val="22"/>
          <w:szCs w:val="22"/>
          <w:shd w:val="clear" w:color="auto" w:fill="FFFFFF"/>
        </w:rPr>
        <w:t xml:space="preserve"> of Surgery/Surgical Oncology, Yale School of Medicine, 333 Cedar Street, New Haven, CT, 06510, USA</w:t>
      </w:r>
    </w:p>
    <w:p w14:paraId="72E9E432" w14:textId="77777777" w:rsidR="0064554E" w:rsidRDefault="00522055" w:rsidP="0064554E">
      <w:pPr>
        <w:spacing w:after="0"/>
        <w:rPr>
          <w:color w:val="000000"/>
        </w:rPr>
      </w:pPr>
      <w:proofErr w:type="spellStart"/>
      <w:r w:rsidRPr="00990F9C">
        <w:rPr>
          <w:vertAlign w:val="superscript"/>
        </w:rPr>
        <w:t>c</w:t>
      </w:r>
      <w:r w:rsidRPr="007E509A">
        <w:rPr>
          <w:color w:val="000000"/>
        </w:rPr>
        <w:t>EURECAT</w:t>
      </w:r>
      <w:proofErr w:type="spellEnd"/>
      <w:r w:rsidRPr="007E509A">
        <w:rPr>
          <w:color w:val="000000"/>
        </w:rPr>
        <w:t xml:space="preserve"> - Technology Centre of Catalonia, Omics Sciences Unit, Avda. </w:t>
      </w:r>
      <w:proofErr w:type="spellStart"/>
      <w:r w:rsidRPr="007E509A">
        <w:rPr>
          <w:color w:val="000000"/>
        </w:rPr>
        <w:t>Universitat</w:t>
      </w:r>
      <w:proofErr w:type="spellEnd"/>
      <w:r w:rsidRPr="007E509A">
        <w:rPr>
          <w:color w:val="000000"/>
        </w:rPr>
        <w:t xml:space="preserve"> 1, 43204</w:t>
      </w:r>
      <w:r w:rsidR="0064554E">
        <w:rPr>
          <w:color w:val="000000"/>
        </w:rPr>
        <w:t xml:space="preserve"> </w:t>
      </w:r>
      <w:r w:rsidRPr="007E509A">
        <w:rPr>
          <w:color w:val="000000"/>
        </w:rPr>
        <w:t>Reus, Catalonia, Spain.</w:t>
      </w:r>
    </w:p>
    <w:p w14:paraId="5890A2F4" w14:textId="47B481F1" w:rsidR="00522055" w:rsidRPr="0064554E" w:rsidRDefault="00522055" w:rsidP="0064554E">
      <w:pPr>
        <w:spacing w:after="0"/>
        <w:rPr>
          <w:color w:val="000000"/>
        </w:rPr>
      </w:pPr>
      <w:proofErr w:type="spellStart"/>
      <w:r w:rsidRPr="007E509A">
        <w:rPr>
          <w:color w:val="212121"/>
          <w:shd w:val="clear" w:color="auto" w:fill="FFFFFF"/>
          <w:vertAlign w:val="superscript"/>
        </w:rPr>
        <w:t>d</w:t>
      </w:r>
      <w:r w:rsidRPr="007E509A">
        <w:rPr>
          <w:color w:val="212121"/>
          <w:shd w:val="clear" w:color="auto" w:fill="FFFFFF"/>
        </w:rPr>
        <w:t>Department</w:t>
      </w:r>
      <w:proofErr w:type="spellEnd"/>
      <w:r w:rsidRPr="007E509A">
        <w:rPr>
          <w:color w:val="212121"/>
          <w:shd w:val="clear" w:color="auto" w:fill="FFFFFF"/>
        </w:rPr>
        <w:t xml:space="preserve"> of Surgery, Memorial Sloan Kettering Cancer Center, 1275 York Ave, New York, NY, 10065, USA.</w:t>
      </w:r>
    </w:p>
    <w:p w14:paraId="3FC85B09" w14:textId="77777777" w:rsidR="00522055" w:rsidRPr="007E509A" w:rsidRDefault="00522055" w:rsidP="00522055">
      <w:pPr>
        <w:pStyle w:val="NormalWeb"/>
        <w:shd w:val="clear" w:color="auto" w:fill="FFFFFF"/>
        <w:spacing w:before="0" w:beforeAutospacing="0" w:after="0" w:afterAutospacing="0"/>
        <w:rPr>
          <w:sz w:val="22"/>
          <w:szCs w:val="22"/>
          <w:vertAlign w:val="superscript"/>
        </w:rPr>
      </w:pPr>
      <w:proofErr w:type="spellStart"/>
      <w:r w:rsidRPr="007E509A">
        <w:rPr>
          <w:sz w:val="22"/>
          <w:szCs w:val="22"/>
          <w:vertAlign w:val="superscript"/>
        </w:rPr>
        <w:t>e</w:t>
      </w:r>
      <w:r w:rsidRPr="007E509A">
        <w:rPr>
          <w:color w:val="212121"/>
          <w:sz w:val="22"/>
          <w:szCs w:val="22"/>
          <w:shd w:val="clear" w:color="auto" w:fill="FFFFFF"/>
        </w:rPr>
        <w:t>Strathclyde</w:t>
      </w:r>
      <w:proofErr w:type="spellEnd"/>
      <w:r w:rsidRPr="007E509A">
        <w:rPr>
          <w:color w:val="212121"/>
          <w:sz w:val="22"/>
          <w:szCs w:val="22"/>
          <w:shd w:val="clear" w:color="auto" w:fill="FFFFFF"/>
        </w:rPr>
        <w:t xml:space="preserve"> Institute of Pharmacy and Biomedical Sciences, University of Strathclyde, Glasgow, UK</w:t>
      </w:r>
    </w:p>
    <w:p w14:paraId="04592D6F" w14:textId="77777777" w:rsidR="00522055" w:rsidRDefault="00522055" w:rsidP="00522055">
      <w:pPr>
        <w:jc w:val="both"/>
      </w:pPr>
      <w:proofErr w:type="spellStart"/>
      <w:r w:rsidRPr="007E509A">
        <w:rPr>
          <w:vertAlign w:val="superscript"/>
        </w:rPr>
        <w:t>f</w:t>
      </w:r>
      <w:r w:rsidRPr="007E509A">
        <w:t>Department</w:t>
      </w:r>
      <w:proofErr w:type="spellEnd"/>
      <w:r w:rsidRPr="007E509A">
        <w:t xml:space="preserve"> of Chronic Disease Epidemiology, Yale School of Public Health, </w:t>
      </w:r>
      <w:r w:rsidRPr="00990F9C">
        <w:t xml:space="preserve">60 College Street, </w:t>
      </w:r>
      <w:r w:rsidRPr="007E509A">
        <w:t>New Haven, C</w:t>
      </w:r>
      <w:r w:rsidRPr="00990F9C">
        <w:t>T</w:t>
      </w:r>
      <w:r w:rsidRPr="007E509A">
        <w:t xml:space="preserve">06510, </w:t>
      </w:r>
      <w:r w:rsidRPr="00990F9C">
        <w:t>USA</w:t>
      </w:r>
    </w:p>
    <w:p w14:paraId="6C30A189" w14:textId="77777777" w:rsidR="00522055" w:rsidRPr="00261D26" w:rsidRDefault="00522055" w:rsidP="00522055">
      <w:pPr>
        <w:jc w:val="both"/>
      </w:pPr>
    </w:p>
    <w:p w14:paraId="20B1F70A" w14:textId="77777777" w:rsidR="00522055" w:rsidRPr="00261D26" w:rsidRDefault="00522055" w:rsidP="00522055">
      <w:pPr>
        <w:pStyle w:val="NormalWeb"/>
        <w:shd w:val="clear" w:color="auto" w:fill="FFFFFF"/>
        <w:spacing w:before="0" w:beforeAutospacing="0" w:after="0" w:afterAutospacing="0"/>
        <w:rPr>
          <w:color w:val="000000"/>
          <w:bdr w:val="none" w:sz="0" w:space="0" w:color="auto" w:frame="1"/>
          <w:shd w:val="clear" w:color="auto" w:fill="FFFFFF"/>
        </w:rPr>
      </w:pPr>
    </w:p>
    <w:p w14:paraId="665EEE42" w14:textId="61D69494" w:rsidR="00522055" w:rsidRPr="00261D26" w:rsidRDefault="00522055" w:rsidP="00522055">
      <w:pPr>
        <w:pStyle w:val="NormalWeb"/>
        <w:shd w:val="clear" w:color="auto" w:fill="FFFFFF"/>
        <w:spacing w:before="0" w:beforeAutospacing="0" w:after="0" w:afterAutospacing="0"/>
        <w:rPr>
          <w:color w:val="000000"/>
          <w:bdr w:val="none" w:sz="0" w:space="0" w:color="auto" w:frame="1"/>
          <w:shd w:val="clear" w:color="auto" w:fill="FFFFFF"/>
        </w:rPr>
      </w:pPr>
      <w:r w:rsidRPr="00261D26">
        <w:rPr>
          <w:color w:val="000000"/>
          <w:bdr w:val="none" w:sz="0" w:space="0" w:color="auto" w:frame="1"/>
          <w:shd w:val="clear" w:color="auto" w:fill="FFFFFF"/>
        </w:rPr>
        <w:t xml:space="preserve">* Corresponding Author: </w:t>
      </w:r>
      <w:r w:rsidR="00A75A1A" w:rsidRPr="00261D26">
        <w:rPr>
          <w:color w:val="000000"/>
          <w:bdr w:val="none" w:sz="0" w:space="0" w:color="auto" w:frame="1"/>
          <w:shd w:val="clear" w:color="auto" w:fill="FFFFFF"/>
        </w:rPr>
        <w:t>caroline.johnson@yale.edu,</w:t>
      </w:r>
      <w:r>
        <w:rPr>
          <w:color w:val="000000"/>
          <w:bdr w:val="none" w:sz="0" w:space="0" w:color="auto" w:frame="1"/>
          <w:shd w:val="clear" w:color="auto" w:fill="FFFFFF"/>
        </w:rPr>
        <w:t xml:space="preserve"> </w:t>
      </w:r>
      <w:r w:rsidRPr="00CA7A76">
        <w:rPr>
          <w:color w:val="000000"/>
          <w:bdr w:val="none" w:sz="0" w:space="0" w:color="auto" w:frame="1"/>
          <w:shd w:val="clear" w:color="auto" w:fill="FFFFFF"/>
        </w:rPr>
        <w:t>sajid.khan@yale.edu</w:t>
      </w:r>
    </w:p>
    <w:p w14:paraId="62E73995" w14:textId="77777777" w:rsidR="00522055" w:rsidRDefault="00522055" w:rsidP="00522055">
      <w:pPr>
        <w:rPr>
          <w:rFonts w:asciiTheme="minorHAnsi" w:hAnsiTheme="minorHAnsi" w:cstheme="minorHAnsi"/>
          <w:sz w:val="16"/>
          <w:szCs w:val="16"/>
        </w:rPr>
      </w:pPr>
    </w:p>
    <w:p w14:paraId="5B9900A3" w14:textId="77777777" w:rsidR="00522055" w:rsidRDefault="00522055" w:rsidP="00522055">
      <w:pPr>
        <w:rPr>
          <w:rFonts w:asciiTheme="minorHAnsi" w:hAnsiTheme="minorHAnsi" w:cstheme="minorHAnsi"/>
          <w:sz w:val="16"/>
          <w:szCs w:val="16"/>
        </w:rPr>
      </w:pPr>
    </w:p>
    <w:p w14:paraId="17BA628E" w14:textId="77777777" w:rsidR="00522055" w:rsidRDefault="00522055" w:rsidP="00522055">
      <w:pPr>
        <w:rPr>
          <w:rFonts w:asciiTheme="minorHAnsi" w:hAnsiTheme="minorHAnsi" w:cstheme="minorHAnsi"/>
          <w:sz w:val="16"/>
          <w:szCs w:val="16"/>
        </w:rPr>
      </w:pPr>
    </w:p>
    <w:p w14:paraId="6463A64B" w14:textId="77777777" w:rsidR="00522055" w:rsidRDefault="00522055" w:rsidP="00522055">
      <w:pPr>
        <w:rPr>
          <w:rFonts w:asciiTheme="minorHAnsi" w:hAnsiTheme="minorHAnsi" w:cstheme="minorHAnsi"/>
          <w:sz w:val="16"/>
          <w:szCs w:val="16"/>
        </w:rPr>
      </w:pPr>
    </w:p>
    <w:p w14:paraId="5DEF7ABD" w14:textId="77777777" w:rsidR="00522055" w:rsidRDefault="00522055" w:rsidP="00522055">
      <w:pPr>
        <w:rPr>
          <w:rFonts w:asciiTheme="minorHAnsi" w:hAnsiTheme="minorHAnsi" w:cstheme="minorHAnsi"/>
          <w:sz w:val="16"/>
          <w:szCs w:val="16"/>
        </w:rPr>
      </w:pPr>
    </w:p>
    <w:p w14:paraId="4744894A" w14:textId="451BEFA1" w:rsidR="00522055" w:rsidRDefault="00522055" w:rsidP="00522055">
      <w:pPr>
        <w:rPr>
          <w:rFonts w:asciiTheme="minorHAnsi" w:hAnsiTheme="minorHAnsi" w:cstheme="minorHAnsi"/>
          <w:sz w:val="16"/>
          <w:szCs w:val="16"/>
        </w:rPr>
      </w:pPr>
    </w:p>
    <w:p w14:paraId="5BC4D14C" w14:textId="289E3A56" w:rsidR="00522055" w:rsidRDefault="00522055" w:rsidP="00522055">
      <w:pPr>
        <w:rPr>
          <w:rFonts w:asciiTheme="minorHAnsi" w:hAnsiTheme="minorHAnsi" w:cstheme="minorHAnsi"/>
          <w:sz w:val="16"/>
          <w:szCs w:val="16"/>
        </w:rPr>
      </w:pPr>
    </w:p>
    <w:p w14:paraId="5930B408" w14:textId="3C7778FD" w:rsidR="00522055" w:rsidRDefault="00522055" w:rsidP="00522055">
      <w:pPr>
        <w:rPr>
          <w:rFonts w:asciiTheme="minorHAnsi" w:hAnsiTheme="minorHAnsi" w:cstheme="minorHAnsi"/>
          <w:sz w:val="16"/>
          <w:szCs w:val="16"/>
        </w:rPr>
      </w:pPr>
    </w:p>
    <w:p w14:paraId="4E6952D5" w14:textId="399B95D0" w:rsidR="00522055" w:rsidRDefault="00522055" w:rsidP="00522055">
      <w:pPr>
        <w:rPr>
          <w:rFonts w:asciiTheme="minorHAnsi" w:hAnsiTheme="minorHAnsi" w:cstheme="minorHAnsi"/>
          <w:sz w:val="16"/>
          <w:szCs w:val="16"/>
        </w:rPr>
      </w:pPr>
    </w:p>
    <w:p w14:paraId="20CF1DA3" w14:textId="44B0BE39" w:rsidR="00522055" w:rsidRDefault="00522055" w:rsidP="00522055">
      <w:pPr>
        <w:rPr>
          <w:rFonts w:asciiTheme="minorHAnsi" w:hAnsiTheme="minorHAnsi" w:cstheme="minorHAnsi"/>
          <w:sz w:val="16"/>
          <w:szCs w:val="16"/>
        </w:rPr>
      </w:pPr>
    </w:p>
    <w:p w14:paraId="4B7E5989" w14:textId="493DCBE3" w:rsidR="00522055" w:rsidRDefault="00522055" w:rsidP="00522055">
      <w:pPr>
        <w:rPr>
          <w:rFonts w:asciiTheme="minorHAnsi" w:hAnsiTheme="minorHAnsi" w:cstheme="minorHAnsi"/>
          <w:sz w:val="16"/>
          <w:szCs w:val="16"/>
        </w:rPr>
      </w:pPr>
    </w:p>
    <w:p w14:paraId="62C3AB9D" w14:textId="079B924F" w:rsidR="00522055" w:rsidRDefault="00522055" w:rsidP="00522055">
      <w:pPr>
        <w:rPr>
          <w:rFonts w:asciiTheme="minorHAnsi" w:hAnsiTheme="minorHAnsi" w:cstheme="minorHAnsi"/>
          <w:sz w:val="16"/>
          <w:szCs w:val="16"/>
        </w:rPr>
      </w:pPr>
    </w:p>
    <w:p w14:paraId="7648A63B" w14:textId="5C1E14DA" w:rsidR="00522055" w:rsidRDefault="00522055" w:rsidP="00522055">
      <w:pPr>
        <w:rPr>
          <w:rFonts w:asciiTheme="minorHAnsi" w:hAnsiTheme="minorHAnsi" w:cstheme="minorHAnsi"/>
          <w:sz w:val="16"/>
          <w:szCs w:val="16"/>
        </w:rPr>
      </w:pPr>
    </w:p>
    <w:p w14:paraId="0912CCEF" w14:textId="314CA938" w:rsidR="00522055" w:rsidRDefault="00522055" w:rsidP="00522055">
      <w:pPr>
        <w:rPr>
          <w:rFonts w:asciiTheme="minorHAnsi" w:hAnsiTheme="minorHAnsi" w:cstheme="minorHAnsi"/>
          <w:sz w:val="16"/>
          <w:szCs w:val="16"/>
        </w:rPr>
      </w:pPr>
    </w:p>
    <w:p w14:paraId="65048C41" w14:textId="7A857B51" w:rsidR="00522055" w:rsidRDefault="00522055" w:rsidP="00522055">
      <w:pPr>
        <w:rPr>
          <w:rFonts w:asciiTheme="minorHAnsi" w:hAnsiTheme="minorHAnsi" w:cstheme="minorHAnsi"/>
          <w:sz w:val="16"/>
          <w:szCs w:val="16"/>
        </w:rPr>
      </w:pPr>
    </w:p>
    <w:p w14:paraId="6DD8CD3B" w14:textId="3146458C" w:rsidR="00522055" w:rsidRDefault="00522055" w:rsidP="00522055">
      <w:pPr>
        <w:rPr>
          <w:rFonts w:asciiTheme="minorHAnsi" w:hAnsiTheme="minorHAnsi" w:cstheme="minorHAnsi"/>
          <w:sz w:val="16"/>
          <w:szCs w:val="16"/>
        </w:rPr>
      </w:pPr>
    </w:p>
    <w:p w14:paraId="6FE6E219" w14:textId="77777777" w:rsidR="00522055" w:rsidRDefault="00522055" w:rsidP="00522055">
      <w:pPr>
        <w:rPr>
          <w:rFonts w:asciiTheme="minorHAnsi" w:hAnsiTheme="minorHAnsi" w:cstheme="minorHAnsi"/>
          <w:sz w:val="16"/>
          <w:szCs w:val="16"/>
        </w:rPr>
      </w:pPr>
    </w:p>
    <w:p w14:paraId="2B53B38D" w14:textId="77777777" w:rsidR="00522055" w:rsidRDefault="00522055" w:rsidP="00522055">
      <w:pPr>
        <w:rPr>
          <w:rFonts w:asciiTheme="minorHAnsi" w:hAnsiTheme="minorHAnsi" w:cstheme="minorHAnsi"/>
          <w:sz w:val="16"/>
          <w:szCs w:val="16"/>
        </w:rPr>
      </w:pPr>
    </w:p>
    <w:p w14:paraId="3AF05BA9" w14:textId="77777777" w:rsidR="00B47758" w:rsidRPr="0064554E" w:rsidRDefault="00B47758" w:rsidP="00B47758">
      <w:pPr>
        <w:rPr>
          <w:b/>
          <w:bCs/>
        </w:rPr>
      </w:pPr>
      <w:r w:rsidRPr="0064554E">
        <w:rPr>
          <w:b/>
          <w:bCs/>
        </w:rPr>
        <w:lastRenderedPageBreak/>
        <w:t>Supplementary Material and Methods</w:t>
      </w:r>
    </w:p>
    <w:p w14:paraId="6EBC7C7A" w14:textId="409CE613" w:rsidR="00B47758" w:rsidRPr="0064554E" w:rsidRDefault="00B47758" w:rsidP="00B47758">
      <w:pPr>
        <w:pStyle w:val="Heading4"/>
        <w:shd w:val="clear" w:color="auto" w:fill="FFFFFF"/>
        <w:spacing w:line="480" w:lineRule="auto"/>
        <w:jc w:val="both"/>
        <w:rPr>
          <w:rFonts w:ascii="Times New Roman" w:hAnsi="Times New Roman" w:cs="Times New Roman"/>
          <w:color w:val="000000"/>
        </w:rPr>
      </w:pPr>
      <w:r w:rsidRPr="0064554E">
        <w:rPr>
          <w:rFonts w:ascii="Times New Roman" w:hAnsi="Times New Roman" w:cs="Times New Roman"/>
          <w:b/>
          <w:bCs/>
          <w:i w:val="0"/>
          <w:iCs w:val="0"/>
          <w:color w:val="000000"/>
        </w:rPr>
        <w:t>Sample Collection</w:t>
      </w:r>
    </w:p>
    <w:p w14:paraId="50004BD5" w14:textId="77777777" w:rsidR="00B47758" w:rsidRDefault="00B47758" w:rsidP="00B47758">
      <w:pPr>
        <w:spacing w:after="0" w:line="480" w:lineRule="auto"/>
        <w:jc w:val="both"/>
        <w:rPr>
          <w:color w:val="222222"/>
          <w:shd w:val="clear" w:color="auto" w:fill="FFFFFF"/>
        </w:rPr>
      </w:pPr>
      <w:r w:rsidRPr="005F5E9C">
        <w:rPr>
          <w:color w:val="222222"/>
          <w:shd w:val="clear" w:color="auto" w:fill="FFFFFF"/>
        </w:rPr>
        <w:t xml:space="preserve">Colon tumor tissue and normal colon mucosa tissue (furthest away from the tumor at the resection margin) were acquired during surgery for colectomy and prospectively collected from 736 stage I–IV CRC patients in the period </w:t>
      </w:r>
      <w:r>
        <w:rPr>
          <w:color w:val="222222"/>
          <w:shd w:val="clear" w:color="auto" w:fill="FFFFFF"/>
        </w:rPr>
        <w:t xml:space="preserve">of </w:t>
      </w:r>
      <w:r w:rsidRPr="005F5E9C">
        <w:rPr>
          <w:color w:val="222222"/>
          <w:shd w:val="clear" w:color="auto" w:fill="FFFFFF"/>
        </w:rPr>
        <w:t xml:space="preserve">1991–2001 at Memorial Sloan-Kettering Cancer Center (MSKCC, New York, NY, USA). Clinical data were recorded and updated retrospectively. Each sample was snap frozen in liquid nitrogen and immediately stored at </w:t>
      </w:r>
      <w:r>
        <w:rPr>
          <w:color w:val="222222"/>
          <w:shd w:val="clear" w:color="auto" w:fill="FFFFFF"/>
        </w:rPr>
        <w:t>-</w:t>
      </w:r>
      <w:r w:rsidRPr="005F5E9C">
        <w:rPr>
          <w:color w:val="222222"/>
          <w:shd w:val="clear" w:color="auto" w:fill="FFFFFF"/>
        </w:rPr>
        <w:t xml:space="preserve">80 °C. Pre-operative intravenous antibiotics (cefazolin/metronidazole, clindamycin/gentamicin or ciprofloxacin/metronidazole) were administered within 60 min prior to resection. All patients received a standard mechanical bowel preparation (polyethylene glycol (PEG) solution) 24 h before scheduled surgery. For this study, </w:t>
      </w:r>
      <w:r w:rsidRPr="005F5E9C">
        <w:rPr>
          <w:rFonts w:eastAsia="Times New Roman"/>
        </w:rPr>
        <w:t>we analyzed 372 frozen primary tumors from stage I-IV patients with 372 paired normal control colon mucosa tissues.</w:t>
      </w:r>
      <w:r w:rsidRPr="005F5E9C">
        <w:rPr>
          <w:color w:val="222222"/>
          <w:shd w:val="clear" w:color="auto" w:fill="FFFFFF"/>
        </w:rPr>
        <w:t xml:space="preserve"> The Yale University Institutional Review Board (IRB) determined that the study conducted in this publication was not considered to be Human Subjects Research and did not require an IRB review (IRB/HSC# 1612018746).</w:t>
      </w:r>
    </w:p>
    <w:p w14:paraId="2A55A818" w14:textId="076E8A9E" w:rsidR="00C258DC" w:rsidRPr="0064554E" w:rsidRDefault="002B7322" w:rsidP="00C258DC">
      <w:pPr>
        <w:rPr>
          <w:b/>
          <w:bCs/>
          <w:color w:val="000000" w:themeColor="text1"/>
        </w:rPr>
      </w:pPr>
      <w:r w:rsidRPr="0064554E">
        <w:rPr>
          <w:color w:val="000000" w:themeColor="text1"/>
        </w:rPr>
        <w:t xml:space="preserve">The steps followed to ensure the quality of adjacent </w:t>
      </w:r>
      <w:r w:rsidRPr="0064554E">
        <w:rPr>
          <w:color w:val="000000" w:themeColor="text1"/>
          <w:shd w:val="clear" w:color="auto" w:fill="FFFFFF"/>
        </w:rPr>
        <w:t>normal colon mucosa tissue are described below.</w:t>
      </w:r>
    </w:p>
    <w:p w14:paraId="331E649B" w14:textId="77777777" w:rsidR="00C258DC" w:rsidRPr="0064554E" w:rsidRDefault="00C258DC" w:rsidP="00C258DC">
      <w:pPr>
        <w:numPr>
          <w:ilvl w:val="0"/>
          <w:numId w:val="1"/>
        </w:numPr>
        <w:spacing w:after="0" w:line="240" w:lineRule="auto"/>
        <w:rPr>
          <w:b/>
          <w:bCs/>
          <w:color w:val="000000" w:themeColor="text1"/>
        </w:rPr>
      </w:pPr>
      <w:r w:rsidRPr="0064554E">
        <w:rPr>
          <w:b/>
          <w:bCs/>
          <w:color w:val="000000" w:themeColor="text1"/>
        </w:rPr>
        <w:t>Pathological Examination and Tissue Selection:</w:t>
      </w:r>
    </w:p>
    <w:p w14:paraId="656DD23A" w14:textId="77777777" w:rsidR="00C258DC" w:rsidRPr="0064554E" w:rsidRDefault="00C258DC" w:rsidP="00C258DC">
      <w:pPr>
        <w:spacing w:after="0" w:line="240" w:lineRule="auto"/>
        <w:ind w:left="720"/>
        <w:rPr>
          <w:b/>
          <w:bCs/>
          <w:color w:val="000000" w:themeColor="text1"/>
        </w:rPr>
      </w:pPr>
    </w:p>
    <w:p w14:paraId="29C7D08E" w14:textId="77777777" w:rsidR="00C258DC" w:rsidRPr="0064554E" w:rsidRDefault="00C258DC" w:rsidP="00C258DC">
      <w:pPr>
        <w:pStyle w:val="ListParagraph"/>
        <w:spacing w:after="0" w:line="480" w:lineRule="auto"/>
        <w:jc w:val="both"/>
        <w:rPr>
          <w:color w:val="000000" w:themeColor="text1"/>
          <w:shd w:val="clear" w:color="auto" w:fill="FFFFFF"/>
        </w:rPr>
      </w:pPr>
      <w:r w:rsidRPr="0064554E">
        <w:rPr>
          <w:color w:val="000000" w:themeColor="text1"/>
          <w:shd w:val="clear" w:color="auto" w:fill="FFFFFF"/>
        </w:rPr>
        <w:t>A board-certified pathologist thoroughly inspected every sample of tissue, including the tumor and the surrounding normal tissues. The pathologist used histological analysis to verify that the normal tissue samples did not contain cancerous cells. Utilizing the H&amp;E staining method, they examined the cellular structure to confirm that the selected normal tissue was indeed cancer-free.</w:t>
      </w:r>
    </w:p>
    <w:p w14:paraId="51BEBBAD" w14:textId="41A5FFE5" w:rsidR="00C258DC" w:rsidRPr="0064554E" w:rsidRDefault="00C258DC" w:rsidP="00C258DC">
      <w:pPr>
        <w:numPr>
          <w:ilvl w:val="0"/>
          <w:numId w:val="1"/>
        </w:numPr>
        <w:spacing w:after="0" w:line="480" w:lineRule="auto"/>
        <w:rPr>
          <w:color w:val="000000" w:themeColor="text1"/>
        </w:rPr>
      </w:pPr>
      <w:r w:rsidRPr="0064554E">
        <w:rPr>
          <w:b/>
          <w:bCs/>
          <w:color w:val="000000" w:themeColor="text1"/>
        </w:rPr>
        <w:t>Standardized Sampling Protocol</w:t>
      </w:r>
      <w:r w:rsidRPr="0064554E">
        <w:rPr>
          <w:color w:val="000000" w:themeColor="text1"/>
        </w:rPr>
        <w:t>:</w:t>
      </w:r>
      <w:r w:rsidRPr="0064554E">
        <w:rPr>
          <w:color w:val="000000" w:themeColor="text1"/>
        </w:rPr>
        <w:br/>
      </w:r>
      <w:proofErr w:type="gramStart"/>
      <w:r w:rsidRPr="0064554E">
        <w:rPr>
          <w:color w:val="000000" w:themeColor="text1"/>
          <w:shd w:val="clear" w:color="auto" w:fill="FFFFFF"/>
        </w:rPr>
        <w:t>In order to</w:t>
      </w:r>
      <w:proofErr w:type="gramEnd"/>
      <w:r w:rsidRPr="0064554E">
        <w:rPr>
          <w:color w:val="000000" w:themeColor="text1"/>
          <w:shd w:val="clear" w:color="auto" w:fill="FFFFFF"/>
        </w:rPr>
        <w:t xml:space="preserve"> reduce the impact of variation caused by varying resection specimen lengths, a standardized protocol for tissue sampling was put into place. Uniformity across all specimens was ensured by consistently collecting normal tissue from </w:t>
      </w:r>
      <w:proofErr w:type="gramStart"/>
      <w:r w:rsidRPr="0064554E">
        <w:rPr>
          <w:color w:val="000000" w:themeColor="text1"/>
          <w:shd w:val="clear" w:color="auto" w:fill="FFFFFF"/>
        </w:rPr>
        <w:t>a distance of 6</w:t>
      </w:r>
      <w:proofErr w:type="gramEnd"/>
      <w:r w:rsidRPr="0064554E">
        <w:rPr>
          <w:color w:val="000000" w:themeColor="text1"/>
          <w:shd w:val="clear" w:color="auto" w:fill="FFFFFF"/>
        </w:rPr>
        <w:t xml:space="preserve"> cm from the visible tumor margin. The selection of this distance was guided by clinical recommendations and the expertise of our pathology team, who verified that the selected tissue was representative of normal tissue in the vicinity of the tumor.</w:t>
      </w:r>
    </w:p>
    <w:p w14:paraId="51E08175" w14:textId="77777777" w:rsidR="00C258DC" w:rsidRPr="0064554E" w:rsidRDefault="00C258DC" w:rsidP="00C258DC">
      <w:pPr>
        <w:numPr>
          <w:ilvl w:val="0"/>
          <w:numId w:val="1"/>
        </w:numPr>
        <w:spacing w:after="0" w:line="240" w:lineRule="auto"/>
        <w:rPr>
          <w:color w:val="000000" w:themeColor="text1"/>
        </w:rPr>
      </w:pPr>
      <w:r w:rsidRPr="0064554E">
        <w:rPr>
          <w:b/>
          <w:bCs/>
          <w:color w:val="000000" w:themeColor="text1"/>
        </w:rPr>
        <w:lastRenderedPageBreak/>
        <w:t>Histological Confirmation</w:t>
      </w:r>
      <w:r w:rsidRPr="0064554E">
        <w:rPr>
          <w:color w:val="000000" w:themeColor="text1"/>
        </w:rPr>
        <w:t>:</w:t>
      </w:r>
    </w:p>
    <w:p w14:paraId="391D2651" w14:textId="77777777" w:rsidR="00C258DC" w:rsidRPr="0064554E" w:rsidRDefault="00C258DC" w:rsidP="00C258DC">
      <w:pPr>
        <w:spacing w:after="0" w:line="240" w:lineRule="auto"/>
        <w:ind w:left="720"/>
        <w:rPr>
          <w:color w:val="000000" w:themeColor="text1"/>
        </w:rPr>
      </w:pPr>
    </w:p>
    <w:p w14:paraId="371C5FA2" w14:textId="52459135" w:rsidR="00C258DC" w:rsidRPr="0064554E" w:rsidRDefault="00C258DC" w:rsidP="00C258DC">
      <w:pPr>
        <w:spacing w:after="0" w:line="480" w:lineRule="auto"/>
        <w:ind w:left="720"/>
        <w:jc w:val="both"/>
        <w:rPr>
          <w:color w:val="000000" w:themeColor="text1"/>
        </w:rPr>
      </w:pPr>
      <w:r w:rsidRPr="0064554E">
        <w:rPr>
          <w:color w:val="000000" w:themeColor="text1"/>
          <w:shd w:val="clear" w:color="auto" w:fill="FFFFFF"/>
        </w:rPr>
        <w:t>Following the initial pathological examination, further histological evaluations were carried out to confirm the integrity of the non-tumor tissue samples. The sections from each sample were scrutinized by the pathologist to verify the absence of any inflammatory changes, necrosis, or other pathological conditions that could impact the findings. This stage was essential in validating that the normal tissue accurately represented the non-tumor environment.</w:t>
      </w:r>
    </w:p>
    <w:p w14:paraId="5CA354F6" w14:textId="4A51970B" w:rsidR="00C258DC" w:rsidRPr="0064554E" w:rsidRDefault="00C258DC" w:rsidP="00C258DC">
      <w:pPr>
        <w:numPr>
          <w:ilvl w:val="0"/>
          <w:numId w:val="1"/>
        </w:numPr>
        <w:spacing w:after="0" w:line="480" w:lineRule="auto"/>
        <w:rPr>
          <w:color w:val="000000" w:themeColor="text1"/>
        </w:rPr>
      </w:pPr>
      <w:r w:rsidRPr="0064554E">
        <w:rPr>
          <w:b/>
          <w:bCs/>
          <w:color w:val="000000" w:themeColor="text1"/>
        </w:rPr>
        <w:t>Minimizing Variability in Specimen Lengths</w:t>
      </w:r>
      <w:r w:rsidRPr="0064554E">
        <w:rPr>
          <w:color w:val="000000" w:themeColor="text1"/>
        </w:rPr>
        <w:t>:</w:t>
      </w:r>
      <w:r w:rsidRPr="0064554E">
        <w:rPr>
          <w:color w:val="000000" w:themeColor="text1"/>
        </w:rPr>
        <w:br/>
        <w:t>Recognizing the potential variability in the length of resection specimens, we established inclusion criteria that specified acceptable ranges for specimen lengths. Specimens that fell outside this range were either excluded or re-evaluated to ensure that the normal tissue samples were appropriately distant from the tumor margins and were not compromised by variations in resection technique.</w:t>
      </w:r>
    </w:p>
    <w:p w14:paraId="3669F96E" w14:textId="77777777" w:rsidR="00B47758" w:rsidRPr="0064554E" w:rsidRDefault="00B47758" w:rsidP="00B47758">
      <w:pPr>
        <w:spacing w:after="0" w:line="480" w:lineRule="auto"/>
        <w:jc w:val="both"/>
        <w:rPr>
          <w:color w:val="000000" w:themeColor="text1"/>
          <w:shd w:val="clear" w:color="auto" w:fill="FFFFFF"/>
        </w:rPr>
      </w:pPr>
    </w:p>
    <w:p w14:paraId="1A92BCA4" w14:textId="77777777" w:rsidR="00B47758" w:rsidRPr="0064554E" w:rsidRDefault="00B47758" w:rsidP="00B47758">
      <w:pPr>
        <w:pStyle w:val="Heading4"/>
        <w:shd w:val="clear" w:color="auto" w:fill="FFFFFF"/>
        <w:spacing w:line="480" w:lineRule="auto"/>
        <w:jc w:val="both"/>
        <w:rPr>
          <w:rFonts w:ascii="Times New Roman" w:hAnsi="Times New Roman" w:cs="Times New Roman"/>
          <w:color w:val="000000" w:themeColor="text1"/>
        </w:rPr>
      </w:pPr>
      <w:r w:rsidRPr="0064554E">
        <w:rPr>
          <w:rFonts w:ascii="Times New Roman" w:hAnsi="Times New Roman" w:cs="Times New Roman"/>
          <w:b/>
          <w:bCs/>
          <w:i w:val="0"/>
          <w:iCs w:val="0"/>
          <w:color w:val="000000" w:themeColor="text1"/>
        </w:rPr>
        <w:t>Tissue Metabolite Extraction</w:t>
      </w:r>
    </w:p>
    <w:p w14:paraId="0A5BA497" w14:textId="77777777" w:rsidR="00B47758" w:rsidRPr="005F5E9C" w:rsidRDefault="00B47758" w:rsidP="00B47758">
      <w:pPr>
        <w:spacing w:after="0" w:line="480" w:lineRule="auto"/>
        <w:jc w:val="both"/>
        <w:rPr>
          <w:color w:val="212121"/>
          <w:shd w:val="clear" w:color="auto" w:fill="FFFFFF"/>
        </w:rPr>
      </w:pPr>
      <w:r w:rsidRPr="0064554E">
        <w:rPr>
          <w:rFonts w:eastAsia="Times New Roman"/>
          <w:color w:val="000000" w:themeColor="text1"/>
        </w:rPr>
        <w:t>All tissues were sectioned in this study and homogenized ready for metabolite extraction. F</w:t>
      </w:r>
      <w:r w:rsidRPr="0064554E">
        <w:rPr>
          <w:color w:val="000000" w:themeColor="text1"/>
          <w:shd w:val="clear" w:color="auto" w:fill="FFFFFF"/>
        </w:rPr>
        <w:t>irst, 50 ± 1 mg of each tissue was homogenized using 500 μL of UPLC-grade H</w:t>
      </w:r>
      <w:r w:rsidRPr="0064554E">
        <w:rPr>
          <w:color w:val="000000" w:themeColor="text1"/>
          <w:shd w:val="clear" w:color="auto" w:fill="FFFFFF"/>
          <w:vertAlign w:val="subscript"/>
        </w:rPr>
        <w:t>2</w:t>
      </w:r>
      <w:r w:rsidRPr="0064554E">
        <w:rPr>
          <w:color w:val="000000" w:themeColor="text1"/>
          <w:shd w:val="clear" w:color="auto" w:fill="FFFFFF"/>
        </w:rPr>
        <w:t xml:space="preserve">O. A Cryolys Evolution homogenizer (Bertin Corporation, Rockville, MD, USA) was used with 2 mL lysing tubes (Bertin Corporation) and 1.4 mm ceramic zirconium oxide beads (Bertin Corporation) to homogenize the tissues. Each sample was processed six times for 20 s, at 6000 rpm </w:t>
      </w:r>
      <w:r w:rsidRPr="005F5E9C">
        <w:rPr>
          <w:color w:val="212121"/>
          <w:shd w:val="clear" w:color="auto" w:fill="FFFFFF"/>
        </w:rPr>
        <w:t>with 5 s intervals. Dry ice was used to keep the temperature &lt;10 °C during homogenization. From the homogenized solution, 100 µL of each sample was taken and added to 1.5 mL polypropylene microcentrifuge tubes for subsequent metabolite extraction. A pooled quality control (QC) sample was prepared by mixing 5 μL of each sample into a UPLC autosampler vial.</w:t>
      </w:r>
      <w:r w:rsidRPr="005F5E9C">
        <w:rPr>
          <w:rFonts w:eastAsia="Times New Roman"/>
        </w:rPr>
        <w:t xml:space="preserve"> </w:t>
      </w:r>
      <w:r w:rsidRPr="005F5E9C">
        <w:rPr>
          <w:color w:val="212121"/>
          <w:shd w:val="clear" w:color="auto" w:fill="FFFFFF"/>
        </w:rPr>
        <w:t xml:space="preserve">A volume of 400 μL ice cold </w:t>
      </w:r>
      <w:proofErr w:type="gramStart"/>
      <w:r w:rsidRPr="005F5E9C">
        <w:rPr>
          <w:color w:val="212121"/>
          <w:shd w:val="clear" w:color="auto" w:fill="FFFFFF"/>
        </w:rPr>
        <w:t>MeOH:ACN</w:t>
      </w:r>
      <w:proofErr w:type="gramEnd"/>
      <w:r w:rsidRPr="005F5E9C">
        <w:rPr>
          <w:color w:val="212121"/>
          <w:shd w:val="clear" w:color="auto" w:fill="FFFFFF"/>
        </w:rPr>
        <w:t xml:space="preserve"> (1:1, </w:t>
      </w:r>
      <w:r w:rsidRPr="005F5E9C">
        <w:rPr>
          <w:rStyle w:val="Emphasis"/>
          <w:color w:val="212121"/>
          <w:shd w:val="clear" w:color="auto" w:fill="FFFFFF"/>
        </w:rPr>
        <w:t>v</w:t>
      </w:r>
      <w:r w:rsidRPr="005F5E9C">
        <w:rPr>
          <w:color w:val="212121"/>
          <w:shd w:val="clear" w:color="auto" w:fill="FFFFFF"/>
        </w:rPr>
        <w:t>/</w:t>
      </w:r>
      <w:r w:rsidRPr="005F5E9C">
        <w:rPr>
          <w:rStyle w:val="Emphasis"/>
          <w:color w:val="212121"/>
          <w:shd w:val="clear" w:color="auto" w:fill="FFFFFF"/>
        </w:rPr>
        <w:t>v</w:t>
      </w:r>
      <w:r w:rsidRPr="005F5E9C">
        <w:rPr>
          <w:color w:val="212121"/>
          <w:shd w:val="clear" w:color="auto" w:fill="FFFFFF"/>
        </w:rPr>
        <w:t xml:space="preserve">) was added to each sample as the extraction solvent. The samples were vortexed for 30 s, and sonicated for 10 min. To precipitate proteins, the samples were incubated for 2 </w:t>
      </w:r>
      <w:proofErr w:type="spellStart"/>
      <w:r w:rsidRPr="005F5E9C">
        <w:rPr>
          <w:color w:val="212121"/>
          <w:shd w:val="clear" w:color="auto" w:fill="FFFFFF"/>
        </w:rPr>
        <w:t>h at</w:t>
      </w:r>
      <w:proofErr w:type="spellEnd"/>
      <w:r w:rsidRPr="005F5E9C">
        <w:rPr>
          <w:color w:val="212121"/>
          <w:shd w:val="clear" w:color="auto" w:fill="FFFFFF"/>
        </w:rPr>
        <w:t xml:space="preserve"> −20 °C, followed by centrifugation at 13,000 rpm (15,000× </w:t>
      </w:r>
      <w:r w:rsidRPr="005F5E9C">
        <w:rPr>
          <w:rStyle w:val="Emphasis"/>
          <w:color w:val="212121"/>
          <w:shd w:val="clear" w:color="auto" w:fill="FFFFFF"/>
        </w:rPr>
        <w:t>g</w:t>
      </w:r>
      <w:r w:rsidRPr="005F5E9C">
        <w:rPr>
          <w:color w:val="212121"/>
          <w:shd w:val="clear" w:color="auto" w:fill="FFFFFF"/>
        </w:rPr>
        <w:t xml:space="preserve">) and 4 °C for 15 min. The resulting supernatant was removed and evaporated to dryness for 12 h using a vacuum concentrator (Thermo Fisher </w:t>
      </w:r>
      <w:r w:rsidRPr="005F5E9C">
        <w:rPr>
          <w:color w:val="212121"/>
          <w:shd w:val="clear" w:color="auto" w:fill="FFFFFF"/>
        </w:rPr>
        <w:lastRenderedPageBreak/>
        <w:t xml:space="preserve">Scientific, Waltham, MA, USA). The dry extracts were then reconstituted in 100 µL of </w:t>
      </w:r>
      <w:proofErr w:type="gramStart"/>
      <w:r w:rsidRPr="005F5E9C">
        <w:rPr>
          <w:color w:val="212121"/>
          <w:shd w:val="clear" w:color="auto" w:fill="FFFFFF"/>
        </w:rPr>
        <w:t>ACN:H</w:t>
      </w:r>
      <w:r w:rsidRPr="005F5E9C">
        <w:rPr>
          <w:color w:val="212121"/>
          <w:shd w:val="clear" w:color="auto" w:fill="FFFFFF"/>
          <w:vertAlign w:val="subscript"/>
        </w:rPr>
        <w:t>2</w:t>
      </w:r>
      <w:r w:rsidRPr="005F5E9C">
        <w:rPr>
          <w:color w:val="212121"/>
          <w:shd w:val="clear" w:color="auto" w:fill="FFFFFF"/>
        </w:rPr>
        <w:t>O</w:t>
      </w:r>
      <w:proofErr w:type="gramEnd"/>
      <w:r w:rsidRPr="005F5E9C">
        <w:rPr>
          <w:color w:val="212121"/>
          <w:shd w:val="clear" w:color="auto" w:fill="FFFFFF"/>
        </w:rPr>
        <w:t xml:space="preserve"> (1:1, </w:t>
      </w:r>
      <w:r w:rsidRPr="005F5E9C">
        <w:rPr>
          <w:rStyle w:val="Emphasis"/>
          <w:color w:val="212121"/>
          <w:shd w:val="clear" w:color="auto" w:fill="FFFFFF"/>
        </w:rPr>
        <w:t>v</w:t>
      </w:r>
      <w:r w:rsidRPr="005F5E9C">
        <w:rPr>
          <w:color w:val="212121"/>
          <w:shd w:val="clear" w:color="auto" w:fill="FFFFFF"/>
        </w:rPr>
        <w:t>/</w:t>
      </w:r>
      <w:r w:rsidRPr="005F5E9C">
        <w:rPr>
          <w:rStyle w:val="Emphasis"/>
          <w:color w:val="212121"/>
          <w:shd w:val="clear" w:color="auto" w:fill="FFFFFF"/>
        </w:rPr>
        <w:t>v</w:t>
      </w:r>
      <w:r w:rsidRPr="005F5E9C">
        <w:rPr>
          <w:color w:val="212121"/>
          <w:shd w:val="clear" w:color="auto" w:fill="FFFFFF"/>
        </w:rPr>
        <w:t>), sonicated for 10 min, and centrifuged at 13,000 rpm (15,000× </w:t>
      </w:r>
      <w:r w:rsidRPr="005F5E9C">
        <w:rPr>
          <w:rStyle w:val="Emphasis"/>
          <w:color w:val="212121"/>
          <w:shd w:val="clear" w:color="auto" w:fill="FFFFFF"/>
        </w:rPr>
        <w:t>g</w:t>
      </w:r>
      <w:r w:rsidRPr="005F5E9C">
        <w:rPr>
          <w:color w:val="212121"/>
          <w:shd w:val="clear" w:color="auto" w:fill="FFFFFF"/>
        </w:rPr>
        <w:t>) and 4 °C for 15 min, to remove insoluble debris. The supernatant was transferred to UPLC autosampler vials (Thermo Scientific, Waltham, MA, USA). QC samples were also treated in the same way as all the other samples.</w:t>
      </w:r>
    </w:p>
    <w:p w14:paraId="78C5F37E" w14:textId="77777777" w:rsidR="00B47758" w:rsidRPr="005F5E9C" w:rsidRDefault="00B47758" w:rsidP="00B47758">
      <w:pPr>
        <w:spacing w:after="0" w:line="480" w:lineRule="auto"/>
        <w:jc w:val="both"/>
        <w:rPr>
          <w:color w:val="212121"/>
          <w:shd w:val="clear" w:color="auto" w:fill="FFFFFF"/>
        </w:rPr>
      </w:pPr>
    </w:p>
    <w:p w14:paraId="5D1B2348" w14:textId="77777777" w:rsidR="00B47758" w:rsidRPr="005F5E9C" w:rsidRDefault="00B47758" w:rsidP="00B47758">
      <w:pPr>
        <w:pStyle w:val="Heading4"/>
        <w:shd w:val="clear" w:color="auto" w:fill="FFFFFF"/>
        <w:spacing w:line="480" w:lineRule="auto"/>
        <w:jc w:val="both"/>
        <w:rPr>
          <w:rFonts w:ascii="Times New Roman" w:hAnsi="Times New Roman" w:cs="Times New Roman"/>
          <w:color w:val="000000"/>
        </w:rPr>
      </w:pPr>
      <w:r w:rsidRPr="005F5E9C">
        <w:rPr>
          <w:rFonts w:ascii="Times New Roman" w:hAnsi="Times New Roman" w:cs="Times New Roman"/>
          <w:b/>
          <w:bCs/>
          <w:i w:val="0"/>
          <w:iCs w:val="0"/>
          <w:color w:val="000000"/>
        </w:rPr>
        <w:t>UPLC-MS Analysis</w:t>
      </w:r>
    </w:p>
    <w:p w14:paraId="75255A65" w14:textId="77777777" w:rsidR="00B47758" w:rsidRDefault="00B47758" w:rsidP="00B47758">
      <w:pPr>
        <w:pStyle w:val="p"/>
        <w:shd w:val="clear" w:color="auto" w:fill="FFFFFF"/>
        <w:spacing w:before="400" w:beforeAutospacing="0" w:after="0" w:afterAutospacing="0" w:line="480" w:lineRule="auto"/>
        <w:jc w:val="both"/>
        <w:rPr>
          <w:color w:val="212121"/>
          <w:sz w:val="22"/>
          <w:szCs w:val="22"/>
        </w:rPr>
      </w:pPr>
      <w:r>
        <w:rPr>
          <w:color w:val="212121"/>
          <w:sz w:val="22"/>
          <w:szCs w:val="22"/>
          <w:shd w:val="clear" w:color="auto" w:fill="FFFFFF"/>
        </w:rPr>
        <w:t>S</w:t>
      </w:r>
      <w:r w:rsidRPr="005F5E9C">
        <w:rPr>
          <w:color w:val="212121"/>
          <w:sz w:val="22"/>
          <w:szCs w:val="22"/>
          <w:shd w:val="clear" w:color="auto" w:fill="FFFFFF"/>
        </w:rPr>
        <w:t xml:space="preserve">amples were analysed in </w:t>
      </w:r>
      <w:r>
        <w:rPr>
          <w:color w:val="212121"/>
          <w:sz w:val="22"/>
          <w:szCs w:val="22"/>
          <w:shd w:val="clear" w:color="auto" w:fill="FFFFFF"/>
        </w:rPr>
        <w:t>sex</w:t>
      </w:r>
      <w:r w:rsidRPr="005F5E9C">
        <w:rPr>
          <w:color w:val="212121"/>
          <w:sz w:val="22"/>
          <w:szCs w:val="22"/>
          <w:shd w:val="clear" w:color="auto" w:fill="FFFFFF"/>
        </w:rPr>
        <w:t xml:space="preserve"> different batches using hydrophilic interaction liquid chromatography mass spectrometry (HILIC-MS) in electrospray ionization (ESI) negative mode and reverse phase liquid chromatography mass spectrometry (RPLC-MS) in ESI positive mode for a comprehensive analysis of the tissue metabolome.</w:t>
      </w:r>
      <w:r w:rsidRPr="005F5E9C">
        <w:rPr>
          <w:color w:val="212121"/>
          <w:sz w:val="22"/>
          <w:szCs w:val="22"/>
        </w:rPr>
        <w:t xml:space="preserve"> A UPLC system (H-Class ACQUITY, Waters Corporation, Milford, MA, USA), coupled to a quadrupole time-of flight (QTOF) mass spectrometer (Xevo G2-XS QTOF, Waters Corporation, Milford, MA, USA), was used for MS data acquisition. A Waters ACQUITY UPLC BEH Amide column (particle size, 1.7 μm; 100 mm (length) × 2.1 mm (i.d.)) and Waters ACQUITY UPLC BEH C18 column (particle size, 1.7 μm; 50 mm (length) × 2.1 mm (i.d.)) were used for the UPLC-based HILIC and RPLC separation of metabolites respectively. The column temperature was kept at 25 °C for HILIC-MS analysis and 30 °C for RPLC-MS analysis. The solvent flow rate was 0.5 mL/min, and the sample injection volume was 1 μL. For HILIC-MS analysis, mobile phase A was 25 mM NH</w:t>
      </w:r>
      <w:r w:rsidRPr="005F5E9C">
        <w:rPr>
          <w:color w:val="212121"/>
          <w:sz w:val="22"/>
          <w:szCs w:val="22"/>
          <w:vertAlign w:val="subscript"/>
        </w:rPr>
        <w:t>4</w:t>
      </w:r>
      <w:r w:rsidRPr="005F5E9C">
        <w:rPr>
          <w:color w:val="212121"/>
          <w:sz w:val="22"/>
          <w:szCs w:val="22"/>
        </w:rPr>
        <w:t>OH and 25 mM NH</w:t>
      </w:r>
      <w:r w:rsidRPr="005F5E9C">
        <w:rPr>
          <w:color w:val="212121"/>
          <w:sz w:val="22"/>
          <w:szCs w:val="22"/>
          <w:vertAlign w:val="subscript"/>
        </w:rPr>
        <w:t>4</w:t>
      </w:r>
      <w:r w:rsidRPr="005F5E9C">
        <w:rPr>
          <w:color w:val="212121"/>
          <w:sz w:val="22"/>
          <w:szCs w:val="22"/>
        </w:rPr>
        <w:t>OAc in water, while the mobile phase B was can, for both ESI, positive and negative mode, respectively. The linear gradient was set as follows: 0~0.5 min: 95% B; 0.5~7 min: 95% B to 65% B; 7~8 min: 65% B to 40% B; 8~9 min: 40% B; 9~9.1 min: 40% B to 95% B; 9.1~12 min: 95% B. For RPLC-MS analysis, the mobile phases A was 0.1% formic acid in H</w:t>
      </w:r>
      <w:r w:rsidRPr="005F5E9C">
        <w:rPr>
          <w:color w:val="212121"/>
          <w:sz w:val="22"/>
          <w:szCs w:val="22"/>
          <w:vertAlign w:val="subscript"/>
        </w:rPr>
        <w:t>2</w:t>
      </w:r>
      <w:r w:rsidRPr="005F5E9C">
        <w:rPr>
          <w:color w:val="212121"/>
          <w:sz w:val="22"/>
          <w:szCs w:val="22"/>
        </w:rPr>
        <w:t>O, while the mobile phases B was 0.1% formic acid in ACN, respectively, for both ESI+ and ESI−. The linear gradient was set as follows: 0~1 min: 1% B; 1~8 min: 1% B to 100% B; 8~10 min: 100% B; 10~10.1 min: 100% B to 1% B; 10.1~12 min: 1% B. Pooled samples were analysed every eight injections during the UPLC-MS analysis to monitor the stability of the data acquisition, and used for subsequent data normalization.</w:t>
      </w:r>
    </w:p>
    <w:p w14:paraId="3509BB58" w14:textId="77777777" w:rsidR="00B47758" w:rsidRPr="005F5E9C" w:rsidRDefault="00B47758" w:rsidP="00B47758">
      <w:pPr>
        <w:pStyle w:val="p"/>
        <w:shd w:val="clear" w:color="auto" w:fill="FFFFFF"/>
        <w:spacing w:before="400" w:beforeAutospacing="0" w:after="400" w:afterAutospacing="0" w:line="480" w:lineRule="auto"/>
        <w:jc w:val="both"/>
        <w:rPr>
          <w:color w:val="212121"/>
          <w:sz w:val="22"/>
          <w:szCs w:val="22"/>
        </w:rPr>
      </w:pPr>
      <w:r w:rsidRPr="005F5E9C">
        <w:rPr>
          <w:color w:val="212121"/>
          <w:sz w:val="22"/>
          <w:szCs w:val="22"/>
        </w:rPr>
        <w:lastRenderedPageBreak/>
        <w:t>QTOF scan data (300 ms/scan; mass scan range 50–1200 Da) were initially acquired for each biological sample for metabolite quantification. Then, both DDA (data-dependent acquisition) data (QTOF scan time: 50 ms/scan, MSMS scan time 50 ms/scan, collision energy 20 eV, top 5 most intense ions were selected for fragmentation, exclude former target ions (4 s after 2 occurrences)) and MS</w:t>
      </w:r>
      <w:r w:rsidRPr="005F5E9C">
        <w:rPr>
          <w:color w:val="212121"/>
          <w:sz w:val="22"/>
          <w:szCs w:val="22"/>
          <w:vertAlign w:val="superscript"/>
        </w:rPr>
        <w:t>E</w:t>
      </w:r>
      <w:r w:rsidRPr="005F5E9C">
        <w:rPr>
          <w:color w:val="212121"/>
          <w:sz w:val="22"/>
          <w:szCs w:val="22"/>
        </w:rPr>
        <w:t> data (low energy scan: 200 ms/scan, collision energy 6 eV; high energy scan: 100 ms/scan, collision energy 20 eV, mass scan range 25–1000 Da) were acquired for QC samples to enable metabolite identification. ESI source parameters on the Xevo GS-XS QTOF were set as the following: capillary voltage 1.8 kV, sampling cone 40 V, source temperature 50 °C, desolvation temperature 550 °C, cone gas flow 40 L/h, desolvation gas flow 900 L/h.</w:t>
      </w:r>
    </w:p>
    <w:p w14:paraId="5164F31D" w14:textId="77777777" w:rsidR="00B47758" w:rsidRPr="005F5E9C" w:rsidRDefault="00B47758" w:rsidP="00B47758">
      <w:pPr>
        <w:pStyle w:val="Heading3"/>
        <w:shd w:val="clear" w:color="auto" w:fill="FFFFFF"/>
        <w:spacing w:before="400" w:beforeAutospacing="0" w:after="200" w:afterAutospacing="0" w:line="480" w:lineRule="auto"/>
        <w:jc w:val="both"/>
        <w:rPr>
          <w:spacing w:val="-2"/>
          <w:sz w:val="22"/>
          <w:szCs w:val="22"/>
        </w:rPr>
      </w:pPr>
      <w:r w:rsidRPr="005F5E9C">
        <w:rPr>
          <w:spacing w:val="-2"/>
          <w:sz w:val="22"/>
          <w:szCs w:val="22"/>
        </w:rPr>
        <w:t>UPLC-MS Data Processing</w:t>
      </w:r>
    </w:p>
    <w:p w14:paraId="28CF78B4" w14:textId="77777777" w:rsidR="00B47758" w:rsidRPr="005F5E9C" w:rsidRDefault="00B47758" w:rsidP="00B47758">
      <w:pPr>
        <w:spacing w:line="480" w:lineRule="auto"/>
        <w:jc w:val="both"/>
      </w:pPr>
      <w:r w:rsidRPr="003B01B6">
        <w:rPr>
          <w:color w:val="212121"/>
        </w:rPr>
        <w:t>The raw MS data (.raw) were converted to mzML files using ProteoWizard MSConvert (version 3.0.6150, </w:t>
      </w:r>
      <w:hyperlink r:id="rId5" w:history="1">
        <w:r w:rsidRPr="003B01B6">
          <w:rPr>
            <w:rStyle w:val="Hyperlink"/>
            <w:color w:val="376FAA"/>
          </w:rPr>
          <w:t>www.proteowizard.sourceforge.net/</w:t>
        </w:r>
      </w:hyperlink>
      <w:r w:rsidRPr="003B01B6">
        <w:rPr>
          <w:color w:val="212121"/>
        </w:rPr>
        <w:t>). The parameters of min SNR and min peak spacing were set as 0.1 for peak picking in ProteoWizard. The files were then processed in R (version 3.4.3), using the XCMS package for feature detection, retention time correction, and alignment.</w:t>
      </w:r>
      <w:r w:rsidRPr="003B01B6">
        <w:t xml:space="preserve"> Missing values (those below the threshold of detection) were imputed with the “</w:t>
      </w:r>
      <w:proofErr w:type="spellStart"/>
      <w:r w:rsidRPr="003B01B6">
        <w:t>kNN</w:t>
      </w:r>
      <w:proofErr w:type="spellEnd"/>
      <w:r w:rsidRPr="003B01B6">
        <w:t>” R Package.</w:t>
      </w:r>
      <w:r w:rsidRPr="003B01B6">
        <w:rPr>
          <w:color w:val="212121"/>
        </w:rPr>
        <w:t xml:space="preserve"> The resulting data were normalized using the support vector regression algorithm in R, to remove an unwanted system error that occurred among intra- and inter-batches. A substantial reduction between batch variation was observed after SVR normalization and inter-batch correction. Principal component analysis plots comparing QC clustering before and after batch correction are presented in </w:t>
      </w:r>
      <w:r w:rsidRPr="00023ED7">
        <w:rPr>
          <w:b/>
          <w:bCs/>
          <w:color w:val="212121"/>
        </w:rPr>
        <w:t>Figure S1</w:t>
      </w:r>
      <w:r w:rsidRPr="003B01B6">
        <w:rPr>
          <w:color w:val="212121"/>
        </w:rPr>
        <w:t xml:space="preserve">. </w:t>
      </w:r>
      <w:r w:rsidRPr="003B01B6">
        <w:rPr>
          <w:color w:val="2E2E2E"/>
        </w:rPr>
        <w:t xml:space="preserve">Metabolic features in the QC sample with relative SD &lt; 30 % were used for subsequent statistical analyses. The metabolic features were matched with Human Metabolome Database (https://hmdb.ca) with </w:t>
      </w:r>
      <w:r w:rsidRPr="003B01B6">
        <w:t xml:space="preserve">mass-to charge-ratio (m/z) </w:t>
      </w:r>
      <w:r w:rsidRPr="003B01B6">
        <w:rPr>
          <w:color w:val="2E2E2E"/>
        </w:rPr>
        <w:t xml:space="preserve">error 15 ppm. This resulted in 10126 and in 9600 features in HILIC negative and RPLC positive mode respectively which were used for </w:t>
      </w:r>
      <w:r>
        <w:rPr>
          <w:color w:val="2E2E2E"/>
        </w:rPr>
        <w:t>bioinformatics and statistical</w:t>
      </w:r>
      <w:r w:rsidRPr="003B01B6">
        <w:rPr>
          <w:color w:val="2E2E2E"/>
        </w:rPr>
        <w:t xml:space="preserve"> analysis. These metabolic features were used for tumor versus normal mucosa comparison. </w:t>
      </w:r>
      <w:r w:rsidRPr="003B01B6">
        <w:t xml:space="preserve"> To identify metabolites at highest confidence level from the list of features, a custom matching algorithm was written in R that compared both the m/z and retention time (rt) of the spectral </w:t>
      </w:r>
      <w:r w:rsidRPr="003B01B6">
        <w:lastRenderedPageBreak/>
        <w:t xml:space="preserve">features with those of an in-house library of metabolites </w:t>
      </w:r>
      <w:proofErr w:type="spellStart"/>
      <w:r w:rsidRPr="003B01B6">
        <w:t>analysed</w:t>
      </w:r>
      <w:proofErr w:type="spellEnd"/>
      <w:r w:rsidRPr="003B01B6">
        <w:t xml:space="preserve"> in both HILIC and RPLC modes; the tolerances set for m/z and rt were 15 ppm and 20 seconds respectively. Metabolite </w:t>
      </w:r>
      <w:r>
        <w:t xml:space="preserve">chemical </w:t>
      </w:r>
      <w:r w:rsidRPr="003B01B6">
        <w:t>structures were confirmed with MS/MS fragmentation analysis in</w:t>
      </w:r>
      <w:r>
        <w:t xml:space="preserve"> the</w:t>
      </w:r>
      <w:r w:rsidRPr="003B01B6">
        <w:t xml:space="preserve"> CRC samples </w:t>
      </w:r>
      <w:r>
        <w:t>with comparison to</w:t>
      </w:r>
      <w:r w:rsidRPr="003B01B6">
        <w:t xml:space="preserve"> analytical standards. The metabolites matched with highest confidence with standards annotated as level 1 and metabolites matched with standards based on m/z and RT albeit with slight uncertainty on structure, were annotated as level 2. This yielded total 223 metabolites matched with standards (</w:t>
      </w:r>
      <w:r w:rsidRPr="00023ED7">
        <w:rPr>
          <w:b/>
          <w:bCs/>
        </w:rPr>
        <w:t>Table S1</w:t>
      </w:r>
      <w:r>
        <w:t>)</w:t>
      </w:r>
      <w:r w:rsidRPr="003B01B6">
        <w:t xml:space="preserve">. These 223 annotated metabolites were used for characterization of the metabolic landscape, linearity test and survival analysis across the seven subsites of the colorectum. In addition to this, </w:t>
      </w:r>
      <w:r w:rsidRPr="003B01B6">
        <w:rPr>
          <w:color w:val="212121"/>
        </w:rPr>
        <w:t>MS</w:t>
      </w:r>
      <w:r w:rsidRPr="003B01B6">
        <w:rPr>
          <w:color w:val="212121"/>
          <w:vertAlign w:val="superscript"/>
        </w:rPr>
        <w:t xml:space="preserve">E </w:t>
      </w:r>
      <w:r w:rsidRPr="003B01B6">
        <w:t xml:space="preserve">and DDA were processed using </w:t>
      </w:r>
      <w:r w:rsidRPr="003B01B6">
        <w:rPr>
          <w:color w:val="212121"/>
          <w:shd w:val="clear" w:color="auto" w:fill="FFFFFF"/>
        </w:rPr>
        <w:t xml:space="preserve">Progenesis QI and 185 metabolites were identified at level 3 by aligning them with Human Metabolome Database fragmentation patterns through </w:t>
      </w:r>
      <w:proofErr w:type="spellStart"/>
      <w:r w:rsidRPr="003B01B6">
        <w:rPr>
          <w:color w:val="212121"/>
          <w:shd w:val="clear" w:color="auto" w:fill="FFFFFF"/>
        </w:rPr>
        <w:t>MetScope</w:t>
      </w:r>
      <w:proofErr w:type="spellEnd"/>
      <w:r w:rsidRPr="003B01B6">
        <w:rPr>
          <w:color w:val="212121"/>
          <w:shd w:val="clear" w:color="auto" w:fill="FFFFFF"/>
        </w:rPr>
        <w:t xml:space="preserve"> in Progenesis QI (</w:t>
      </w:r>
      <w:r w:rsidRPr="00023ED7">
        <w:rPr>
          <w:b/>
          <w:bCs/>
          <w:color w:val="212121"/>
          <w:shd w:val="clear" w:color="auto" w:fill="FFFFFF"/>
        </w:rPr>
        <w:t>Tables S2</w:t>
      </w:r>
      <w:r w:rsidRPr="003B01B6">
        <w:rPr>
          <w:color w:val="212121"/>
          <w:shd w:val="clear" w:color="auto" w:fill="FFFFFF"/>
        </w:rPr>
        <w:t xml:space="preserve"> and </w:t>
      </w:r>
      <w:r w:rsidRPr="00023ED7">
        <w:rPr>
          <w:b/>
          <w:bCs/>
          <w:color w:val="212121"/>
          <w:shd w:val="clear" w:color="auto" w:fill="FFFFFF"/>
        </w:rPr>
        <w:t>S3</w:t>
      </w:r>
      <w:r>
        <w:rPr>
          <w:color w:val="212121"/>
          <w:shd w:val="clear" w:color="auto" w:fill="FFFFFF"/>
        </w:rPr>
        <w:t>)</w:t>
      </w:r>
      <w:r w:rsidRPr="003B01B6">
        <w:rPr>
          <w:color w:val="212121"/>
          <w:shd w:val="clear" w:color="auto" w:fill="FFFFFF"/>
        </w:rPr>
        <w:t xml:space="preserve">. Some representative examples of spectra matching at different </w:t>
      </w:r>
      <w:r w:rsidRPr="003B01B6">
        <w:rPr>
          <w:lang w:val="en-SG"/>
        </w:rPr>
        <w:t xml:space="preserve">different fragmentation similarity and isotope similarity scores are shown in </w:t>
      </w:r>
      <w:r w:rsidRPr="00023ED7">
        <w:rPr>
          <w:b/>
          <w:bCs/>
          <w:lang w:val="en-SG"/>
        </w:rPr>
        <w:t>Figure S2</w:t>
      </w:r>
      <w:r w:rsidRPr="003B01B6">
        <w:rPr>
          <w:lang w:val="en-SG"/>
        </w:rPr>
        <w:t>.</w:t>
      </w:r>
    </w:p>
    <w:p w14:paraId="3A564AB6" w14:textId="77777777" w:rsidR="00B47758" w:rsidRPr="005F5E9C" w:rsidRDefault="00B47758" w:rsidP="00B47758">
      <w:pPr>
        <w:pStyle w:val="p"/>
        <w:shd w:val="clear" w:color="auto" w:fill="FFFFFF"/>
        <w:spacing w:before="400" w:beforeAutospacing="0" w:after="400" w:afterAutospacing="0" w:line="480" w:lineRule="auto"/>
        <w:jc w:val="both"/>
        <w:rPr>
          <w:b/>
          <w:bCs/>
          <w:sz w:val="22"/>
          <w:szCs w:val="22"/>
        </w:rPr>
      </w:pPr>
      <w:r w:rsidRPr="005F5E9C">
        <w:rPr>
          <w:b/>
          <w:bCs/>
          <w:sz w:val="22"/>
          <w:szCs w:val="22"/>
        </w:rPr>
        <w:t>Statistical analysis</w:t>
      </w:r>
    </w:p>
    <w:p w14:paraId="1B7D003C" w14:textId="77777777" w:rsidR="00B47758" w:rsidRPr="005F5E9C" w:rsidRDefault="00B47758" w:rsidP="00B47758">
      <w:pPr>
        <w:pStyle w:val="p"/>
        <w:spacing w:before="400" w:after="400" w:line="480" w:lineRule="auto"/>
        <w:jc w:val="both"/>
        <w:rPr>
          <w:color w:val="222222"/>
          <w:sz w:val="22"/>
          <w:szCs w:val="22"/>
          <w:shd w:val="clear" w:color="auto" w:fill="FFFFFF"/>
        </w:rPr>
      </w:pPr>
      <w:r w:rsidRPr="005F5E9C">
        <w:rPr>
          <w:color w:val="1F1F1F"/>
          <w:sz w:val="22"/>
          <w:szCs w:val="22"/>
        </w:rPr>
        <w:t>Statistical analyses were performed in R (version 4.1.0). A paired Mann-Whitney </w:t>
      </w:r>
      <w:r w:rsidRPr="005F5E9C">
        <w:rPr>
          <w:rStyle w:val="Emphasis"/>
          <w:color w:val="1F1F1F"/>
          <w:sz w:val="22"/>
          <w:szCs w:val="22"/>
        </w:rPr>
        <w:t>U</w:t>
      </w:r>
      <w:r w:rsidRPr="005F5E9C">
        <w:rPr>
          <w:color w:val="1F1F1F"/>
          <w:sz w:val="22"/>
          <w:szCs w:val="22"/>
        </w:rPr>
        <w:t xml:space="preserve"> test was used to identify statistically significant metabolites between sample groups from the analysis of CRC tissues and normal colon tissue samples. All the p-values were adjusted for multiple comparisons using the Benjamini-Hochberg (BH) false discovery rate (FDR) method. The comparison between </w:t>
      </w:r>
      <w:proofErr w:type="spellStart"/>
      <w:r w:rsidRPr="005F5E9C">
        <w:rPr>
          <w:color w:val="1F1F1F"/>
          <w:sz w:val="22"/>
          <w:szCs w:val="22"/>
        </w:rPr>
        <w:t>tumor</w:t>
      </w:r>
      <w:proofErr w:type="spellEnd"/>
      <w:r w:rsidRPr="005F5E9C">
        <w:rPr>
          <w:color w:val="1F1F1F"/>
          <w:sz w:val="22"/>
          <w:szCs w:val="22"/>
        </w:rPr>
        <w:t xml:space="preserve"> tissues and normal mucosa tissue metabolomes were performed using </w:t>
      </w:r>
      <w:r w:rsidRPr="005F5E9C">
        <w:rPr>
          <w:sz w:val="22"/>
          <w:szCs w:val="22"/>
        </w:rPr>
        <w:t>Kruskal-Wallis test with Dunn’s post hoc test.</w:t>
      </w:r>
      <w:r w:rsidRPr="005F5E9C">
        <w:rPr>
          <w:color w:val="1F1F1F"/>
          <w:sz w:val="22"/>
          <w:szCs w:val="22"/>
        </w:rPr>
        <w:t xml:space="preserve"> A two-sided adjusted p-value ≤ 0.05 was considered statistically significant.</w:t>
      </w:r>
      <w:r w:rsidRPr="005F5E9C">
        <w:rPr>
          <w:sz w:val="22"/>
          <w:szCs w:val="22"/>
        </w:rPr>
        <w:t xml:space="preserve"> Cox proportional hazard</w:t>
      </w:r>
      <w:r>
        <w:rPr>
          <w:sz w:val="22"/>
          <w:szCs w:val="22"/>
        </w:rPr>
        <w:t>s</w:t>
      </w:r>
      <w:r w:rsidRPr="005F5E9C">
        <w:rPr>
          <w:sz w:val="22"/>
          <w:szCs w:val="22"/>
        </w:rPr>
        <w:t xml:space="preserve"> regression analysis was performed to identify significant associations between log</w:t>
      </w:r>
      <w:r w:rsidRPr="005F5E9C">
        <w:rPr>
          <w:sz w:val="22"/>
          <w:szCs w:val="22"/>
          <w:vertAlign w:val="subscript"/>
        </w:rPr>
        <w:t>2</w:t>
      </w:r>
      <w:r w:rsidRPr="005F5E9C">
        <w:rPr>
          <w:sz w:val="22"/>
          <w:szCs w:val="22"/>
        </w:rPr>
        <w:t xml:space="preserve"> abundances of individual metabolites and 5-year overall survival in each subsite, adjusting for age, sex, chemotherapy</w:t>
      </w:r>
      <w:r>
        <w:rPr>
          <w:sz w:val="22"/>
          <w:szCs w:val="22"/>
        </w:rPr>
        <w:t>,</w:t>
      </w:r>
      <w:r w:rsidRPr="005F5E9C">
        <w:rPr>
          <w:sz w:val="22"/>
          <w:szCs w:val="22"/>
        </w:rPr>
        <w:t xml:space="preserve"> and stage.</w:t>
      </w:r>
      <w:r w:rsidRPr="005F5E9C">
        <w:rPr>
          <w:color w:val="222222"/>
          <w:sz w:val="22"/>
          <w:szCs w:val="22"/>
          <w:shd w:val="clear" w:color="auto" w:fill="FFFFFF"/>
        </w:rPr>
        <w:t xml:space="preserve"> A two-sided </w:t>
      </w:r>
      <w:r w:rsidRPr="005F5E9C">
        <w:rPr>
          <w:rStyle w:val="html-italic"/>
          <w:color w:val="222222"/>
          <w:sz w:val="22"/>
          <w:szCs w:val="22"/>
          <w:shd w:val="clear" w:color="auto" w:fill="FFFFFF"/>
        </w:rPr>
        <w:t>p</w:t>
      </w:r>
      <w:r w:rsidRPr="005F5E9C">
        <w:rPr>
          <w:color w:val="222222"/>
          <w:sz w:val="22"/>
          <w:szCs w:val="22"/>
          <w:shd w:val="clear" w:color="auto" w:fill="FFFFFF"/>
        </w:rPr>
        <w:t xml:space="preserve">-value less than 0.05 was considered statistically significant. Hazard ratios and 95% confidence intervals (CI) were used to determine the magnitude and direction of the relationship </w:t>
      </w:r>
      <w:r w:rsidRPr="005F5E9C">
        <w:rPr>
          <w:color w:val="0D0D0D"/>
          <w:sz w:val="22"/>
          <w:szCs w:val="22"/>
          <w:shd w:val="clear" w:color="auto" w:fill="FFFFFF"/>
        </w:rPr>
        <w:t>between each metabolite and survival outcome within each subsite of CRC.</w:t>
      </w:r>
    </w:p>
    <w:p w14:paraId="257EC8A7" w14:textId="08784D74" w:rsidR="00B47758" w:rsidRPr="005F5E9C" w:rsidRDefault="00B47758" w:rsidP="00B47758">
      <w:pPr>
        <w:pStyle w:val="p"/>
        <w:spacing w:before="400" w:after="400" w:line="480" w:lineRule="auto"/>
        <w:jc w:val="both"/>
        <w:rPr>
          <w:sz w:val="22"/>
          <w:szCs w:val="22"/>
        </w:rPr>
      </w:pPr>
      <w:r w:rsidRPr="005F5E9C">
        <w:rPr>
          <w:color w:val="1F1F1F"/>
          <w:sz w:val="22"/>
          <w:szCs w:val="22"/>
        </w:rPr>
        <w:lastRenderedPageBreak/>
        <w:t xml:space="preserve">IBM SPSS Statistics 28.0 was used for one-way ANOVA, linear regression, and logistic regression analysis. The </w:t>
      </w:r>
      <w:r w:rsidRPr="005F5E9C">
        <w:rPr>
          <w:sz w:val="22"/>
          <w:szCs w:val="22"/>
        </w:rPr>
        <w:t>differences in clinicopathologic characteristics such as age, stage, and sex of patients across the colorectum subsite were calculated using</w:t>
      </w:r>
      <w:r w:rsidRPr="005F5E9C">
        <w:rPr>
          <w:color w:val="1F1F1F"/>
          <w:sz w:val="22"/>
          <w:szCs w:val="22"/>
        </w:rPr>
        <w:t xml:space="preserve"> one-way ANOVA. For linear regression between subsites and metabolite abundances, each subsite was assigned a number (cecum-0, ascending-1, transvesre-2, descending-3, sigmoid-4, rectosigmoid-5 and rectum-6) and treated as an ordinal variable. A significant p-value indicated a linear relationship of the CRC subsites with metabolite abundance</w:t>
      </w:r>
      <w:r w:rsidRPr="005F5E9C">
        <w:rPr>
          <w:rStyle w:val="CommentReference"/>
          <w:rFonts w:eastAsiaTheme="minorHAnsi"/>
          <w:sz w:val="22"/>
          <w:szCs w:val="22"/>
          <w:lang w:val="en-US" w:eastAsia="en-US"/>
        </w:rPr>
        <w:t>.</w:t>
      </w:r>
      <w:r w:rsidRPr="005F5E9C">
        <w:rPr>
          <w:color w:val="1F1F1F"/>
          <w:sz w:val="22"/>
          <w:szCs w:val="22"/>
        </w:rPr>
        <w:t xml:space="preserve"> For the logistic regression analysis, metabolite abundance was considered as a predictive variable and </w:t>
      </w:r>
      <w:proofErr w:type="spellStart"/>
      <w:r w:rsidRPr="005F5E9C">
        <w:rPr>
          <w:color w:val="1F1F1F"/>
          <w:sz w:val="22"/>
          <w:szCs w:val="22"/>
        </w:rPr>
        <w:t>tumor</w:t>
      </w:r>
      <w:proofErr w:type="spellEnd"/>
      <w:r w:rsidRPr="005F5E9C">
        <w:rPr>
          <w:color w:val="1F1F1F"/>
          <w:sz w:val="22"/>
          <w:szCs w:val="22"/>
        </w:rPr>
        <w:t xml:space="preserve"> status as an outcome variable. The p&lt;0.05 determined the statistical significance, and odds ratio (OR)</w:t>
      </w:r>
      <w:r w:rsidRPr="005F5E9C">
        <w:rPr>
          <w:color w:val="222222"/>
          <w:sz w:val="22"/>
          <w:szCs w:val="22"/>
          <w:shd w:val="clear" w:color="auto" w:fill="FFFFFF"/>
          <w:lang w:val="en-US"/>
        </w:rPr>
        <w:t xml:space="preserve"> indicated the odds of belonging to the tumor group in comparison to the normal group for every unit increase in metabolite levels.</w:t>
      </w:r>
      <w:r w:rsidRPr="005F5E9C">
        <w:rPr>
          <w:sz w:val="22"/>
          <w:szCs w:val="22"/>
        </w:rPr>
        <w:t xml:space="preserve"> </w:t>
      </w:r>
    </w:p>
    <w:p w14:paraId="525F9227" w14:textId="77777777" w:rsidR="008E0526" w:rsidRDefault="00B47758" w:rsidP="008E0526">
      <w:pPr>
        <w:pStyle w:val="p"/>
        <w:spacing w:before="400" w:after="400" w:line="480" w:lineRule="auto"/>
        <w:jc w:val="both"/>
        <w:rPr>
          <w:b/>
          <w:bCs/>
          <w:color w:val="212121"/>
          <w:sz w:val="22"/>
          <w:szCs w:val="22"/>
          <w:shd w:val="clear" w:color="auto" w:fill="FFFFFF"/>
        </w:rPr>
      </w:pPr>
      <w:r w:rsidRPr="00BC3B24">
        <w:rPr>
          <w:b/>
          <w:bCs/>
          <w:color w:val="212121"/>
          <w:sz w:val="22"/>
          <w:szCs w:val="22"/>
          <w:shd w:val="clear" w:color="auto" w:fill="FFFFFF"/>
        </w:rPr>
        <w:t>Colorectal Cancer Metabolome Database</w:t>
      </w:r>
    </w:p>
    <w:p w14:paraId="0624D086" w14:textId="2610176E" w:rsidR="008E0526" w:rsidRPr="008E0526" w:rsidRDefault="008E0526" w:rsidP="008E0526">
      <w:pPr>
        <w:pStyle w:val="p"/>
        <w:spacing w:before="400" w:after="400" w:line="480" w:lineRule="auto"/>
        <w:jc w:val="both"/>
        <w:rPr>
          <w:b/>
          <w:bCs/>
          <w:color w:val="212121"/>
          <w:sz w:val="22"/>
          <w:szCs w:val="22"/>
          <w:shd w:val="clear" w:color="auto" w:fill="FFFFFF"/>
        </w:rPr>
      </w:pPr>
      <w:r>
        <w:rPr>
          <w:color w:val="212121"/>
          <w:sz w:val="22"/>
          <w:szCs w:val="22"/>
        </w:rPr>
        <w:t>The Colorectal Cancer Metabolome Database (</w:t>
      </w:r>
      <w:hyperlink r:id="rId6" w:tgtFrame="_blank" w:history="1">
        <w:r>
          <w:rPr>
            <w:rStyle w:val="Hyperlink"/>
            <w:sz w:val="22"/>
            <w:szCs w:val="22"/>
          </w:rPr>
          <w:t>https://colorectal-cancer-metabolome.com/yale-university</w:t>
        </w:r>
      </w:hyperlink>
      <w:r>
        <w:rPr>
          <w:color w:val="212121"/>
          <w:sz w:val="22"/>
          <w:szCs w:val="22"/>
        </w:rPr>
        <w:t xml:space="preserve">) was constructed in Python(Flask), HTML, and CSS and generated interactive box plots using </w:t>
      </w:r>
      <w:proofErr w:type="spellStart"/>
      <w:r>
        <w:rPr>
          <w:color w:val="212121"/>
          <w:sz w:val="22"/>
          <w:szCs w:val="22"/>
        </w:rPr>
        <w:t>Pyplot</w:t>
      </w:r>
      <w:proofErr w:type="spellEnd"/>
      <w:r>
        <w:rPr>
          <w:color w:val="212121"/>
          <w:sz w:val="22"/>
          <w:szCs w:val="22"/>
        </w:rPr>
        <w:t xml:space="preserve"> libraries for comparing normal mucosa and </w:t>
      </w:r>
      <w:proofErr w:type="spellStart"/>
      <w:r>
        <w:rPr>
          <w:color w:val="212121"/>
          <w:sz w:val="22"/>
          <w:szCs w:val="22"/>
        </w:rPr>
        <w:t>tumor</w:t>
      </w:r>
      <w:proofErr w:type="spellEnd"/>
      <w:r>
        <w:rPr>
          <w:color w:val="212121"/>
          <w:sz w:val="22"/>
          <w:szCs w:val="22"/>
        </w:rPr>
        <w:t xml:space="preserve"> levels of metabolite abundances in each of the seven subsites of the colorectum, with FDR-corrected p-value and fold change information, based on user input. The dropdown menus enable users to pick the desired metabolite, and additional filtering options allow the investigation of CRC metabolome from different angles. For instance, subsite-specific metabolite changes can be chosen specifically. Inter-subsite comparison between </w:t>
      </w:r>
      <w:proofErr w:type="spellStart"/>
      <w:r>
        <w:rPr>
          <w:color w:val="212121"/>
          <w:sz w:val="22"/>
          <w:szCs w:val="22"/>
        </w:rPr>
        <w:t>tumors</w:t>
      </w:r>
      <w:proofErr w:type="spellEnd"/>
      <w:r>
        <w:rPr>
          <w:color w:val="212121"/>
          <w:sz w:val="22"/>
          <w:szCs w:val="22"/>
        </w:rPr>
        <w:t xml:space="preserve"> and normal mucosa is also accessible based on the user input. The box plots with pairwise FDR values between all the seven refined subsites or three major regions (RCC, LCC and rectum) can be generated. There is also a separate section for </w:t>
      </w:r>
      <w:proofErr w:type="spellStart"/>
      <w:r>
        <w:rPr>
          <w:color w:val="212121"/>
          <w:sz w:val="22"/>
          <w:szCs w:val="22"/>
        </w:rPr>
        <w:t>analyzing</w:t>
      </w:r>
      <w:proofErr w:type="spellEnd"/>
      <w:r>
        <w:rPr>
          <w:color w:val="212121"/>
          <w:sz w:val="22"/>
          <w:szCs w:val="22"/>
        </w:rPr>
        <w:t xml:space="preserve"> the linear concentration gradient across the colorectum based on the user input. In the final section, survival metabolite markers between different subsites can be compared by generating forest plots with p-values and hazard ratios upon choosing a metabolite from the dropdown menu. Each dot in the box plots represents an independent tissue sample. The box plots present all tissue samples from all the seven </w:t>
      </w:r>
      <w:r>
        <w:rPr>
          <w:color w:val="212121"/>
          <w:sz w:val="22"/>
          <w:szCs w:val="22"/>
        </w:rPr>
        <w:lastRenderedPageBreak/>
        <w:t>CRC subsites available in the dataset and provide label details when hovering over data points to enable easy identification.</w:t>
      </w:r>
    </w:p>
    <w:p w14:paraId="161F491F" w14:textId="77777777" w:rsidR="008E0526" w:rsidRDefault="008E0526" w:rsidP="00B47758">
      <w:pPr>
        <w:pStyle w:val="p"/>
        <w:spacing w:before="400" w:after="400" w:line="480" w:lineRule="auto"/>
        <w:jc w:val="both"/>
        <w:rPr>
          <w:b/>
          <w:bCs/>
          <w:color w:val="212121"/>
          <w:sz w:val="22"/>
          <w:szCs w:val="22"/>
          <w:shd w:val="clear" w:color="auto" w:fill="FFFFFF"/>
        </w:rPr>
      </w:pPr>
    </w:p>
    <w:p w14:paraId="3C21B35B" w14:textId="77777777" w:rsidR="00D14200" w:rsidRDefault="00D14200"/>
    <w:sectPr w:rsidR="00D142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37690E"/>
    <w:multiLevelType w:val="multilevel"/>
    <w:tmpl w:val="FAE60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290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58"/>
    <w:rsid w:val="001902D2"/>
    <w:rsid w:val="002B7322"/>
    <w:rsid w:val="003050CC"/>
    <w:rsid w:val="00522055"/>
    <w:rsid w:val="005F1655"/>
    <w:rsid w:val="0064554E"/>
    <w:rsid w:val="006D49AA"/>
    <w:rsid w:val="00842D6F"/>
    <w:rsid w:val="008E0526"/>
    <w:rsid w:val="00A75A1A"/>
    <w:rsid w:val="00B47758"/>
    <w:rsid w:val="00C258DC"/>
    <w:rsid w:val="00D14200"/>
    <w:rsid w:val="00E92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5455"/>
  <w15:chartTrackingRefBased/>
  <w15:docId w15:val="{6F43D3F2-ADC2-41E8-BADE-13FE050C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758"/>
    <w:rPr>
      <w:rFonts w:ascii="Times New Roman" w:hAnsi="Times New Roman" w:cs="Times New Roman"/>
      <w:kern w:val="2"/>
      <w14:ligatures w14:val="standardContextual"/>
    </w:rPr>
  </w:style>
  <w:style w:type="paragraph" w:styleId="Heading1">
    <w:name w:val="heading 1"/>
    <w:basedOn w:val="Normal"/>
    <w:next w:val="Normal"/>
    <w:link w:val="Heading1Char"/>
    <w:uiPriority w:val="9"/>
    <w:qFormat/>
    <w:rsid w:val="005220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B47758"/>
    <w:pPr>
      <w:spacing w:before="100" w:beforeAutospacing="1" w:after="100" w:afterAutospacing="1" w:line="240" w:lineRule="auto"/>
      <w:outlineLvl w:val="2"/>
    </w:pPr>
    <w:rPr>
      <w:rFonts w:eastAsia="Times New Roman"/>
      <w:b/>
      <w:bCs/>
      <w:kern w:val="0"/>
      <w:sz w:val="27"/>
      <w:szCs w:val="27"/>
      <w:lang w:val="en-SG" w:eastAsia="en-SG"/>
      <w14:ligatures w14:val="none"/>
    </w:rPr>
  </w:style>
  <w:style w:type="paragraph" w:styleId="Heading4">
    <w:name w:val="heading 4"/>
    <w:basedOn w:val="Normal"/>
    <w:next w:val="Normal"/>
    <w:link w:val="Heading4Char"/>
    <w:uiPriority w:val="9"/>
    <w:unhideWhenUsed/>
    <w:qFormat/>
    <w:rsid w:val="00B4775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7758"/>
    <w:rPr>
      <w:rFonts w:ascii="Times New Roman" w:eastAsia="Times New Roman" w:hAnsi="Times New Roman" w:cs="Times New Roman"/>
      <w:b/>
      <w:bCs/>
      <w:sz w:val="27"/>
      <w:szCs w:val="27"/>
      <w:lang w:val="en-SG" w:eastAsia="en-SG"/>
    </w:rPr>
  </w:style>
  <w:style w:type="character" w:customStyle="1" w:styleId="Heading4Char">
    <w:name w:val="Heading 4 Char"/>
    <w:basedOn w:val="DefaultParagraphFont"/>
    <w:link w:val="Heading4"/>
    <w:uiPriority w:val="9"/>
    <w:rsid w:val="00B47758"/>
    <w:rPr>
      <w:rFonts w:asciiTheme="majorHAnsi" w:eastAsiaTheme="majorEastAsia" w:hAnsiTheme="majorHAnsi" w:cstheme="majorBidi"/>
      <w:i/>
      <w:iCs/>
      <w:color w:val="2F5496" w:themeColor="accent1" w:themeShade="BF"/>
      <w:kern w:val="2"/>
      <w14:ligatures w14:val="standardContextual"/>
    </w:rPr>
  </w:style>
  <w:style w:type="character" w:styleId="CommentReference">
    <w:name w:val="annotation reference"/>
    <w:basedOn w:val="DefaultParagraphFont"/>
    <w:uiPriority w:val="99"/>
    <w:semiHidden/>
    <w:unhideWhenUsed/>
    <w:rsid w:val="00B47758"/>
    <w:rPr>
      <w:sz w:val="16"/>
      <w:szCs w:val="16"/>
    </w:rPr>
  </w:style>
  <w:style w:type="character" w:styleId="Hyperlink">
    <w:name w:val="Hyperlink"/>
    <w:basedOn w:val="DefaultParagraphFont"/>
    <w:uiPriority w:val="99"/>
    <w:unhideWhenUsed/>
    <w:rsid w:val="00B47758"/>
    <w:rPr>
      <w:color w:val="0563C1"/>
      <w:u w:val="single"/>
    </w:rPr>
  </w:style>
  <w:style w:type="paragraph" w:customStyle="1" w:styleId="p">
    <w:name w:val="p"/>
    <w:basedOn w:val="Normal"/>
    <w:rsid w:val="00B47758"/>
    <w:pPr>
      <w:spacing w:before="100" w:beforeAutospacing="1" w:after="100" w:afterAutospacing="1" w:line="240" w:lineRule="auto"/>
    </w:pPr>
    <w:rPr>
      <w:rFonts w:eastAsia="Times New Roman"/>
      <w:kern w:val="0"/>
      <w:sz w:val="24"/>
      <w:szCs w:val="24"/>
      <w:lang w:val="en-SG" w:eastAsia="en-SG"/>
      <w14:ligatures w14:val="none"/>
    </w:rPr>
  </w:style>
  <w:style w:type="character" w:styleId="Emphasis">
    <w:name w:val="Emphasis"/>
    <w:basedOn w:val="DefaultParagraphFont"/>
    <w:uiPriority w:val="20"/>
    <w:qFormat/>
    <w:rsid w:val="00B47758"/>
    <w:rPr>
      <w:i/>
      <w:iCs/>
    </w:rPr>
  </w:style>
  <w:style w:type="character" w:customStyle="1" w:styleId="html-italic">
    <w:name w:val="html-italic"/>
    <w:basedOn w:val="DefaultParagraphFont"/>
    <w:rsid w:val="00B47758"/>
  </w:style>
  <w:style w:type="character" w:customStyle="1" w:styleId="Heading1Char">
    <w:name w:val="Heading 1 Char"/>
    <w:basedOn w:val="DefaultParagraphFont"/>
    <w:link w:val="Heading1"/>
    <w:uiPriority w:val="9"/>
    <w:rsid w:val="00522055"/>
    <w:rPr>
      <w:rFonts w:asciiTheme="majorHAnsi" w:eastAsiaTheme="majorEastAsia" w:hAnsiTheme="majorHAnsi" w:cstheme="majorBidi"/>
      <w:color w:val="2F5496" w:themeColor="accent1" w:themeShade="BF"/>
      <w:kern w:val="2"/>
      <w:sz w:val="32"/>
      <w:szCs w:val="32"/>
      <w14:ligatures w14:val="standardContextual"/>
    </w:rPr>
  </w:style>
  <w:style w:type="paragraph" w:styleId="NormalWeb">
    <w:name w:val="Normal (Web)"/>
    <w:basedOn w:val="Normal"/>
    <w:uiPriority w:val="99"/>
    <w:unhideWhenUsed/>
    <w:rsid w:val="00522055"/>
    <w:pPr>
      <w:spacing w:before="100" w:beforeAutospacing="1" w:after="100" w:afterAutospacing="1" w:line="240" w:lineRule="auto"/>
    </w:pPr>
    <w:rPr>
      <w:rFonts w:eastAsia="Times New Roman"/>
      <w:kern w:val="0"/>
      <w:sz w:val="24"/>
      <w:szCs w:val="24"/>
      <w14:ligatures w14:val="none"/>
    </w:rPr>
  </w:style>
  <w:style w:type="character" w:customStyle="1" w:styleId="ams">
    <w:name w:val="ams"/>
    <w:basedOn w:val="DefaultParagraphFont"/>
    <w:rsid w:val="008E0526"/>
  </w:style>
  <w:style w:type="paragraph" w:styleId="CommentText">
    <w:name w:val="annotation text"/>
    <w:basedOn w:val="Normal"/>
    <w:link w:val="CommentTextChar"/>
    <w:uiPriority w:val="99"/>
    <w:unhideWhenUsed/>
    <w:rsid w:val="00C258DC"/>
    <w:pPr>
      <w:spacing w:line="240" w:lineRule="auto"/>
    </w:pPr>
    <w:rPr>
      <w:rFonts w:asciiTheme="minorHAnsi" w:hAnsiTheme="minorHAnsi" w:cstheme="minorBidi"/>
      <w:kern w:val="0"/>
      <w:sz w:val="20"/>
      <w:szCs w:val="20"/>
      <w:lang w:val="en-SG"/>
      <w14:ligatures w14:val="none"/>
    </w:rPr>
  </w:style>
  <w:style w:type="character" w:customStyle="1" w:styleId="CommentTextChar">
    <w:name w:val="Comment Text Char"/>
    <w:basedOn w:val="DefaultParagraphFont"/>
    <w:link w:val="CommentText"/>
    <w:uiPriority w:val="99"/>
    <w:rsid w:val="00C258DC"/>
    <w:rPr>
      <w:sz w:val="20"/>
      <w:szCs w:val="20"/>
      <w:lang w:val="en-SG"/>
    </w:rPr>
  </w:style>
  <w:style w:type="paragraph" w:styleId="ListParagraph">
    <w:name w:val="List Paragraph"/>
    <w:basedOn w:val="Normal"/>
    <w:uiPriority w:val="34"/>
    <w:qFormat/>
    <w:rsid w:val="00C25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046606">
      <w:bodyDiv w:val="1"/>
      <w:marLeft w:val="0"/>
      <w:marRight w:val="0"/>
      <w:marTop w:val="0"/>
      <w:marBottom w:val="0"/>
      <w:divBdr>
        <w:top w:val="none" w:sz="0" w:space="0" w:color="auto"/>
        <w:left w:val="none" w:sz="0" w:space="0" w:color="auto"/>
        <w:bottom w:val="none" w:sz="0" w:space="0" w:color="auto"/>
        <w:right w:val="none" w:sz="0" w:space="0" w:color="auto"/>
      </w:divBdr>
      <w:divsChild>
        <w:div w:id="724259475">
          <w:marLeft w:val="0"/>
          <w:marRight w:val="0"/>
          <w:marTop w:val="0"/>
          <w:marBottom w:val="0"/>
          <w:divBdr>
            <w:top w:val="none" w:sz="0" w:space="0" w:color="auto"/>
            <w:left w:val="none" w:sz="0" w:space="0" w:color="auto"/>
            <w:bottom w:val="none" w:sz="0" w:space="0" w:color="auto"/>
            <w:right w:val="none" w:sz="0" w:space="0" w:color="auto"/>
          </w:divBdr>
          <w:divsChild>
            <w:div w:id="632516780">
              <w:marLeft w:val="0"/>
              <w:marRight w:val="0"/>
              <w:marTop w:val="0"/>
              <w:marBottom w:val="0"/>
              <w:divBdr>
                <w:top w:val="none" w:sz="0" w:space="0" w:color="auto"/>
                <w:left w:val="none" w:sz="0" w:space="0" w:color="auto"/>
                <w:bottom w:val="none" w:sz="0" w:space="0" w:color="auto"/>
                <w:right w:val="none" w:sz="0" w:space="0" w:color="auto"/>
              </w:divBdr>
              <w:divsChild>
                <w:div w:id="747113791">
                  <w:marLeft w:val="0"/>
                  <w:marRight w:val="0"/>
                  <w:marTop w:val="0"/>
                  <w:marBottom w:val="0"/>
                  <w:divBdr>
                    <w:top w:val="none" w:sz="0" w:space="0" w:color="auto"/>
                    <w:left w:val="none" w:sz="0" w:space="0" w:color="auto"/>
                    <w:bottom w:val="none" w:sz="0" w:space="0" w:color="auto"/>
                    <w:right w:val="none" w:sz="0" w:space="0" w:color="auto"/>
                  </w:divBdr>
                  <w:divsChild>
                    <w:div w:id="731776051">
                      <w:marLeft w:val="0"/>
                      <w:marRight w:val="0"/>
                      <w:marTop w:val="120"/>
                      <w:marBottom w:val="0"/>
                      <w:divBdr>
                        <w:top w:val="none" w:sz="0" w:space="0" w:color="auto"/>
                        <w:left w:val="none" w:sz="0" w:space="0" w:color="auto"/>
                        <w:bottom w:val="none" w:sz="0" w:space="0" w:color="auto"/>
                        <w:right w:val="none" w:sz="0" w:space="0" w:color="auto"/>
                      </w:divBdr>
                      <w:divsChild>
                        <w:div w:id="436219088">
                          <w:marLeft w:val="0"/>
                          <w:marRight w:val="0"/>
                          <w:marTop w:val="0"/>
                          <w:marBottom w:val="0"/>
                          <w:divBdr>
                            <w:top w:val="none" w:sz="0" w:space="0" w:color="auto"/>
                            <w:left w:val="none" w:sz="0" w:space="0" w:color="auto"/>
                            <w:bottom w:val="none" w:sz="0" w:space="0" w:color="auto"/>
                            <w:right w:val="none" w:sz="0" w:space="0" w:color="auto"/>
                          </w:divBdr>
                          <w:divsChild>
                            <w:div w:id="1946425434">
                              <w:marLeft w:val="0"/>
                              <w:marRight w:val="0"/>
                              <w:marTop w:val="0"/>
                              <w:marBottom w:val="0"/>
                              <w:divBdr>
                                <w:top w:val="none" w:sz="0" w:space="0" w:color="auto"/>
                                <w:left w:val="none" w:sz="0" w:space="0" w:color="auto"/>
                                <w:bottom w:val="none" w:sz="0" w:space="0" w:color="auto"/>
                                <w:right w:val="none" w:sz="0" w:space="0" w:color="auto"/>
                              </w:divBdr>
                              <w:divsChild>
                                <w:div w:id="1572155892">
                                  <w:marLeft w:val="0"/>
                                  <w:marRight w:val="0"/>
                                  <w:marTop w:val="0"/>
                                  <w:marBottom w:val="0"/>
                                  <w:divBdr>
                                    <w:top w:val="none" w:sz="0" w:space="0" w:color="auto"/>
                                    <w:left w:val="none" w:sz="0" w:space="0" w:color="auto"/>
                                    <w:bottom w:val="none" w:sz="0" w:space="0" w:color="auto"/>
                                    <w:right w:val="none" w:sz="0" w:space="0" w:color="auto"/>
                                  </w:divBdr>
                                </w:div>
                              </w:divsChild>
                            </w:div>
                            <w:div w:id="1136263439">
                              <w:marLeft w:val="0"/>
                              <w:marRight w:val="0"/>
                              <w:marTop w:val="30"/>
                              <w:marBottom w:val="0"/>
                              <w:divBdr>
                                <w:top w:val="none" w:sz="0" w:space="0" w:color="auto"/>
                                <w:left w:val="none" w:sz="0" w:space="0" w:color="auto"/>
                                <w:bottom w:val="none" w:sz="0" w:space="0" w:color="auto"/>
                                <w:right w:val="none" w:sz="0" w:space="0" w:color="auto"/>
                              </w:divBdr>
                              <w:divsChild>
                                <w:div w:id="14226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7010">
          <w:marLeft w:val="0"/>
          <w:marRight w:val="0"/>
          <w:marTop w:val="0"/>
          <w:marBottom w:val="0"/>
          <w:divBdr>
            <w:top w:val="none" w:sz="0" w:space="0" w:color="auto"/>
            <w:left w:val="none" w:sz="0" w:space="0" w:color="auto"/>
            <w:bottom w:val="none" w:sz="0" w:space="0" w:color="auto"/>
            <w:right w:val="none" w:sz="0" w:space="0" w:color="auto"/>
          </w:divBdr>
          <w:divsChild>
            <w:div w:id="1497527044">
              <w:marLeft w:val="0"/>
              <w:marRight w:val="0"/>
              <w:marTop w:val="0"/>
              <w:marBottom w:val="0"/>
              <w:divBdr>
                <w:top w:val="none" w:sz="0" w:space="0" w:color="auto"/>
                <w:left w:val="none" w:sz="0" w:space="0" w:color="auto"/>
                <w:bottom w:val="none" w:sz="0" w:space="0" w:color="auto"/>
                <w:right w:val="none" w:sz="0" w:space="0" w:color="auto"/>
              </w:divBdr>
              <w:divsChild>
                <w:div w:id="1987542677">
                  <w:marLeft w:val="0"/>
                  <w:marRight w:val="0"/>
                  <w:marTop w:val="0"/>
                  <w:marBottom w:val="0"/>
                  <w:divBdr>
                    <w:top w:val="none" w:sz="0" w:space="0" w:color="auto"/>
                    <w:left w:val="none" w:sz="0" w:space="0" w:color="auto"/>
                    <w:bottom w:val="none" w:sz="0" w:space="0" w:color="auto"/>
                    <w:right w:val="none" w:sz="0" w:space="0" w:color="auto"/>
                  </w:divBdr>
                  <w:divsChild>
                    <w:div w:id="542865569">
                      <w:marLeft w:val="0"/>
                      <w:marRight w:val="0"/>
                      <w:marTop w:val="0"/>
                      <w:marBottom w:val="0"/>
                      <w:divBdr>
                        <w:top w:val="none" w:sz="0" w:space="0" w:color="auto"/>
                        <w:left w:val="none" w:sz="0" w:space="0" w:color="auto"/>
                        <w:bottom w:val="none" w:sz="0" w:space="0" w:color="auto"/>
                        <w:right w:val="none" w:sz="0" w:space="0" w:color="auto"/>
                      </w:divBdr>
                      <w:divsChild>
                        <w:div w:id="1899437637">
                          <w:marLeft w:val="0"/>
                          <w:marRight w:val="0"/>
                          <w:marTop w:val="0"/>
                          <w:marBottom w:val="0"/>
                          <w:divBdr>
                            <w:top w:val="none" w:sz="0" w:space="0" w:color="auto"/>
                            <w:left w:val="none" w:sz="0" w:space="0" w:color="auto"/>
                            <w:bottom w:val="none" w:sz="0" w:space="0" w:color="auto"/>
                            <w:right w:val="none" w:sz="0" w:space="0" w:color="auto"/>
                          </w:divBdr>
                          <w:divsChild>
                            <w:div w:id="499080772">
                              <w:marLeft w:val="0"/>
                              <w:marRight w:val="0"/>
                              <w:marTop w:val="0"/>
                              <w:marBottom w:val="0"/>
                              <w:divBdr>
                                <w:top w:val="none" w:sz="0" w:space="0" w:color="auto"/>
                                <w:left w:val="none" w:sz="0" w:space="0" w:color="auto"/>
                                <w:bottom w:val="none" w:sz="0" w:space="0" w:color="auto"/>
                                <w:right w:val="none" w:sz="0" w:space="0" w:color="auto"/>
                              </w:divBdr>
                              <w:divsChild>
                                <w:div w:id="1622540963">
                                  <w:marLeft w:val="0"/>
                                  <w:marRight w:val="0"/>
                                  <w:marTop w:val="0"/>
                                  <w:marBottom w:val="0"/>
                                  <w:divBdr>
                                    <w:top w:val="none" w:sz="0" w:space="0" w:color="auto"/>
                                    <w:left w:val="none" w:sz="0" w:space="0" w:color="auto"/>
                                    <w:bottom w:val="none" w:sz="0" w:space="0" w:color="auto"/>
                                    <w:right w:val="none" w:sz="0" w:space="0" w:color="auto"/>
                                  </w:divBdr>
                                  <w:divsChild>
                                    <w:div w:id="19441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orectal-cancer-metabolome.com/yale-university" TargetMode="External"/><Relationship Id="rId5" Type="http://schemas.openxmlformats.org/officeDocument/2006/relationships/hyperlink" Target="http://www.proteowizard.sourceforge.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2234</Words>
  <Characters>12737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 Abhishek</dc:creator>
  <cp:keywords/>
  <dc:description/>
  <cp:lastModifiedBy>Johnson, Caroline</cp:lastModifiedBy>
  <cp:revision>3</cp:revision>
  <dcterms:created xsi:type="dcterms:W3CDTF">2024-09-23T20:01:00Z</dcterms:created>
  <dcterms:modified xsi:type="dcterms:W3CDTF">2024-09-23T20:02:00Z</dcterms:modified>
</cp:coreProperties>
</file>