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8DAED" w14:textId="6CFCE4D7" w:rsidR="00E74925" w:rsidRPr="00634808" w:rsidRDefault="00E74925" w:rsidP="00E74925">
      <w:pPr>
        <w:snapToGrid w:val="0"/>
        <w:spacing w:after="24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Hlk77592611"/>
      <w:bookmarkEnd w:id="0"/>
      <w:r w:rsidRPr="0063480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Methods</w:t>
      </w:r>
    </w:p>
    <w:p w14:paraId="3CB6E30B" w14:textId="77777777" w:rsidR="00E74925" w:rsidRPr="00634808" w:rsidRDefault="00E74925" w:rsidP="00E7492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4808">
        <w:rPr>
          <w:rFonts w:ascii="Times New Roman" w:hAnsi="Times New Roman" w:cs="Times New Roman"/>
          <w:b/>
          <w:bCs/>
          <w:sz w:val="20"/>
          <w:szCs w:val="20"/>
        </w:rPr>
        <w:t>Cell lines</w:t>
      </w:r>
    </w:p>
    <w:p w14:paraId="4F30E441" w14:textId="27E0DF09" w:rsidR="00E74925" w:rsidRPr="00634808" w:rsidRDefault="00E74925" w:rsidP="00E7492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4808">
        <w:rPr>
          <w:rFonts w:ascii="Times New Roman" w:hAnsi="Times New Roman" w:cs="Times New Roman"/>
          <w:sz w:val="20"/>
          <w:szCs w:val="20"/>
        </w:rPr>
        <w:t xml:space="preserve">The cells utilized were obtained from the cell bank of the Shanghai Institute of Cell Biology, Chinese Academy of Sciences (Shanghai, China). HCT116, DLD-1 and CT26 cells were cultured in RPIM 1640; RKO cells were cultured in MEM; 293T, MC38 cells were cultured in DMEM; SW480 cells were cultured </w:t>
      </w:r>
      <w:r w:rsidR="002043D1">
        <w:rPr>
          <w:rFonts w:ascii="Times New Roman" w:hAnsi="Times New Roman" w:cs="Times New Roman"/>
          <w:sz w:val="20"/>
          <w:szCs w:val="20"/>
        </w:rPr>
        <w:t xml:space="preserve">in </w:t>
      </w:r>
      <w:r w:rsidRPr="00634808">
        <w:rPr>
          <w:rFonts w:ascii="Times New Roman" w:hAnsi="Times New Roman" w:cs="Times New Roman"/>
          <w:sz w:val="20"/>
          <w:szCs w:val="20"/>
        </w:rPr>
        <w:t xml:space="preserve">L-15 media. The media used in this study were supplemented with 10% fetal bovine serum, 1% penicillin and streptomycin. Mycoplasma contamination was excluded from all cell lines, and </w:t>
      </w:r>
      <w:r w:rsidR="002043D1">
        <w:rPr>
          <w:rFonts w:ascii="Times New Roman" w:hAnsi="Times New Roman" w:cs="Times New Roman"/>
          <w:sz w:val="20"/>
          <w:szCs w:val="20"/>
        </w:rPr>
        <w:t xml:space="preserve">the </w:t>
      </w:r>
      <w:r w:rsidRPr="00634808">
        <w:rPr>
          <w:rFonts w:ascii="Times New Roman" w:hAnsi="Times New Roman" w:cs="Times New Roman"/>
          <w:sz w:val="20"/>
          <w:szCs w:val="20"/>
        </w:rPr>
        <w:t>authenticity of human cell lines was validated by short tandem repeat fingerprinting.</w:t>
      </w:r>
    </w:p>
    <w:p w14:paraId="21B1617D" w14:textId="77777777" w:rsidR="00E74925" w:rsidRPr="00634808" w:rsidRDefault="00E74925" w:rsidP="00E7492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4808">
        <w:rPr>
          <w:rFonts w:ascii="Times New Roman" w:hAnsi="Times New Roman" w:cs="Times New Roman"/>
          <w:b/>
          <w:bCs/>
          <w:sz w:val="20"/>
          <w:szCs w:val="20"/>
        </w:rPr>
        <w:t>Proliferation assays</w:t>
      </w:r>
    </w:p>
    <w:p w14:paraId="2CF5C404" w14:textId="737B24B9" w:rsidR="00E74925" w:rsidRPr="00634808" w:rsidRDefault="00E74925" w:rsidP="00E74925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34808">
        <w:rPr>
          <w:rFonts w:ascii="Times New Roman" w:hAnsi="Times New Roman" w:cs="Times New Roman"/>
          <w:sz w:val="20"/>
          <w:szCs w:val="20"/>
        </w:rPr>
        <w:t>Cells were seeded at 2000-5000 cells per well in 96-well culture plates. According to the manufacturer’s instructions, cell proliferation was detected by MTS assays (Qiagen, German) at the 24, 48, 72, 96, 120h. Synergy™ Multi-Mode Microplate Reader (</w:t>
      </w:r>
      <w:proofErr w:type="spellStart"/>
      <w:r w:rsidRPr="00634808">
        <w:rPr>
          <w:rFonts w:ascii="Times New Roman" w:hAnsi="Times New Roman" w:cs="Times New Roman"/>
          <w:sz w:val="20"/>
          <w:szCs w:val="20"/>
        </w:rPr>
        <w:t>Biotek</w:t>
      </w:r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, USA) was used to measure the absorbance at a wavelength of 490 nm. For the colony formation assay, 300-500 cells were seeded per well in six-well plates. After 11 days, the cells were washed in PBS and fixed in methanol. </w:t>
      </w:r>
      <w:r w:rsidR="002043D1">
        <w:rPr>
          <w:rFonts w:ascii="Times New Roman" w:hAnsi="Times New Roman" w:cs="Times New Roman"/>
          <w:sz w:val="20"/>
          <w:szCs w:val="20"/>
        </w:rPr>
        <w:t>Afterward</w:t>
      </w:r>
      <w:r w:rsidRPr="00634808">
        <w:rPr>
          <w:rFonts w:ascii="Times New Roman" w:hAnsi="Times New Roman" w:cs="Times New Roman"/>
          <w:sz w:val="20"/>
          <w:szCs w:val="20"/>
        </w:rPr>
        <w:t>, the cells were stained with 0.5% crystal violet and counted using ImageJ.</w:t>
      </w:r>
    </w:p>
    <w:p w14:paraId="6B6D8B7E" w14:textId="77777777" w:rsidR="00E74925" w:rsidRPr="00634808" w:rsidRDefault="00E74925" w:rsidP="00E7492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4808">
        <w:rPr>
          <w:rFonts w:ascii="Times New Roman" w:hAnsi="Times New Roman" w:cs="Times New Roman"/>
          <w:b/>
          <w:bCs/>
          <w:sz w:val="20"/>
          <w:szCs w:val="20"/>
        </w:rPr>
        <w:t>Western blotting</w:t>
      </w:r>
    </w:p>
    <w:p w14:paraId="648D49E5" w14:textId="42B301B9" w:rsidR="00E74925" w:rsidRPr="00634808" w:rsidRDefault="00E74925" w:rsidP="00E74925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34808">
        <w:rPr>
          <w:rFonts w:ascii="Times New Roman" w:hAnsi="Times New Roman" w:cs="Times New Roman"/>
          <w:sz w:val="20"/>
          <w:szCs w:val="20"/>
        </w:rPr>
        <w:t>Cells were lysed in RIPA buffer with protease inhibitors. BCA assay kit (</w:t>
      </w:r>
      <w:proofErr w:type="spellStart"/>
      <w:r w:rsidRPr="00634808">
        <w:rPr>
          <w:rFonts w:ascii="Times New Roman" w:hAnsi="Times New Roman" w:cs="Times New Roman"/>
          <w:sz w:val="20"/>
          <w:szCs w:val="20"/>
          <w:shd w:val="clear" w:color="auto" w:fill="FFFFFF"/>
        </w:rPr>
        <w:t>ThermoFisher</w:t>
      </w:r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) was used to normalize the protein concentrations. After adding an equal volume of 5x SDS sample buffer, cell lysates were denatured in a metal bath at 98℃ for </w:t>
      </w:r>
      <w:r w:rsidR="002043D1">
        <w:rPr>
          <w:rFonts w:ascii="Times New Roman" w:hAnsi="Times New Roman" w:cs="Times New Roman"/>
          <w:sz w:val="20"/>
          <w:szCs w:val="20"/>
        </w:rPr>
        <w:t>15 minutes</w:t>
      </w:r>
      <w:r w:rsidRPr="00634808">
        <w:rPr>
          <w:rFonts w:ascii="Times New Roman" w:hAnsi="Times New Roman" w:cs="Times New Roman"/>
          <w:sz w:val="20"/>
          <w:szCs w:val="20"/>
        </w:rPr>
        <w:t xml:space="preserve">. Subsequently, the proteins were resolved by SDS‒PAGE and transferred onto PVDF membranes (Bio-Rad, 162-0177), which were blocked with 5% milk in TBST at room temperature for 1 hour. The membranes were incubated with primary </w:t>
      </w:r>
      <w:r w:rsidRPr="00634808">
        <w:rPr>
          <w:rFonts w:ascii="Times New Roman" w:hAnsi="Times New Roman" w:cs="Times New Roman"/>
          <w:sz w:val="20"/>
          <w:szCs w:val="20"/>
        </w:rPr>
        <w:lastRenderedPageBreak/>
        <w:t>antibody overnight at 4 °C and horseradish peroxidase-conjugated secondary antibodies for 1 hour at room temperature. The following primary antibodies were used: anti-ILF3 (1:2000), anti-IL36γ (1:500), anti-EIF4A3 (1:1000), anti-Exportin5 (1:1000), anti-GAPDH (1:1000), anti-β-actin (1:1000) and anti-FLAG (1:1000).</w:t>
      </w:r>
    </w:p>
    <w:p w14:paraId="1B58D067" w14:textId="77777777" w:rsidR="00E74925" w:rsidRPr="00634808" w:rsidRDefault="00E74925" w:rsidP="00E7492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4808">
        <w:rPr>
          <w:rFonts w:ascii="Times New Roman" w:hAnsi="Times New Roman" w:cs="Times New Roman"/>
          <w:b/>
          <w:bCs/>
          <w:sz w:val="20"/>
          <w:szCs w:val="20"/>
        </w:rPr>
        <w:t>Real-time quantitative polymerase chain reaction (RT-qPCR)</w:t>
      </w:r>
    </w:p>
    <w:p w14:paraId="393FBCB6" w14:textId="1C4A7197" w:rsidR="00E74925" w:rsidRPr="00634808" w:rsidRDefault="00E74925" w:rsidP="00E74925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34808">
        <w:rPr>
          <w:rFonts w:ascii="Times New Roman" w:hAnsi="Times New Roman" w:cs="Times New Roman"/>
          <w:sz w:val="20"/>
          <w:szCs w:val="20"/>
        </w:rPr>
        <w:t>Total RNA was isolated by using an RNA Quick Purification kit (</w:t>
      </w:r>
      <w:proofErr w:type="spellStart"/>
      <w:r w:rsidRPr="00634808">
        <w:rPr>
          <w:rFonts w:ascii="Times New Roman" w:hAnsi="Times New Roman" w:cs="Times New Roman"/>
          <w:sz w:val="20"/>
          <w:szCs w:val="20"/>
        </w:rPr>
        <w:t>Esscience</w:t>
      </w:r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, RN001A) and reversed into cDNA by </w:t>
      </w:r>
      <w:proofErr w:type="spellStart"/>
      <w:r w:rsidRPr="00634808">
        <w:rPr>
          <w:rFonts w:ascii="Times New Roman" w:hAnsi="Times New Roman" w:cs="Times New Roman"/>
          <w:sz w:val="20"/>
          <w:szCs w:val="20"/>
        </w:rPr>
        <w:t>PrimeScript</w:t>
      </w:r>
      <w:r w:rsidRPr="00634808">
        <w:rPr>
          <w:rFonts w:ascii="Times New Roman" w:hAnsi="Times New Roman" w:cs="Times New Roman"/>
          <w:sz w:val="20"/>
          <w:szCs w:val="20"/>
          <w:vertAlign w:val="superscript"/>
        </w:rPr>
        <w:t>TM</w:t>
      </w:r>
      <w:r w:rsidRPr="00634808">
        <w:rPr>
          <w:rFonts w:ascii="Times New Roman" w:hAnsi="Times New Roman" w:cs="Times New Roman"/>
          <w:sz w:val="20"/>
          <w:szCs w:val="20"/>
        </w:rPr>
        <w:t>RT</w:t>
      </w:r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 reagent kit (</w:t>
      </w:r>
      <w:proofErr w:type="spellStart"/>
      <w:r w:rsidRPr="00634808">
        <w:rPr>
          <w:rFonts w:ascii="Times New Roman" w:hAnsi="Times New Roman" w:cs="Times New Roman"/>
          <w:sz w:val="20"/>
          <w:szCs w:val="20"/>
        </w:rPr>
        <w:t>TaKaRa</w:t>
      </w:r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, RR037A). RNA levels were measured by </w:t>
      </w:r>
      <w:bookmarkStart w:id="1" w:name="OLE_LINK3"/>
      <w:r w:rsidRPr="00634808">
        <w:rPr>
          <w:rFonts w:ascii="Times New Roman" w:hAnsi="Times New Roman" w:cs="Times New Roman"/>
          <w:sz w:val="20"/>
          <w:szCs w:val="20"/>
        </w:rPr>
        <w:t>GoTaq</w:t>
      </w:r>
      <w:bookmarkEnd w:id="1"/>
      <w:r w:rsidRPr="00634808">
        <w:rPr>
          <w:rFonts w:ascii="Times New Roman" w:hAnsi="Times New Roman" w:cs="Times New Roman"/>
          <w:sz w:val="20"/>
          <w:szCs w:val="20"/>
        </w:rPr>
        <w:t xml:space="preserve"> qPCR Master Mix (Promega, A6002) and analyzed using </w:t>
      </w:r>
      <w:proofErr w:type="spellStart"/>
      <w:r w:rsidRPr="00634808">
        <w:rPr>
          <w:rFonts w:ascii="Times New Roman" w:hAnsi="Times New Roman" w:cs="Times New Roman"/>
          <w:sz w:val="20"/>
          <w:szCs w:val="20"/>
        </w:rPr>
        <w:t>LightCycler</w:t>
      </w:r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 480 (Roche, Switzerland). The primers utilized are listed in </w:t>
      </w:r>
      <w:r w:rsidRPr="00634808">
        <w:rPr>
          <w:rFonts w:ascii="Times New Roman" w:hAnsi="Times New Roman" w:cs="Times New Roman"/>
          <w:color w:val="000000" w:themeColor="text1"/>
          <w:sz w:val="20"/>
          <w:szCs w:val="20"/>
        </w:rPr>
        <w:t>Table S</w:t>
      </w:r>
      <w:r w:rsidR="00C67C4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</w:t>
      </w:r>
      <w:r w:rsidRPr="00634808">
        <w:rPr>
          <w:rFonts w:ascii="Times New Roman" w:hAnsi="Times New Roman" w:cs="Times New Roman"/>
          <w:sz w:val="20"/>
          <w:szCs w:val="20"/>
        </w:rPr>
        <w:t>.</w:t>
      </w:r>
    </w:p>
    <w:p w14:paraId="5D375BEC" w14:textId="77777777" w:rsidR="00E74925" w:rsidRPr="00634808" w:rsidRDefault="00E74925" w:rsidP="00E7492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4808">
        <w:rPr>
          <w:rFonts w:ascii="Times New Roman" w:hAnsi="Times New Roman" w:cs="Times New Roman"/>
          <w:b/>
          <w:bCs/>
          <w:sz w:val="20"/>
          <w:szCs w:val="20"/>
        </w:rPr>
        <w:t>Luciferase reporter assays</w:t>
      </w:r>
    </w:p>
    <w:p w14:paraId="2FCE435A" w14:textId="77777777" w:rsidR="00E74925" w:rsidRPr="00634808" w:rsidRDefault="00E74925" w:rsidP="00E7492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34808">
        <w:rPr>
          <w:rFonts w:ascii="Times New Roman" w:hAnsi="Times New Roman" w:cs="Times New Roman"/>
          <w:sz w:val="20"/>
          <w:szCs w:val="20"/>
        </w:rPr>
        <w:t xml:space="preserve">The recombinant plasmids and </w:t>
      </w:r>
      <w:proofErr w:type="spellStart"/>
      <w:r w:rsidRPr="00634808">
        <w:rPr>
          <w:rFonts w:ascii="Times New Roman" w:hAnsi="Times New Roman" w:cs="Times New Roman"/>
          <w:sz w:val="20"/>
          <w:szCs w:val="20"/>
        </w:rPr>
        <w:t>Renilla</w:t>
      </w:r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 plasmids were </w:t>
      </w:r>
      <w:r w:rsidRPr="00634808">
        <w:rPr>
          <w:rFonts w:ascii="Times New Roman" w:hAnsi="Times New Roman" w:cs="Times New Roman"/>
          <w:sz w:val="20"/>
          <w:szCs w:val="20"/>
          <w:shd w:val="clear" w:color="auto" w:fill="FFFFFF"/>
        </w:rPr>
        <w:t>synthesized</w:t>
      </w:r>
      <w:r w:rsidRPr="00634808"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Pr="00634808">
        <w:rPr>
          <w:rFonts w:ascii="Times New Roman" w:hAnsi="Times New Roman" w:cs="Times New Roman"/>
          <w:sz w:val="20"/>
          <w:szCs w:val="20"/>
        </w:rPr>
        <w:t>GeneChem</w:t>
      </w:r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 (Shanghai, China). A Dual Luciferase Reporter Gene Assay Kit (</w:t>
      </w:r>
      <w:proofErr w:type="spellStart"/>
      <w:r w:rsidRPr="00634808">
        <w:rPr>
          <w:rFonts w:ascii="Times New Roman" w:hAnsi="Times New Roman" w:cs="Times New Roman"/>
          <w:sz w:val="20"/>
          <w:szCs w:val="20"/>
        </w:rPr>
        <w:t>Yeasen</w:t>
      </w:r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) was used for examining </w:t>
      </w:r>
      <w:proofErr w:type="gramStart"/>
      <w:r w:rsidRPr="00634808">
        <w:rPr>
          <w:rFonts w:ascii="Times New Roman" w:hAnsi="Times New Roman" w:cs="Times New Roman"/>
          <w:sz w:val="20"/>
          <w:szCs w:val="20"/>
        </w:rPr>
        <w:t>firefly</w:t>
      </w:r>
      <w:proofErr w:type="gramEnd"/>
      <w:r w:rsidRPr="00634808">
        <w:rPr>
          <w:rFonts w:ascii="Times New Roman" w:hAnsi="Times New Roman" w:cs="Times New Roman"/>
          <w:sz w:val="20"/>
          <w:szCs w:val="20"/>
        </w:rPr>
        <w:t xml:space="preserve"> and </w:t>
      </w:r>
      <w:bookmarkStart w:id="2" w:name="OLE_LINK91"/>
      <w:proofErr w:type="spellStart"/>
      <w:r w:rsidRPr="00634808">
        <w:rPr>
          <w:rFonts w:ascii="Times New Roman" w:hAnsi="Times New Roman" w:cs="Times New Roman"/>
          <w:sz w:val="20"/>
          <w:szCs w:val="20"/>
        </w:rPr>
        <w:t>Renilla</w:t>
      </w:r>
      <w:bookmarkEnd w:id="2"/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 luciferase activities. The relative fluorescence intensity of the reporter gene was represented by the firefly fluorescence intensity after being normalized to the </w:t>
      </w:r>
      <w:proofErr w:type="spellStart"/>
      <w:r w:rsidRPr="00634808">
        <w:rPr>
          <w:rFonts w:ascii="Times New Roman" w:hAnsi="Times New Roman" w:cs="Times New Roman"/>
          <w:sz w:val="20"/>
          <w:szCs w:val="20"/>
        </w:rPr>
        <w:t>Renilla</w:t>
      </w:r>
      <w:proofErr w:type="spellEnd"/>
      <w:r w:rsidRPr="00634808">
        <w:rPr>
          <w:rFonts w:ascii="Times New Roman" w:hAnsi="Times New Roman" w:cs="Times New Roman"/>
          <w:sz w:val="20"/>
          <w:szCs w:val="20"/>
        </w:rPr>
        <w:t xml:space="preserve"> fluorescence intensity.</w:t>
      </w:r>
    </w:p>
    <w:p w14:paraId="35C8267B" w14:textId="77777777" w:rsidR="00321E11" w:rsidRPr="00E74925" w:rsidRDefault="00321E11">
      <w:pPr>
        <w:rPr>
          <w:rFonts w:hint="eastAsia"/>
        </w:rPr>
      </w:pPr>
    </w:p>
    <w:sectPr w:rsidR="00321E11" w:rsidRPr="00E74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64952" w14:textId="77777777" w:rsidR="00412FD2" w:rsidRDefault="00412FD2" w:rsidP="00E7492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E7D6C23" w14:textId="77777777" w:rsidR="00412FD2" w:rsidRDefault="00412FD2" w:rsidP="00E7492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FE561" w14:textId="77777777" w:rsidR="00412FD2" w:rsidRDefault="00412FD2" w:rsidP="00E7492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59E1056" w14:textId="77777777" w:rsidR="00412FD2" w:rsidRDefault="00412FD2" w:rsidP="00E7492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E9B"/>
    <w:rsid w:val="000C6FB8"/>
    <w:rsid w:val="002043D1"/>
    <w:rsid w:val="00321E11"/>
    <w:rsid w:val="00412FD2"/>
    <w:rsid w:val="005537D3"/>
    <w:rsid w:val="00706EA5"/>
    <w:rsid w:val="00786E9B"/>
    <w:rsid w:val="00AF3284"/>
    <w:rsid w:val="00B5597A"/>
    <w:rsid w:val="00BA1821"/>
    <w:rsid w:val="00C67C4A"/>
    <w:rsid w:val="00E74925"/>
    <w:rsid w:val="00ED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AEFBC0"/>
  <w15:chartTrackingRefBased/>
  <w15:docId w15:val="{6A231EB9-1A88-4953-A537-DD7AF26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925"/>
    <w:pPr>
      <w:widowControl w:val="0"/>
      <w:spacing w:after="160" w:line="278" w:lineRule="auto"/>
    </w:pPr>
    <w:rPr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6E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E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E9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E9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E9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E9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E9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E9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E9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86E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86E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86E9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86E9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86E9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86E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6E9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86E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86E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86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6E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86E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6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86E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6E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6E9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6E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86E9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6E9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49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492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492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49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412</Words>
  <Characters>2388</Characters>
  <Application>Microsoft Office Word</Application>
  <DocSecurity>0</DocSecurity>
  <Lines>35</Lines>
  <Paragraphs>12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琰 虎</dc:creator>
  <cp:keywords/>
  <dc:description/>
  <cp:lastModifiedBy>琰 虎</cp:lastModifiedBy>
  <cp:revision>4</cp:revision>
  <dcterms:created xsi:type="dcterms:W3CDTF">2024-10-13T06:44:00Z</dcterms:created>
  <dcterms:modified xsi:type="dcterms:W3CDTF">2024-12-02T04:05:00Z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5946803434425a534f750d38ca377e24b2bad051ffa25dd0d105d36ef3a24e20</vt:lpwstr>
  </property>
</Properties>
</file>