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49184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figure legends</w:t>
      </w:r>
    </w:p>
    <w:p w14:paraId="661F3F34" w14:textId="77777777" w:rsidR="00D270AE" w:rsidRDefault="00D270A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C8AE51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CircBNC2 is a potential tumor suppressor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cells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D44001" w14:textId="2B6DD1AD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and B </w:t>
      </w:r>
      <w:r>
        <w:rPr>
          <w:rFonts w:ascii="Times New Roman" w:hAnsi="Times New Roman" w:cs="Times New Roman"/>
          <w:sz w:val="24"/>
          <w:szCs w:val="28"/>
        </w:rPr>
        <w:t>RT-qPCR results showing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expression of circBNC2 </w:t>
      </w:r>
      <w:r>
        <w:rPr>
          <w:rFonts w:ascii="Times New Roman" w:hAnsi="Times New Roman" w:cs="Times New Roman"/>
          <w:b/>
          <w:bCs/>
          <w:sz w:val="24"/>
          <w:szCs w:val="28"/>
        </w:rPr>
        <w:t>(A)</w:t>
      </w:r>
      <w:r>
        <w:rPr>
          <w:rFonts w:ascii="Times New Roman" w:hAnsi="Times New Roman" w:cs="Times New Roman"/>
          <w:sz w:val="24"/>
          <w:szCs w:val="28"/>
        </w:rPr>
        <w:t xml:space="preserve"> and BNC2 mRNA </w:t>
      </w:r>
      <w:r>
        <w:rPr>
          <w:rFonts w:ascii="Times New Roman" w:hAnsi="Times New Roman" w:cs="Times New Roman"/>
          <w:b/>
          <w:bCs/>
          <w:sz w:val="24"/>
          <w:szCs w:val="28"/>
        </w:rPr>
        <w:t>(B)</w:t>
      </w:r>
      <w:r>
        <w:rPr>
          <w:rFonts w:ascii="Times New Roman" w:hAnsi="Times New Roman" w:cs="Times New Roman"/>
          <w:sz w:val="24"/>
          <w:szCs w:val="28"/>
        </w:rPr>
        <w:t xml:space="preserve"> in OE-circBNC2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VCaP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 w:hint="eastAsia"/>
          <w:sz w:val="24"/>
          <w:szCs w:val="28"/>
        </w:rPr>
        <w:t>LNCaP</w:t>
      </w:r>
      <w:r>
        <w:rPr>
          <w:rFonts w:ascii="Times New Roman" w:hAnsi="Times New Roman" w:cs="Times New Roman"/>
          <w:sz w:val="24"/>
          <w:szCs w:val="28"/>
        </w:rPr>
        <w:t xml:space="preserve"> cells.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 xml:space="preserve"> In OE-circBNC2 </w:t>
      </w:r>
      <w:proofErr w:type="spellStart"/>
      <w:r>
        <w:rPr>
          <w:rFonts w:ascii="Times New Roman" w:hAnsi="Times New Roman" w:cs="Times New Roman" w:hint="eastAsia"/>
          <w:sz w:val="24"/>
          <w:szCs w:val="28"/>
        </w:rPr>
        <w:t>VCaP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hAnsi="Times New Roman" w:cs="Times New Roman" w:hint="eastAsia"/>
          <w:sz w:val="24"/>
          <w:szCs w:val="28"/>
        </w:rPr>
        <w:t>LNCaP</w:t>
      </w:r>
      <w:r>
        <w:rPr>
          <w:rFonts w:ascii="Times New Roman" w:hAnsi="Times New Roman" w:cs="Times New Roman"/>
          <w:sz w:val="24"/>
          <w:szCs w:val="28"/>
        </w:rPr>
        <w:t xml:space="preserve"> cells, cell proliferation was assessed using the CCK-8 assay </w:t>
      </w:r>
      <w:r>
        <w:rPr>
          <w:rFonts w:ascii="Times New Roman" w:hAnsi="Times New Roman" w:cs="Times New Roman"/>
          <w:b/>
          <w:bCs/>
          <w:sz w:val="24"/>
          <w:szCs w:val="28"/>
        </w:rPr>
        <w:t>(C)</w:t>
      </w:r>
      <w:r>
        <w:rPr>
          <w:rFonts w:ascii="Times New Roman" w:hAnsi="Times New Roman" w:cs="Times New Roman"/>
          <w:sz w:val="24"/>
          <w:szCs w:val="28"/>
        </w:rPr>
        <w:t xml:space="preserve">, cell migration was evaluated by the wound healing assay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(D) </w:t>
      </w:r>
      <w:r>
        <w:rPr>
          <w:rFonts w:ascii="Times New Roman" w:hAnsi="Times New Roman" w:cs="Times New Roman"/>
          <w:sz w:val="24"/>
          <w:szCs w:val="28"/>
        </w:rPr>
        <w:t xml:space="preserve">(Scale bar = 200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), cell invasion was measured by the </w:t>
      </w:r>
      <w:proofErr w:type="spellStart"/>
      <w:r>
        <w:rPr>
          <w:rFonts w:ascii="Times New Roman" w:hAnsi="Times New Roman" w:cs="Times New Roman"/>
          <w:sz w:val="24"/>
          <w:szCs w:val="28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assay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(E) </w:t>
      </w:r>
      <w:r>
        <w:rPr>
          <w:rFonts w:ascii="Times New Roman" w:hAnsi="Times New Roman" w:cs="Times New Roman"/>
          <w:sz w:val="24"/>
          <w:szCs w:val="28"/>
        </w:rPr>
        <w:t xml:space="preserve">(Scale bar = 50 </w:t>
      </w:r>
      <w:proofErr w:type="spellStart"/>
      <w:r>
        <w:rPr>
          <w:rFonts w:ascii="Times New Roman" w:hAnsi="Times New Roman" w:cs="Times New Roman"/>
          <w:sz w:val="24"/>
          <w:szCs w:val="28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F-I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silencing circBNC2 in </w:t>
      </w:r>
      <w:r>
        <w:rPr>
          <w:rFonts w:ascii="Times New Roman" w:hAnsi="Times New Roman" w:cs="Times New Roman"/>
          <w:sz w:val="24"/>
        </w:rPr>
        <w:t>DU145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PC3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VCaP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and LNCaP</w:t>
      </w:r>
      <w:r>
        <w:rPr>
          <w:rFonts w:ascii="Times New Roman" w:hAnsi="Times New Roman" w:cs="Times New Roman"/>
          <w:sz w:val="24"/>
          <w:szCs w:val="24"/>
        </w:rPr>
        <w:t xml:space="preserve"> cells, the expression of circBNC2 and BNC2 mRNA was detected using RT-qPCR.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J-O</w:t>
      </w:r>
      <w:r>
        <w:rPr>
          <w:rFonts w:ascii="Times New Roman" w:hAnsi="Times New Roman" w:cs="Times New Roman"/>
          <w:sz w:val="24"/>
          <w:szCs w:val="24"/>
        </w:rPr>
        <w:t xml:space="preserve"> After silencing circBNC2 in </w:t>
      </w:r>
      <w:r>
        <w:rPr>
          <w:rFonts w:ascii="Times New Roman" w:hAnsi="Times New Roman" w:cs="Times New Roman"/>
          <w:sz w:val="24"/>
        </w:rPr>
        <w:t>DU145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PC3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VCaP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and LNCaP</w:t>
      </w:r>
      <w:r>
        <w:rPr>
          <w:rFonts w:ascii="Times New Roman" w:hAnsi="Times New Roman" w:cs="Times New Roman"/>
          <w:sz w:val="24"/>
          <w:szCs w:val="24"/>
        </w:rPr>
        <w:t xml:space="preserve"> cells, cell proliferation was assessed using the CCK-8 assay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J, K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cell migration was evaluated by the wound healing assay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L, N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cell invasion was measured using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assay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M, 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11A83365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7CC852AC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189E66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 miR-4298 is a potential target of circBNC2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</w:p>
    <w:p w14:paraId="47818A18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RT-qPCR results showing the relative levels of overlapping targeted miRNAs of circBNC2 in OE-circBNC2 DU145 and PC3 cells.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4F9B88CB" w14:textId="77777777" w:rsidR="00D270AE" w:rsidRDefault="00D270A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DBB7ED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2BD351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 Overexpression of miR-4298 promotes the proliferation, migration and invasion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</w:p>
    <w:p w14:paraId="1056AA90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Analysis for RNA levels of miR-4298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dataset </w:t>
      </w:r>
      <w:r>
        <w:rPr>
          <w:rFonts w:ascii="Times New Roman" w:hAnsi="Times New Roman" w:cs="Times New Roman"/>
          <w:sz w:val="24"/>
        </w:rPr>
        <w:t>(GSE113234).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</w:rPr>
        <w:t xml:space="preserve">Analysis for RNA levels of </w:t>
      </w:r>
      <w:r>
        <w:rPr>
          <w:rFonts w:ascii="Times New Roman" w:hAnsi="Times New Roman" w:cs="Times New Roman" w:hint="eastAsia"/>
          <w:sz w:val="24"/>
        </w:rPr>
        <w:t>miR-4298</w:t>
      </w:r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PCa</w:t>
      </w:r>
      <w:proofErr w:type="spellEnd"/>
      <w:r>
        <w:rPr>
          <w:rFonts w:ascii="Times New Roman" w:hAnsi="Times New Roman" w:cs="Times New Roman"/>
          <w:sz w:val="24"/>
        </w:rPr>
        <w:t xml:space="preserve"> cell lines (DU145, PC-3, C4-2, 22RV1, </w:t>
      </w:r>
      <w:proofErr w:type="spellStart"/>
      <w:r>
        <w:rPr>
          <w:rFonts w:ascii="Times New Roman" w:hAnsi="Times New Roman" w:cs="Times New Roman"/>
          <w:sz w:val="24"/>
        </w:rPr>
        <w:t>VCaP</w:t>
      </w:r>
      <w:proofErr w:type="spellEnd"/>
      <w:r>
        <w:rPr>
          <w:rFonts w:ascii="Times New Roman" w:hAnsi="Times New Roman" w:cs="Times New Roman"/>
          <w:sz w:val="24"/>
        </w:rPr>
        <w:t>, LNCaP) and normal prostate cell line (RWPE-1).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The overexpression efficiency of miR-4298 expression level was determined with RT-qPCR in PC3 and DU145 cells.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The results of the CCK-8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wound healing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assays indicated that </w:t>
      </w:r>
      <w:r>
        <w:rPr>
          <w:rFonts w:ascii="Times New Roman" w:hAnsi="Times New Roman" w:cs="Times New Roman"/>
          <w:sz w:val="24"/>
          <w:szCs w:val="24"/>
        </w:rPr>
        <w:lastRenderedPageBreak/>
        <w:t>transfection with miR-4298 mimic enhanced the proliferation, migration, and invasion abilities of DU145 and PC3 cells compared to the control group.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67DA0B82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32F87915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9E1F7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 Inhibition of miR-4298 suppressed the proliferation, migration and invasion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vivo</w:t>
      </w:r>
    </w:p>
    <w:p w14:paraId="0A6E7136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The knocking-down efficiency of miR-4298 expression level was determined with RT-qPCR in DU145 and PC3 cells.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findings from the CCK-8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, wound healing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assays demonstrated that, compared to the NC inhibitor, transfection with </w:t>
      </w:r>
      <w:bookmarkStart w:id="0" w:name="OLE_LINK10"/>
      <w:r>
        <w:rPr>
          <w:rFonts w:ascii="Times New Roman" w:hAnsi="Times New Roman" w:cs="Times New Roman"/>
          <w:sz w:val="24"/>
          <w:szCs w:val="24"/>
        </w:rPr>
        <w:t>miR-4298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inhibitor significantly suppressed the proliferation, migration, and invasion capacities of DU145 and PC3 cells.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Schematic illustration of subcutaneous tumor model establishment and treatment.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Representative images of subcutaneous xenograft tumors (n = 6 for each group).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 w:cs="Times New Roman"/>
          <w:sz w:val="24"/>
          <w:szCs w:val="24"/>
        </w:rPr>
        <w:t>The tumor growth curves for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in vivo</w:t>
      </w:r>
      <w:r>
        <w:rPr>
          <w:rFonts w:ascii="Times New Roman" w:hAnsi="Times New Roman" w:cs="Times New Roman"/>
          <w:sz w:val="24"/>
          <w:szCs w:val="24"/>
        </w:rPr>
        <w:t xml:space="preserve"> tumor volumes.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 xml:space="preserve">The mean tumor weight of each group.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Analysis for RNA levels of miR-4298 in 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paired samples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determined by RT-qPCR. The error bars represent standard deviation (SD) (n=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49F9EC1A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13E36B5D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9A9CB7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S5 ACSL6 inhibits the proliferation, migration and invasion through activating ferroptosis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 </w:t>
      </w:r>
    </w:p>
    <w:p w14:paraId="447AC85C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Analysis for RNA levels of </w:t>
      </w:r>
      <w:r>
        <w:rPr>
          <w:rFonts w:ascii="Times New Roman" w:hAnsi="Times New Roman" w:cs="Times New Roman"/>
          <w:i/>
          <w:iCs/>
          <w:sz w:val="24"/>
          <w:szCs w:val="24"/>
        </w:rPr>
        <w:t>ACSL6</w:t>
      </w:r>
      <w:r>
        <w:rPr>
          <w:rFonts w:ascii="Times New Roman" w:hAnsi="Times New Roman" w:cs="Times New Roman"/>
          <w:sz w:val="24"/>
          <w:szCs w:val="24"/>
        </w:rPr>
        <w:t xml:space="preserve"> in 52 paired samples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TCGA. (n=52).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Analysis for RNA levels of </w:t>
      </w:r>
      <w:r>
        <w:rPr>
          <w:rFonts w:ascii="Times New Roman" w:hAnsi="Times New Roman" w:cs="Times New Roman"/>
          <w:i/>
          <w:iCs/>
          <w:sz w:val="24"/>
          <w:szCs w:val="24"/>
        </w:rPr>
        <w:t>ACSL6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paired samples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were determined by RT-qPCR. The error bars represent standard deviation (SD) (n=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Histogram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samples in which </w:t>
      </w:r>
      <w:r>
        <w:rPr>
          <w:rFonts w:ascii="Times New Roman" w:hAnsi="Times New Roman" w:cs="Times New Roman"/>
          <w:i/>
          <w:iCs/>
          <w:sz w:val="24"/>
          <w:szCs w:val="24"/>
        </w:rPr>
        <w:t>ACSL6</w:t>
      </w:r>
      <w:r>
        <w:rPr>
          <w:rFonts w:ascii="Times New Roman" w:hAnsi="Times New Roman" w:cs="Times New Roman"/>
          <w:sz w:val="24"/>
          <w:szCs w:val="24"/>
        </w:rPr>
        <w:t xml:space="preserve"> expression was upregulated (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23.08</w:t>
      </w:r>
      <w:r>
        <w:rPr>
          <w:rFonts w:ascii="Times New Roman" w:hAnsi="Times New Roman" w:cs="Times New Roman"/>
          <w:sz w:val="24"/>
          <w:szCs w:val="24"/>
        </w:rPr>
        <w:t>%), downregulated (</w:t>
      </w:r>
      <w:r>
        <w:rPr>
          <w:rFonts w:ascii="Times New Roman" w:hAnsi="Times New Roman" w:cs="Times New Roman" w:hint="eastAsia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66.67</w:t>
      </w:r>
      <w:r>
        <w:rPr>
          <w:rFonts w:ascii="Times New Roman" w:hAnsi="Times New Roman" w:cs="Times New Roman"/>
          <w:sz w:val="24"/>
          <w:szCs w:val="24"/>
        </w:rPr>
        <w:t>%), or no change (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10.26</w:t>
      </w:r>
      <w:r>
        <w:rPr>
          <w:rFonts w:ascii="Times New Roman" w:hAnsi="Times New Roman" w:cs="Times New Roman"/>
          <w:sz w:val="24"/>
          <w:szCs w:val="24"/>
        </w:rPr>
        <w:t xml:space="preserve">%), respectively. Log2 (T/N expression) value&gt;1 as significantly higher expression, &lt;-1 as lower expression. T, tumor tissue; N, normal tissue.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Bioinformatics websites predict complementary binding sites between miR-4298 and </w:t>
      </w:r>
      <w:r>
        <w:rPr>
          <w:rFonts w:ascii="Times New Roman" w:hAnsi="Times New Roman" w:cs="Times New Roman"/>
          <w:i/>
          <w:iCs/>
          <w:sz w:val="24"/>
          <w:szCs w:val="24"/>
        </w:rPr>
        <w:t>ACSL6</w:t>
      </w:r>
      <w:r>
        <w:rPr>
          <w:rFonts w:ascii="Times New Roman" w:hAnsi="Times New Roman" w:cs="Times New Roman"/>
          <w:sz w:val="24"/>
          <w:szCs w:val="24"/>
        </w:rPr>
        <w:t xml:space="preserve"> mRNA. (https://www.targetscan.org).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 xml:space="preserve">Analysis for mRNA levels of </w:t>
      </w:r>
      <w:r>
        <w:rPr>
          <w:rFonts w:ascii="Times New Roman" w:hAnsi="Times New Roman" w:cs="Times New Roman"/>
          <w:i/>
          <w:iCs/>
          <w:sz w:val="24"/>
        </w:rPr>
        <w:t>ACSL6</w:t>
      </w:r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PCa</w:t>
      </w:r>
      <w:proofErr w:type="spellEnd"/>
      <w:r>
        <w:rPr>
          <w:rFonts w:ascii="Times New Roman" w:hAnsi="Times New Roman" w:cs="Times New Roman"/>
          <w:sz w:val="24"/>
        </w:rPr>
        <w:t xml:space="preserve"> cell lines (DU145, PC-3, C4-2, 22RV1, </w:t>
      </w:r>
      <w:proofErr w:type="spellStart"/>
      <w:r>
        <w:rPr>
          <w:rFonts w:ascii="Times New Roman" w:hAnsi="Times New Roman" w:cs="Times New Roman"/>
          <w:sz w:val="24"/>
        </w:rPr>
        <w:t>VCaP</w:t>
      </w:r>
      <w:proofErr w:type="spellEnd"/>
      <w:r>
        <w:rPr>
          <w:rFonts w:ascii="Times New Roman" w:hAnsi="Times New Roman" w:cs="Times New Roman"/>
          <w:sz w:val="24"/>
        </w:rPr>
        <w:t>, LNCaP) and normal prostate cell line (RWPE-1).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The overexpression efficiency of </w:t>
      </w:r>
      <w:r>
        <w:rPr>
          <w:rFonts w:ascii="Times New Roman" w:hAnsi="Times New Roman" w:cs="Times New Roman"/>
          <w:i/>
          <w:iCs/>
          <w:sz w:val="24"/>
          <w:szCs w:val="24"/>
        </w:rPr>
        <w:t>ACSL6</w:t>
      </w:r>
      <w:r>
        <w:rPr>
          <w:rFonts w:ascii="Times New Roman" w:hAnsi="Times New Roman" w:cs="Times New Roman"/>
          <w:sz w:val="24"/>
          <w:szCs w:val="24"/>
        </w:rPr>
        <w:t xml:space="preserve"> expression level was determined with RT-qPCR in DU145 and PC3 cells.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The results of the CCK-8 </w:t>
      </w:r>
      <w:r>
        <w:rPr>
          <w:rFonts w:ascii="Times New Roman" w:hAnsi="Times New Roman" w:cs="Times New Roman"/>
          <w:b/>
          <w:bCs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 xml:space="preserve">, wound healing </w:t>
      </w:r>
      <w:r>
        <w:rPr>
          <w:rFonts w:ascii="Times New Roman" w:hAnsi="Times New Roman" w:cs="Times New Roman"/>
          <w:b/>
          <w:bCs/>
          <w:sz w:val="24"/>
          <w:szCs w:val="24"/>
        </w:rPr>
        <w:t>(H)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(I) </w:t>
      </w:r>
      <w:r>
        <w:rPr>
          <w:rFonts w:ascii="Times New Roman" w:hAnsi="Times New Roman" w:cs="Times New Roman"/>
          <w:sz w:val="24"/>
          <w:szCs w:val="24"/>
        </w:rPr>
        <w:t xml:space="preserve">assays indicated that OE-ACSL6 significantly inhibited the proliferation, migration, and invasion abilities of DU145 and PC3 cells compared to the control group.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 xml:space="preserve">In PC3 and DU145 cell lines, OE-ACSL6 </w:t>
      </w:r>
      <w:r>
        <w:rPr>
          <w:rFonts w:ascii="Times New Roman" w:hAnsi="Times New Roman" w:cs="Times New Roman"/>
          <w:b/>
          <w:bCs/>
          <w:sz w:val="24"/>
          <w:szCs w:val="24"/>
        </w:rPr>
        <w:t>(J)</w:t>
      </w:r>
      <w:r>
        <w:rPr>
          <w:rFonts w:ascii="Times New Roman" w:hAnsi="Times New Roman" w:cs="Times New Roman"/>
          <w:sz w:val="24"/>
          <w:szCs w:val="24"/>
        </w:rPr>
        <w:t xml:space="preserve"> and sh-ACSL6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(K) </w:t>
      </w:r>
      <w:r>
        <w:rPr>
          <w:rFonts w:ascii="Times New Roman" w:hAnsi="Times New Roman" w:cs="Times New Roman"/>
          <w:sz w:val="24"/>
          <w:szCs w:val="24"/>
        </w:rPr>
        <w:t xml:space="preserve">were performed, followed by the measurement of MDA levels, Fe²⁺ concentration, and GSH content.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35654DE2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0A69B67D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8A95A8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 Silencing ACSL6 weakened the tumor suppressive function of circBNC2 in DU145 and PC3 cells</w:t>
      </w:r>
    </w:p>
    <w:p w14:paraId="239C0302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The results of the wound-healing assay showed that sh-ACSL6 could reverse the inhibition of </w:t>
      </w:r>
      <w:r>
        <w:rPr>
          <w:rFonts w:ascii="Times New Roman" w:hAnsi="Times New Roman" w:cs="Times New Roman"/>
          <w:sz w:val="24"/>
          <w:szCs w:val="28"/>
        </w:rPr>
        <w:t>migration</w:t>
      </w:r>
      <w:r>
        <w:rPr>
          <w:rFonts w:ascii="Times New Roman" w:hAnsi="Times New Roman" w:cs="Times New Roman"/>
          <w:sz w:val="24"/>
          <w:szCs w:val="24"/>
        </w:rPr>
        <w:t xml:space="preserve"> in DU145 and PC3 cells caused by OE-circBNC2.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332C2750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3FECFBC2" w14:textId="77777777" w:rsidR="00D270AE" w:rsidRDefault="00D270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31733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bookmarkStart w:id="1" w:name="_Hlk176382162"/>
      <w:r>
        <w:rPr>
          <w:rFonts w:ascii="Times New Roman" w:hAnsi="Times New Roman" w:cs="Times New Roman"/>
          <w:b/>
          <w:bCs/>
          <w:sz w:val="24"/>
          <w:szCs w:val="24"/>
        </w:rPr>
        <w:t xml:space="preserve"> S7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ircBNC2 inhibits the ferroptosis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</w:p>
    <w:p w14:paraId="1D1DAB37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 Detection of ROS level in OE-Ctrl or OE-circBNC2 PC3 cells. </w:t>
      </w:r>
      <w:r>
        <w:rPr>
          <w:rFonts w:ascii="Times New Roman" w:hAnsi="Times New Roman" w:cs="Times New Roman"/>
          <w:sz w:val="24"/>
          <w:szCs w:val="24"/>
        </w:rPr>
        <w:t xml:space="preserve">The MDA levels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Fe²⁺ concentration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and GSH content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 measured in sh-circBNC2 or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>-NC DU145 and PC3 cells as indicated.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163E0C7D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6571DC88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2629AE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S8 ACSL6 is essential for circBNC2-medicated ferroptosis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cells</w:t>
      </w:r>
    </w:p>
    <w:p w14:paraId="3F19D952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Transfection with ACSL6 knockdown lentivirus in the PC3 cell line can reverse the elevated ROS levels caused by OE-circBNC2.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ACSL6 overexpression can reverse the low MDA levels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>, low Fe²⁺ concentration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 xml:space="preserve"> and high GSH content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caused in knocking down of circBNC2 DU145 and PC3 cells.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lastRenderedPageBreak/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5DB2E1D9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328F317A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69E186" w14:textId="77777777" w:rsidR="00D270AE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S9 Dc-NBs is a safe delivery system for co-loading DTX and circBNC2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vivo</w:t>
      </w:r>
    </w:p>
    <w:p w14:paraId="0AFDA11B" w14:textId="77777777" w:rsidR="00D270AE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Schematic illustration of subcutaneous tumor model establishment and treatment.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-C </w:t>
      </w:r>
      <w:r>
        <w:rPr>
          <w:rFonts w:ascii="Times New Roman" w:hAnsi="Times New Roman" w:cs="Times New Roman"/>
          <w:sz w:val="24"/>
        </w:rPr>
        <w:t xml:space="preserve">Analysis for expression of circBNC2 </w:t>
      </w:r>
      <w:r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/>
          <w:b/>
          <w:bCs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and miR-4298 </w:t>
      </w:r>
      <w:r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in subcutaneous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tumor, upon treatment with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 xml:space="preserve">NBs, </w:t>
      </w:r>
      <w:r>
        <w:rPr>
          <w:rFonts w:ascii="Times New Roman" w:hAnsi="Times New Roman" w:cs="Times New Roman"/>
          <w:sz w:val="24"/>
        </w:rPr>
        <w:t xml:space="preserve">D-NBs, Dc-NBs or </w:t>
      </w:r>
      <w:proofErr w:type="spellStart"/>
      <w:r>
        <w:rPr>
          <w:rFonts w:ascii="Times New Roman" w:hAnsi="Times New Roman" w:cs="Times New Roman"/>
          <w:sz w:val="24"/>
        </w:rPr>
        <w:t>Dc-NBs+PTT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D</w:t>
      </w:r>
      <w:r>
        <w:rPr>
          <w:rFonts w:ascii="Times New Roman" w:hAnsi="Times New Roman" w:cs="Times New Roman" w:hint="eastAsia"/>
          <w:b/>
          <w:bCs/>
          <w:sz w:val="24"/>
        </w:rPr>
        <w:t>-E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uantitative immunohistochemical analysis of </w:t>
      </w:r>
      <w:r>
        <w:rPr>
          <w:rFonts w:ascii="Times New Roman" w:hAnsi="Times New Roman" w:cs="Times New Roman" w:hint="eastAsia"/>
          <w:sz w:val="24"/>
          <w:szCs w:val="24"/>
        </w:rPr>
        <w:t>ACSL6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(D)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GPX4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(E)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</w:rPr>
        <w:t xml:space="preserve"> subcutaneous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tumor, upon treatment with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 xml:space="preserve">NBs, </w:t>
      </w:r>
      <w:r>
        <w:rPr>
          <w:rFonts w:ascii="Times New Roman" w:hAnsi="Times New Roman" w:cs="Times New Roman"/>
          <w:sz w:val="24"/>
        </w:rPr>
        <w:t xml:space="preserve">D-NBs, Dc-NBs or </w:t>
      </w:r>
      <w:proofErr w:type="spellStart"/>
      <w:r>
        <w:rPr>
          <w:rFonts w:ascii="Times New Roman" w:hAnsi="Times New Roman" w:cs="Times New Roman"/>
          <w:sz w:val="24"/>
        </w:rPr>
        <w:t>Dc-NBs+PTT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F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Changes of mouse body weight during experimental period</w:t>
      </w:r>
      <w:r>
        <w:rPr>
          <w:rFonts w:ascii="Times New Roman" w:hAnsi="Times New Roman" w:cs="Times New Roman" w:hint="eastAsia"/>
          <w:sz w:val="24"/>
          <w:szCs w:val="24"/>
        </w:rPr>
        <w:t xml:space="preserve"> for subcutaneous tumors model</w:t>
      </w:r>
      <w:r>
        <w:rPr>
          <w:rFonts w:ascii="Times New Roman" w:hAnsi="Times New Roman" w:cs="Times New Roman"/>
          <w:sz w:val="24"/>
          <w:szCs w:val="24"/>
        </w:rPr>
        <w:t xml:space="preserve"> (group: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NBs, </w:t>
      </w:r>
      <w:r>
        <w:rPr>
          <w:rFonts w:ascii="Times New Roman" w:hAnsi="Times New Roman" w:cs="Times New Roman"/>
          <w:sz w:val="24"/>
          <w:szCs w:val="24"/>
        </w:rPr>
        <w:t xml:space="preserve">D-NBs, Dc-NBs, </w:t>
      </w:r>
      <w:proofErr w:type="spellStart"/>
      <w:r>
        <w:rPr>
          <w:rFonts w:ascii="Times New Roman" w:hAnsi="Times New Roman" w:cs="Times New Roman"/>
          <w:sz w:val="24"/>
          <w:szCs w:val="24"/>
        </w:rPr>
        <w:t>Dc-NBs+PTT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(n=6/group).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Representative images of heart, liver, lung and kidney sections stained with HE (group: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NBs, </w:t>
      </w:r>
      <w:r>
        <w:rPr>
          <w:rFonts w:ascii="Times New Roman" w:hAnsi="Times New Roman" w:cs="Times New Roman"/>
          <w:sz w:val="24"/>
          <w:szCs w:val="24"/>
        </w:rPr>
        <w:t xml:space="preserve">D-NBs, Dc-NBs, </w:t>
      </w:r>
      <w:proofErr w:type="spellStart"/>
      <w:r>
        <w:rPr>
          <w:rFonts w:ascii="Times New Roman" w:hAnsi="Times New Roman" w:cs="Times New Roman"/>
          <w:sz w:val="24"/>
          <w:szCs w:val="24"/>
        </w:rPr>
        <w:t>Dc-NBs+PTT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Changes of mouse body weight during experimental period </w:t>
      </w:r>
      <w:r>
        <w:rPr>
          <w:rFonts w:ascii="Times New Roman" w:hAnsi="Times New Roman" w:cs="Times New Roman" w:hint="eastAsia"/>
          <w:sz w:val="24"/>
          <w:szCs w:val="24"/>
        </w:rPr>
        <w:t xml:space="preserve">for lung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metasitasis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model </w:t>
      </w:r>
      <w:r>
        <w:rPr>
          <w:rFonts w:ascii="Times New Roman" w:hAnsi="Times New Roman" w:cs="Times New Roman"/>
          <w:sz w:val="24"/>
          <w:szCs w:val="24"/>
        </w:rPr>
        <w:t xml:space="preserve">(group: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NBs, </w:t>
      </w:r>
      <w:r>
        <w:rPr>
          <w:rFonts w:ascii="Times New Roman" w:hAnsi="Times New Roman" w:cs="Times New Roman"/>
          <w:sz w:val="24"/>
          <w:szCs w:val="24"/>
        </w:rPr>
        <w:t xml:space="preserve">D-NBs, Dc-NBs, </w:t>
      </w:r>
      <w:proofErr w:type="spellStart"/>
      <w:r>
        <w:rPr>
          <w:rFonts w:ascii="Times New Roman" w:hAnsi="Times New Roman" w:cs="Times New Roman"/>
          <w:sz w:val="24"/>
          <w:szCs w:val="24"/>
        </w:rPr>
        <w:t>Dc-NBs+PTT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Data are shown as means ±SD (n=6). </w:t>
      </w:r>
      <w:r>
        <w:rPr>
          <w:rFonts w:ascii="Times New Roman" w:hAnsi="Times New Roman" w:cs="Times New Roman" w:hint="eastAsia"/>
          <w:b/>
          <w:bCs/>
          <w:sz w:val="24"/>
        </w:rPr>
        <w:t>I-J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uantitative immunohistochemical analysis of </w:t>
      </w:r>
      <w:r>
        <w:rPr>
          <w:rFonts w:ascii="Times New Roman" w:hAnsi="Times New Roman" w:cs="Times New Roman" w:hint="eastAsia"/>
          <w:sz w:val="24"/>
          <w:szCs w:val="24"/>
        </w:rPr>
        <w:t>Ki67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(I)</w:t>
      </w:r>
      <w:r>
        <w:rPr>
          <w:rFonts w:ascii="Times New Roman" w:hAnsi="Times New Roman" w:cs="Times New Roman" w:hint="eastAsia"/>
          <w:sz w:val="24"/>
          <w:szCs w:val="24"/>
        </w:rPr>
        <w:t xml:space="preserve"> and ACSL6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(J)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 l</w:t>
      </w:r>
      <w:r>
        <w:rPr>
          <w:rFonts w:ascii="Times New Roman" w:hAnsi="Times New Roman" w:cs="Times New Roman"/>
          <w:sz w:val="24"/>
        </w:rPr>
        <w:t xml:space="preserve">ung </w:t>
      </w:r>
      <w:r>
        <w:rPr>
          <w:rFonts w:ascii="Times New Roman" w:eastAsia="宋体" w:hAnsi="Times New Roman" w:cs="Times New Roman"/>
          <w:sz w:val="24"/>
        </w:rPr>
        <w:t>metastasis</w:t>
      </w:r>
      <w:r>
        <w:rPr>
          <w:rFonts w:ascii="Times New Roman" w:hAnsi="Times New Roman" w:cs="Times New Roman"/>
          <w:sz w:val="24"/>
        </w:rPr>
        <w:t xml:space="preserve"> nodules, upon treatment with </w:t>
      </w:r>
      <w:r>
        <w:rPr>
          <w:rFonts w:ascii="Times New Roman" w:hAnsi="Times New Roman" w:cs="Times New Roman" w:hint="eastAsia"/>
          <w:sz w:val="24"/>
          <w:szCs w:val="28"/>
        </w:rPr>
        <w:t>Ctrl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 xml:space="preserve">NBs, </w:t>
      </w:r>
      <w:r>
        <w:rPr>
          <w:rFonts w:ascii="Times New Roman" w:hAnsi="Times New Roman" w:cs="Times New Roman"/>
          <w:sz w:val="24"/>
        </w:rPr>
        <w:t xml:space="preserve">D-NBs, Dc-NBs or </w:t>
      </w:r>
      <w:proofErr w:type="spellStart"/>
      <w:r>
        <w:rPr>
          <w:rFonts w:ascii="Times New Roman" w:hAnsi="Times New Roman" w:cs="Times New Roman"/>
          <w:sz w:val="24"/>
        </w:rPr>
        <w:t>Dc-NBs+PTT</w:t>
      </w:r>
      <w:proofErr w:type="spellEnd"/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ns, no significance; 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0.05; 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 0.01; ***</w:t>
      </w:r>
      <w:r>
        <w:rPr>
          <w:rFonts w:ascii="Times New Roman" w:hAnsi="Times New Roman" w:cs="Times New Roman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&lt; 0.001. </w:t>
      </w:r>
    </w:p>
    <w:p w14:paraId="3F1A50F7" w14:textId="77777777" w:rsidR="00D270AE" w:rsidRDefault="00D270AE">
      <w:pPr>
        <w:spacing w:line="360" w:lineRule="auto"/>
        <w:rPr>
          <w:rFonts w:ascii="Times New Roman" w:hAnsi="Times New Roman" w:cs="Times New Roman"/>
          <w:sz w:val="24"/>
        </w:rPr>
      </w:pPr>
    </w:p>
    <w:p w14:paraId="6FA0EA7F" w14:textId="77777777" w:rsidR="00D270AE" w:rsidRDefault="00D270A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270AE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C84A7" w14:textId="77777777" w:rsidR="00BF6665" w:rsidRDefault="00BF6665">
      <w:r>
        <w:separator/>
      </w:r>
    </w:p>
  </w:endnote>
  <w:endnote w:type="continuationSeparator" w:id="0">
    <w:p w14:paraId="03E44EF2" w14:textId="77777777" w:rsidR="00BF6665" w:rsidRDefault="00BF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9F644" w14:textId="77777777" w:rsidR="00D270A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AC6D6" wp14:editId="210AE75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5AE301" w14:textId="77777777" w:rsidR="00D270A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AC6D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5AE301" w14:textId="77777777" w:rsidR="00D270A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615D2" w14:textId="77777777" w:rsidR="00BF6665" w:rsidRDefault="00BF6665">
      <w:r>
        <w:separator/>
      </w:r>
    </w:p>
  </w:footnote>
  <w:footnote w:type="continuationSeparator" w:id="0">
    <w:p w14:paraId="420C7BBC" w14:textId="77777777" w:rsidR="00BF6665" w:rsidRDefault="00BF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ZlZDlkMWRlYWJkZTllZTA3ZDkyYzk0N2M0ZmIwYTAifQ=="/>
  </w:docVars>
  <w:rsids>
    <w:rsidRoot w:val="735B5FA4"/>
    <w:rsid w:val="0001196D"/>
    <w:rsid w:val="000A5540"/>
    <w:rsid w:val="000A7465"/>
    <w:rsid w:val="001A18BD"/>
    <w:rsid w:val="002E11DF"/>
    <w:rsid w:val="002E3795"/>
    <w:rsid w:val="00317E94"/>
    <w:rsid w:val="00324E18"/>
    <w:rsid w:val="00345EAF"/>
    <w:rsid w:val="003B6539"/>
    <w:rsid w:val="00485C5C"/>
    <w:rsid w:val="004A1467"/>
    <w:rsid w:val="004D2D2C"/>
    <w:rsid w:val="004F6E48"/>
    <w:rsid w:val="00626462"/>
    <w:rsid w:val="00696CDD"/>
    <w:rsid w:val="006E7937"/>
    <w:rsid w:val="0075021F"/>
    <w:rsid w:val="007B0D2B"/>
    <w:rsid w:val="007C0A6F"/>
    <w:rsid w:val="00805601"/>
    <w:rsid w:val="00891FAF"/>
    <w:rsid w:val="008F1E3E"/>
    <w:rsid w:val="00903DEC"/>
    <w:rsid w:val="00991E46"/>
    <w:rsid w:val="009C689B"/>
    <w:rsid w:val="00AC1AEB"/>
    <w:rsid w:val="00B617F2"/>
    <w:rsid w:val="00BF6665"/>
    <w:rsid w:val="00C50CEC"/>
    <w:rsid w:val="00CB5A5F"/>
    <w:rsid w:val="00CD7968"/>
    <w:rsid w:val="00D270AE"/>
    <w:rsid w:val="00D46A8D"/>
    <w:rsid w:val="00D61AF4"/>
    <w:rsid w:val="00D66546"/>
    <w:rsid w:val="00E205AE"/>
    <w:rsid w:val="00E506FA"/>
    <w:rsid w:val="00E66704"/>
    <w:rsid w:val="00E80164"/>
    <w:rsid w:val="00E81EDD"/>
    <w:rsid w:val="00EB79C5"/>
    <w:rsid w:val="00ED4CB3"/>
    <w:rsid w:val="00EF6BDF"/>
    <w:rsid w:val="00F32EFC"/>
    <w:rsid w:val="00FD359D"/>
    <w:rsid w:val="06821E09"/>
    <w:rsid w:val="0D3E5852"/>
    <w:rsid w:val="1FDE264F"/>
    <w:rsid w:val="26B650CA"/>
    <w:rsid w:val="36B47FD7"/>
    <w:rsid w:val="3D641CD5"/>
    <w:rsid w:val="48702AE3"/>
    <w:rsid w:val="52847D9F"/>
    <w:rsid w:val="6B070B88"/>
    <w:rsid w:val="735B5FA4"/>
    <w:rsid w:val="76455BE8"/>
    <w:rsid w:val="780A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6E6BC"/>
  <w15:docId w15:val="{AD7DF273-9DCC-41C2-9A71-73753066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line number"/>
    <w:basedOn w:val="a0"/>
    <w:qFormat/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972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 Yakun</dc:creator>
  <cp:lastModifiedBy>翔 潘</cp:lastModifiedBy>
  <cp:revision>16</cp:revision>
  <dcterms:created xsi:type="dcterms:W3CDTF">2024-09-09T06:52:00Z</dcterms:created>
  <dcterms:modified xsi:type="dcterms:W3CDTF">2024-12-14T02:04:00Z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9A0BAFB6FEBF44A6AFBE5951CEC050E8_13</vt:lpwstr>
  </property>
</Properties>
</file>