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17F86">
      <w:pPr>
        <w:spacing w:line="360" w:lineRule="auto"/>
        <w:contextualSpacing/>
        <w:jc w:val="center"/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</w:pPr>
      <w:bookmarkStart w:id="0" w:name="op_1738514850"/>
      <w:r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  <w:drawing>
          <wp:inline distT="0" distB="0" distL="114300" distR="114300">
            <wp:extent cx="5255260" cy="2769235"/>
            <wp:effectExtent l="0" t="0" r="2540" b="2540"/>
            <wp:docPr id="5" name="图片 5" descr="Fig.S1-新添加的补充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S1-新添加的补充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4FF13AA">
      <w:pPr>
        <w:spacing w:line="360" w:lineRule="auto"/>
        <w:contextualSpacing/>
        <w:rPr>
          <w:rFonts w:hint="default" w:ascii="Times New Roman" w:hAnsi="Times New Roman" w:eastAsia="宋体" w:cs="Times New Roman"/>
          <w:color w:val="00000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0"/>
          <w:szCs w:val="20"/>
          <w:u w:val="none"/>
          <w:lang w:eastAsia="zh-CN"/>
        </w:rPr>
        <w:t>Fig.S</w:t>
      </w:r>
      <w:r>
        <w:rPr>
          <w:rFonts w:hint="default" w:ascii="Times New Roman" w:hAnsi="Times New Roman" w:eastAsia="宋体" w:cs="Times New Roman"/>
          <w:b/>
          <w:bCs/>
          <w:color w:val="000000"/>
          <w:sz w:val="20"/>
          <w:szCs w:val="20"/>
          <w:u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sz w:val="20"/>
          <w:szCs w:val="20"/>
          <w:u w:val="none"/>
          <w:lang w:val="en-US" w:eastAsia="zh-CN"/>
        </w:rPr>
        <w:t>Analysis of tumor purity in RNA-seq sequencing samples.</w:t>
      </w:r>
    </w:p>
    <w:p w14:paraId="41C51296">
      <w:pPr>
        <w:spacing w:line="360" w:lineRule="auto"/>
        <w:contextualSpacing/>
        <w:rPr>
          <w:rFonts w:hint="default" w:ascii="Times New Roman" w:hAnsi="Times New Roman" w:eastAsia="宋体" w:cs="Times New Roman"/>
          <w:color w:val="000000"/>
          <w:sz w:val="20"/>
          <w:szCs w:val="20"/>
          <w:u w:val="none"/>
          <w:lang w:val="en-US" w:eastAsia="zh-CN"/>
        </w:rPr>
      </w:pPr>
    </w:p>
    <w:p w14:paraId="7CDE66B5">
      <w:pPr>
        <w:spacing w:line="360" w:lineRule="auto"/>
        <w:contextualSpacing/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</w:pPr>
      <w:r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  <w:drawing>
          <wp:inline distT="0" distB="0" distL="114300" distR="114300">
            <wp:extent cx="5266690" cy="3244850"/>
            <wp:effectExtent l="0" t="0" r="635" b="3175"/>
            <wp:docPr id="4" name="图片 4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S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0E71">
      <w:pPr>
        <w:spacing w:line="360" w:lineRule="auto"/>
        <w:contextualSpacing/>
        <w:jc w:val="both"/>
        <w:rPr>
          <w:rFonts w:hint="default" w:ascii="Times New Roman" w:hAnsi="Times New Roman" w:cs="Times New Roman"/>
          <w:sz w:val="20"/>
          <w:szCs w:val="20"/>
          <w:u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.S2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Identification of hub genes using weighted gene co-expression network analysis (WGCNA) and validation through public databases. (A)</w:t>
      </w:r>
      <w:r>
        <w:rPr>
          <w:rFonts w:hint="default" w:ascii="Times New Roman" w:hAnsi="Times New Roman" w:cs="Times New Roman"/>
          <w:sz w:val="20"/>
          <w:szCs w:val="20"/>
          <w:u w:val="none"/>
        </w:rPr>
        <w:t xml:space="preserve"> Co-expression module analysis of proteins via WGCNA.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(B-C)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Heatmap showing phenotypic module associations for mRNA (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) and protein (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).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(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–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E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)</w:t>
      </w:r>
      <w:r>
        <w:rPr>
          <w:rFonts w:hint="default" w:ascii="Times New Roman" w:hAnsi="Times New Roman" w:cs="Times New Roman"/>
          <w:sz w:val="20"/>
          <w:szCs w:val="20"/>
          <w:u w:val="none"/>
        </w:rPr>
        <w:t xml:space="preserve"> Core gene network diagrams for mRNA</w:t>
      </w:r>
      <w:r>
        <w:rPr>
          <w:rFonts w:hint="eastAsia" w:ascii="Times New Roman" w:hAnsi="Times New Roman" w:cs="Times New Roman"/>
          <w:sz w:val="20"/>
          <w:szCs w:val="20"/>
          <w:u w:val="none"/>
          <w:lang w:val="en-US" w:eastAsia="zh-CN"/>
        </w:rPr>
        <w:t xml:space="preserve"> (D)</w:t>
      </w:r>
      <w:r>
        <w:rPr>
          <w:rFonts w:hint="default" w:ascii="Times New Roman" w:hAnsi="Times New Roman" w:cs="Times New Roman"/>
          <w:sz w:val="20"/>
          <w:szCs w:val="20"/>
          <w:u w:val="none"/>
        </w:rPr>
        <w:t xml:space="preserve"> and protein</w:t>
      </w:r>
      <w:r>
        <w:rPr>
          <w:rFonts w:hint="eastAsia" w:ascii="Times New Roman" w:hAnsi="Times New Roman" w:cs="Times New Roman"/>
          <w:sz w:val="20"/>
          <w:szCs w:val="20"/>
          <w:u w:val="none"/>
          <w:lang w:val="en-US" w:eastAsia="zh-CN"/>
        </w:rPr>
        <w:t xml:space="preserve"> (E)</w:t>
      </w:r>
      <w:r>
        <w:rPr>
          <w:rFonts w:hint="default" w:ascii="Times New Roman" w:hAnsi="Times New Roman" w:cs="Times New Roman"/>
          <w:sz w:val="20"/>
          <w:szCs w:val="20"/>
          <w:u w:val="none"/>
        </w:rPr>
        <w:t xml:space="preserve"> module. 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(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)</w:t>
      </w:r>
      <w:r>
        <w:rPr>
          <w:rFonts w:hint="default" w:ascii="Times New Roman" w:hAnsi="Times New Roman" w:cs="Times New Roman"/>
          <w:sz w:val="20"/>
          <w:szCs w:val="20"/>
          <w:u w:val="none"/>
        </w:rPr>
        <w:t xml:space="preserve"> Venn diagram illustrating the overlap of mRNA and protein expression identified in this study, along with data from the CPTAC2 and GEPIA2 databases.</w:t>
      </w:r>
    </w:p>
    <w:p w14:paraId="288F6871">
      <w:pPr>
        <w:spacing w:line="360" w:lineRule="auto"/>
        <w:contextualSpacing/>
        <w:jc w:val="both"/>
        <w:rPr>
          <w:rFonts w:hint="eastAsia" w:ascii="Arial" w:hAnsi="Arial" w:cs="Arial" w:eastAsiaTheme="minorEastAsia"/>
          <w:sz w:val="20"/>
          <w:szCs w:val="20"/>
          <w:u w:val="none"/>
          <w:lang w:eastAsia="zh-CN"/>
        </w:rPr>
      </w:pPr>
      <w:r>
        <w:rPr>
          <w:rFonts w:hint="eastAsia" w:ascii="Arial" w:hAnsi="Arial" w:cs="Arial" w:eastAsiaTheme="minorEastAsia"/>
          <w:sz w:val="20"/>
          <w:szCs w:val="20"/>
          <w:u w:val="none"/>
          <w:lang w:eastAsia="zh-CN"/>
        </w:rPr>
        <w:drawing>
          <wp:inline distT="0" distB="0" distL="114300" distR="114300">
            <wp:extent cx="5023485" cy="8849995"/>
            <wp:effectExtent l="0" t="0" r="5715" b="8255"/>
            <wp:docPr id="1" name="图片 1" descr="Figure_S2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2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4D15D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.S3</w:t>
      </w:r>
      <w:r>
        <w:rPr>
          <w:rFonts w:hint="default" w:ascii="Times New Roman" w:hAnsi="Times New Roman" w:cs="Times New Roman"/>
          <w:b/>
          <w:bCs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Integrated multi-omics analysis reveals distinct expression patterns and functional interactions among lncRNAs, metabolites, mRNAs, and proteins in CRC.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A)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Volcano plot illustrating the differential expression profile of lncRNAs. (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B-C)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Heatmap-based correlation analyses that delineate the relationships between the differentially expressed lncRNAs and corresponding mRNA/protein profiles. (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D)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Volcano plot showcasing the differential expression of metabolites identified through metabolomic profiling.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(E)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KEGG pathway enrichment analysis highlighting the biological pathways associated with the identified metabolites. (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F)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Application of the STAMP method to pinpoint the top 30 candidate differential metabolites. (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>G-H)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  <w:t xml:space="preserve"> Heatmap correlation analyses demonstrating the associations between differential metabolites and mRNA/protein expression levels. </w:t>
      </w:r>
    </w:p>
    <w:p w14:paraId="65311561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u w:val="none"/>
          <w14:textFill>
            <w14:solidFill>
              <w14:schemeClr w14:val="tx1"/>
            </w14:solidFill>
          </w14:textFill>
        </w:rPr>
      </w:pPr>
    </w:p>
    <w:p w14:paraId="7F9FE795">
      <w:pPr>
        <w:spacing w:line="360" w:lineRule="auto"/>
        <w:contextualSpacing/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</w:pPr>
      <w:r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  <w:drawing>
          <wp:inline distT="0" distB="0" distL="114300" distR="114300">
            <wp:extent cx="5269230" cy="3155950"/>
            <wp:effectExtent l="0" t="0" r="7620" b="6350"/>
            <wp:docPr id="23" name="图片 23" descr="Figure_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ure_S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EB0D">
      <w:pPr>
        <w:spacing w:line="360" w:lineRule="auto"/>
        <w:jc w:val="both"/>
        <w:rPr>
          <w:rFonts w:hint="default" w:ascii="Times New Roman" w:hAnsi="Times New Roman" w:eastAsia="宋体" w:cs="Times New Roman"/>
          <w:sz w:val="20"/>
          <w:szCs w:val="20"/>
          <w:u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.S4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sz w:val="20"/>
          <w:szCs w:val="20"/>
          <w:u w:val="none"/>
        </w:rPr>
        <w:t>Experimental validation of CAP2 and GNAO1 mRNA expression levels. (A-B)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qRT-PCR analysis was performed to quantify CAP2 and GNAO1 mRNA expression in CRC cell lines (DLD1, HCT8, and SW480) compared with the normal colon cell line NCM460.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(C)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qRT-PCR validation of CAP2 expression in 12 paired colorectal cancer tumor samples and their corresponding normal tissues.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(D)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qRT-PCR validation of GNAO1 expression in the same tissue pairs. NS indicates not significant (t test); **P &lt; 0.05 and ***P &lt; 0.01 (t test).</w:t>
      </w:r>
    </w:p>
    <w:p w14:paraId="66BFF1A6">
      <w:pPr>
        <w:spacing w:line="360" w:lineRule="auto"/>
        <w:rPr>
          <w:rFonts w:ascii="Arial" w:hAnsi="Arial" w:eastAsia="宋体" w:cs="Arial"/>
          <w:sz w:val="20"/>
          <w:szCs w:val="20"/>
          <w:u w:val="none"/>
        </w:rPr>
      </w:pPr>
    </w:p>
    <w:p w14:paraId="404AEE41">
      <w:pPr>
        <w:spacing w:line="360" w:lineRule="auto"/>
        <w:contextualSpacing/>
        <w:rPr>
          <w:rFonts w:ascii="Arial" w:hAnsi="Arial" w:eastAsia="宋体" w:cs="Arial"/>
          <w:color w:val="000000"/>
          <w:sz w:val="20"/>
          <w:szCs w:val="20"/>
          <w:u w:val="none"/>
        </w:rPr>
      </w:pPr>
    </w:p>
    <w:p w14:paraId="1A5B7480">
      <w:pPr>
        <w:spacing w:line="360" w:lineRule="auto"/>
        <w:contextualSpacing/>
        <w:rPr>
          <w:rFonts w:ascii="Arial" w:hAnsi="Arial" w:eastAsia="宋体" w:cs="Arial"/>
          <w:color w:val="000000"/>
          <w:sz w:val="20"/>
          <w:szCs w:val="20"/>
          <w:u w:val="none"/>
        </w:rPr>
      </w:pPr>
    </w:p>
    <w:p w14:paraId="43E42C69">
      <w:pPr>
        <w:spacing w:line="360" w:lineRule="auto"/>
        <w:contextualSpacing/>
        <w:rPr>
          <w:rFonts w:ascii="Arial" w:hAnsi="Arial" w:eastAsia="宋体" w:cs="Arial"/>
          <w:color w:val="000000"/>
          <w:sz w:val="20"/>
          <w:szCs w:val="20"/>
          <w:u w:val="none"/>
        </w:rPr>
      </w:pPr>
    </w:p>
    <w:p w14:paraId="523CE8E6">
      <w:pPr>
        <w:spacing w:line="360" w:lineRule="auto"/>
        <w:contextualSpacing/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</w:pPr>
      <w:r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  <w:drawing>
          <wp:inline distT="0" distB="0" distL="114300" distR="114300">
            <wp:extent cx="5249545" cy="2447290"/>
            <wp:effectExtent l="0" t="0" r="8255" b="635"/>
            <wp:docPr id="2" name="图片 2" descr="Fig.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S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3EADC">
      <w:pPr>
        <w:spacing w:line="360" w:lineRule="auto"/>
        <w:contextualSpacing/>
        <w:jc w:val="left"/>
        <w:rPr>
          <w:rFonts w:hint="default" w:ascii="Times New Roman" w:hAnsi="Times New Roman" w:eastAsia="华文仿宋" w:cs="Times New Roman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华文仿宋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eastAsia="华文仿宋" w:cs="Times New Roman"/>
          <w:b/>
          <w:bCs/>
          <w:sz w:val="20"/>
          <w:szCs w:val="20"/>
          <w:u w:val="none"/>
          <w:lang w:val="en-US" w:eastAsia="zh-CN"/>
        </w:rPr>
        <w:t xml:space="preserve">.S5 </w:t>
      </w:r>
      <w:r>
        <w:rPr>
          <w:rFonts w:hint="default" w:ascii="Times New Roman" w:hAnsi="Times New Roman" w:eastAsia="华文仿宋" w:cs="Times New Roman"/>
          <w:b/>
          <w:bCs/>
          <w:sz w:val="20"/>
          <w:szCs w:val="20"/>
          <w:u w:val="none"/>
        </w:rPr>
        <w:t xml:space="preserve"> Impact of calcium signaling pathways and protein kinase C in CRC progression. Impact of calcium signaling pathways and protein kinase C on CRC progression. (A)</w:t>
      </w:r>
      <w:r>
        <w:rPr>
          <w:rFonts w:hint="default" w:ascii="Times New Roman" w:hAnsi="Times New Roman" w:eastAsia="华文仿宋" w:cs="Times New Roman"/>
          <w:sz w:val="20"/>
          <w:szCs w:val="20"/>
          <w:u w:val="none"/>
        </w:rPr>
        <w:t xml:space="preserve"> KEGG pathway analysis of PLCD4 illustrating its involvement in calcium-mediated signaling and its potential association with protein kinase C activation. </w:t>
      </w:r>
      <w:r>
        <w:rPr>
          <w:rFonts w:hint="default" w:ascii="Times New Roman" w:hAnsi="Times New Roman" w:eastAsia="华文仿宋" w:cs="Times New Roman"/>
          <w:b/>
          <w:bCs/>
          <w:sz w:val="20"/>
          <w:szCs w:val="20"/>
          <w:u w:val="none"/>
        </w:rPr>
        <w:t xml:space="preserve">(B) </w:t>
      </w:r>
      <w:r>
        <w:rPr>
          <w:rFonts w:hint="default" w:ascii="Times New Roman" w:hAnsi="Times New Roman" w:eastAsia="华文仿宋" w:cs="Times New Roman"/>
          <w:sz w:val="20"/>
          <w:szCs w:val="20"/>
          <w:u w:val="none"/>
        </w:rPr>
        <w:t>Immunohistochemical analysis of PIP2, IP3, and PKC protein levels in CRC cell lines (DLD1, HCT8, SW480) compared to the normal human colon epithelial cell line NCM460.</w:t>
      </w:r>
    </w:p>
    <w:p w14:paraId="7807D9C0">
      <w:pPr>
        <w:spacing w:line="360" w:lineRule="auto"/>
        <w:contextualSpacing/>
        <w:jc w:val="left"/>
        <w:rPr>
          <w:rFonts w:hint="default" w:ascii="Arial" w:hAnsi="Arial" w:cs="Arial"/>
          <w:sz w:val="20"/>
          <w:szCs w:val="20"/>
          <w:u w:val="none"/>
          <w:lang w:val="en-US" w:eastAsia="zh-CN"/>
        </w:rPr>
      </w:pPr>
    </w:p>
    <w:p w14:paraId="4EFA26B0">
      <w:pPr>
        <w:spacing w:line="360" w:lineRule="auto"/>
        <w:contextualSpacing/>
        <w:jc w:val="left"/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</w:pPr>
      <w:r>
        <w:rPr>
          <w:rFonts w:hint="eastAsia" w:ascii="Arial" w:hAnsi="Arial" w:eastAsia="宋体" w:cs="Arial"/>
          <w:color w:val="000000"/>
          <w:sz w:val="20"/>
          <w:szCs w:val="20"/>
          <w:u w:val="none"/>
          <w:lang w:eastAsia="zh-CN"/>
        </w:rPr>
        <w:drawing>
          <wp:inline distT="0" distB="0" distL="114300" distR="114300">
            <wp:extent cx="5261610" cy="6624320"/>
            <wp:effectExtent l="0" t="0" r="5715" b="5080"/>
            <wp:docPr id="7" name="图片 7" descr="Fig.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S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62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CE55F">
      <w:pPr>
        <w:spacing w:line="360" w:lineRule="auto"/>
        <w:jc w:val="both"/>
        <w:rPr>
          <w:rFonts w:hint="default" w:ascii="Times New Roman" w:hAnsi="Times New Roman" w:eastAsia="宋体" w:cs="Times New Roman"/>
          <w:sz w:val="20"/>
          <w:szCs w:val="20"/>
          <w:u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.S6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Molecular and functional effects of lncRNA 60967.1 on CRC cell apoptosis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cell proliferation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, IFNGR1/IFNGR2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expression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(A)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DLD1 cells transfected with lncRNA: panel A1 shows baseline apoptosis in DLD1-Lnc cells, and panel A2 shows apoptosis after IFN-γ stimulation.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(B)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DLD1 cells expressing GFP: panel B1 displays baseline apoptosis, and panel B2 shows apoptosis in DLD1 cells expressing GEP following IFN-γ stimulation.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(C)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HCT8 cells transfected with lncRNA: panel C1 shows baseline apoptosis, and panel C2 shows apoptosis after IFN-γ stimulation.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(D)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HCT8 cells expressing GFP: panel D1 displays apoptosis in HCT8-GFP cells, and panel D2 shows apoptosis in HCT8 cells expressing GEP following IFN-γ stimulation.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>(E)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 xml:space="preserve"> SW480 cells transfected with lncRNA: panel E1 shows baseline apoptosis, and panel E2 shows apoptosis after IFN-γ stimulation.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u w:val="none"/>
        </w:rPr>
        <w:t xml:space="preserve">(F) </w:t>
      </w:r>
      <w:r>
        <w:rPr>
          <w:rFonts w:hint="default" w:ascii="Times New Roman" w:hAnsi="Times New Roman" w:eastAsia="宋体" w:cs="Times New Roman"/>
          <w:sz w:val="20"/>
          <w:szCs w:val="20"/>
          <w:u w:val="none"/>
        </w:rPr>
        <w:t>SW480 cells expressing GFP: panel F1 displays apoptosis in SW480-GFP cells, and panel F2 shows apoptosis in SW480 cells expressing GEP following IFN-γ stimulation.</w:t>
      </w:r>
      <w:r>
        <w:rPr>
          <w:rFonts w:hint="eastAsia" w:ascii="Times New Roman" w:hAnsi="Times New Roman" w:eastAsia="宋体" w:cs="Times New Roman"/>
          <w:sz w:val="20"/>
          <w:szCs w:val="20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u w:val="none"/>
        </w:rPr>
        <w:t>(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  <w:u w:val="none"/>
          <w:lang w:val="en-US" w:eastAsia="zh-CN"/>
        </w:rPr>
        <w:t>G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u w:val="none"/>
        </w:rPr>
        <w:t>)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kern w:val="2"/>
          <w:sz w:val="20"/>
          <w:szCs w:val="20"/>
          <w:highlight w:val="none"/>
          <w:u w:val="none"/>
          <w:lang w:val="en-US" w:eastAsia="zh-CN" w:bidi="ar"/>
        </w:rPr>
        <w:t>CCK-8 assay for CRC cell proliferation (DLD1, HCT8, SW480) transfected with GFP vector, followed by IFN-γ stimulation.</w:t>
      </w:r>
      <w:r>
        <w:rPr>
          <w:rFonts w:hint="eastAsia" w:ascii="Times New Roman" w:hAnsi="Times New Roman" w:eastAsia="微软雅黑" w:cs="Times New Roman"/>
          <w:b/>
          <w:bCs/>
          <w:kern w:val="2"/>
          <w:sz w:val="20"/>
          <w:szCs w:val="20"/>
          <w:highlight w:val="none"/>
          <w:u w:val="none"/>
          <w:lang w:val="en-US" w:eastAsia="zh-CN" w:bidi="ar"/>
        </w:rPr>
        <w:t xml:space="preserve"> (H) </w:t>
      </w:r>
      <w:r>
        <w:rPr>
          <w:rFonts w:hint="eastAsia" w:ascii="Times New Roman" w:hAnsi="Times New Roman" w:eastAsia="微软雅黑" w:cs="Times New Roman"/>
          <w:kern w:val="2"/>
          <w:sz w:val="20"/>
          <w:szCs w:val="20"/>
          <w:highlight w:val="none"/>
          <w:u w:val="none"/>
          <w:lang w:val="en-US" w:eastAsia="zh-CN" w:bidi="ar"/>
        </w:rPr>
        <w:t>qRT-PCR analysis of IFNGR1/IFNGR2 mRNA in CRC cells (DLD1, HCT8, and SW480) and normal colon cell line (NCM460)</w:t>
      </w:r>
      <w:r>
        <w:rPr>
          <w:rFonts w:hint="eastAsia" w:ascii="Times New Roman" w:hAnsi="Times New Roman" w:eastAsia="微软雅黑" w:cs="Times New Roman"/>
          <w:kern w:val="2"/>
          <w:sz w:val="20"/>
          <w:szCs w:val="20"/>
          <w:u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微软雅黑" w:cs="Times New Roman"/>
          <w:b/>
          <w:bCs/>
          <w:kern w:val="2"/>
          <w:sz w:val="20"/>
          <w:szCs w:val="20"/>
          <w:u w:val="none"/>
          <w:lang w:val="en-US" w:eastAsia="zh-CN" w:bidi="ar"/>
        </w:rPr>
        <w:t xml:space="preserve">(I) </w:t>
      </w:r>
      <w:r>
        <w:rPr>
          <w:rFonts w:hint="eastAsia" w:ascii="Times New Roman" w:hAnsi="Times New Roman" w:eastAsia="微软雅黑" w:cs="Times New Roman"/>
          <w:kern w:val="2"/>
          <w:sz w:val="20"/>
          <w:szCs w:val="20"/>
          <w:u w:val="none"/>
          <w:lang w:val="en-US" w:eastAsia="zh-CN" w:bidi="ar"/>
        </w:rPr>
        <w:t>Western blot analysis of IFN-γRa protein in CRC cells and normal colon cell line (NCM460).</w:t>
      </w:r>
    </w:p>
    <w:p w14:paraId="4B75B3CF">
      <w:pPr>
        <w:spacing w:line="360" w:lineRule="auto"/>
        <w:jc w:val="both"/>
        <w:rPr>
          <w:rFonts w:hint="eastAsia" w:ascii="Arial" w:hAnsi="Arial" w:eastAsia="宋体" w:cs="Arial"/>
          <w:sz w:val="20"/>
          <w:szCs w:val="20"/>
          <w:u w:val="none"/>
          <w:lang w:eastAsia="zh-CN"/>
        </w:rPr>
      </w:pPr>
      <w:r>
        <w:rPr>
          <w:rFonts w:hint="eastAsia" w:ascii="Arial" w:hAnsi="Arial" w:eastAsia="宋体" w:cs="Arial"/>
          <w:sz w:val="20"/>
          <w:szCs w:val="20"/>
          <w:u w:val="none"/>
          <w:lang w:eastAsia="zh-CN"/>
        </w:rPr>
        <w:drawing>
          <wp:inline distT="0" distB="0" distL="114300" distR="114300">
            <wp:extent cx="5267325" cy="2905125"/>
            <wp:effectExtent l="0" t="0" r="0" b="0"/>
            <wp:docPr id="3" name="图片 3" descr="Fig.S7-新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S7-新加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53ADA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u w:val="none"/>
        </w:rPr>
        <w:t>Fig</w:t>
      </w:r>
      <w:r>
        <w:rPr>
          <w:rFonts w:hint="default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.S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 xml:space="preserve">7 PLCD4 plays a crucial role in remodeling the CRC TME. (A)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Principal component analysis (PCA) of the mRNA expression matrices from TCGA-COAD and TCGA-READ was performed using the "draw_pca" function from the "tinyarray" R package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>(B)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 xml:space="preserve"> The correlation between PLCD4 mRNA expression and ImmuneScore, StromalScore, and Tumor Purity was calculated using the ESTIMATE algorithm. </w:t>
      </w:r>
      <w:r>
        <w:rPr>
          <w:rFonts w:hint="eastAsia" w:ascii="Times New Roman" w:hAnsi="Times New Roman" w:cs="Times New Roman"/>
          <w:b/>
          <w:bCs/>
          <w:sz w:val="20"/>
          <w:szCs w:val="20"/>
          <w:u w:val="none"/>
          <w:lang w:val="en-US" w:eastAsia="zh-CN"/>
        </w:rPr>
        <w:t xml:space="preserve">(C)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u w:val="none"/>
          <w:lang w:val="en-US" w:eastAsia="zh-CN"/>
        </w:rPr>
        <w:t>The correlation between PLCD4 mRNA expression and ImmuneScore, StromalScore, and Tumor Purity was also assessed using the xCell algorithm.</w:t>
      </w:r>
    </w:p>
    <w:p w14:paraId="7AF4A5DB">
      <w:pPr>
        <w:contextualSpacing/>
        <w:rPr>
          <w:rFonts w:ascii="Arial" w:hAnsi="Arial" w:cs="Arial"/>
          <w:color w:val="000000"/>
          <w:sz w:val="20"/>
          <w:szCs w:val="20"/>
          <w:u w:val="none"/>
        </w:rPr>
      </w:pPr>
    </w:p>
    <w:p w14:paraId="4579A085">
      <w:pPr>
        <w:rPr>
          <w:rFonts w:ascii="Arial" w:hAnsi="Arial" w:cs="Arial"/>
          <w:color w:val="000000"/>
          <w:sz w:val="20"/>
          <w:szCs w:val="20"/>
          <w:u w:val="none"/>
        </w:rPr>
      </w:pPr>
    </w:p>
    <w:bookmarkEnd w:id="0"/>
    <w:p w14:paraId="660FEFA5">
      <w:pPr>
        <w:rPr>
          <w:rFonts w:ascii="Arial" w:hAnsi="Arial" w:cs="Arial"/>
          <w:sz w:val="20"/>
          <w:szCs w:val="20"/>
          <w:u w:val="none"/>
        </w:rPr>
      </w:pPr>
    </w:p>
    <w:sectPr>
      <w:headerReference r:id="rId6" w:type="first"/>
      <w:footerReference r:id="rId8" w:type="first"/>
      <w:headerReference r:id="rId5" w:type="even"/>
      <w:footerReference r:id="rId7" w:type="even"/>
      <w:type w:val="continuous"/>
      <w:pgSz w:w="11900" w:h="16820"/>
      <w:pgMar w:top="1440" w:right="1800" w:bottom="1440" w:left="1800" w:header="840" w:footer="98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49845"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9B57A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4C160">
    <w:pPr>
      <w:pStyle w:val="1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6E9D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02871"/>
    <w:multiLevelType w:val="multilevel"/>
    <w:tmpl w:val="0EB02871"/>
    <w:lvl w:ilvl="0" w:tentative="0">
      <w:start w:val="1"/>
      <w:numFmt w:val="decimal"/>
      <w:pStyle w:val="54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Bioinformat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2vzsapfexst3eaafvp2z5w5zrdzfrw9x2t&quot;&gt;Untitled Copy&lt;record-ids&gt;&lt;item&gt;209&lt;/item&gt;&lt;/record-ids&gt;&lt;/item&gt;&lt;item db-id=&quot;v0edpxsvoev5d9e2rw8vvveveapvsaw9peez&quot;&gt;25-1-16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71&lt;/item&gt;&lt;item&gt;74&lt;/item&gt;&lt;item&gt;76&lt;/item&gt;&lt;item&gt;77&lt;/item&gt;&lt;item&gt;78&lt;/item&gt;&lt;item&gt;79&lt;/item&gt;&lt;/record-ids&gt;&lt;/item&gt;&lt;/Libraries&gt;"/>
    <w:docVar w:name="OP-ThemeInfo" w:val="[{&quot;fontInfo&quot;:[],&quot;themeInfo&quot;:{&quot;styleLibId&quot;:&quot;WordThemeContent-1&quot;,&quot;styleLibName&quot;:&quot;简约通用文字模板&quot;,&quot;paymentType&quot;:1,&quot;filePath&quot;:&quot;C:\\Users\\Hongcang_Gu\\AppData\\Local\\OfficePLUS\\Temp\\OPWordAddin\\Files\\66bb3e5c-e4c3-f153-276b-3a151a64eadc.dotx&quot;},&quot;tag&quot;:&quot;op_1738514698&quot;},{&quot;fontInfo&quot;:[],&quot;themeInfo&quot;:{&quot;styleLibId&quot;:&quot;WordThemeContent-1&quot;,&quot;styleLibName&quot;:&quot;简约通用文字模板&quot;,&quot;paymentType&quot;:1,&quot;filePath&quot;:&quot;C:\\Users\\Hongcang_Gu\\AppData\\Local\\OfficePLUS\\Temp\\OPWordAddin\\Files\\66bb3e5c-e4c3-f153-276b-3a151a64eadc.dotx&quot;},&quot;tag&quot;:&quot;op_1738514850&quot;}]"/>
  </w:docVars>
  <w:rsids>
    <w:rsidRoot w:val="008328A2"/>
    <w:rsid w:val="0000621E"/>
    <w:rsid w:val="00017255"/>
    <w:rsid w:val="00025B69"/>
    <w:rsid w:val="0002781A"/>
    <w:rsid w:val="00036A6B"/>
    <w:rsid w:val="0005676F"/>
    <w:rsid w:val="00064551"/>
    <w:rsid w:val="00066240"/>
    <w:rsid w:val="000670C3"/>
    <w:rsid w:val="00074FD3"/>
    <w:rsid w:val="00081F39"/>
    <w:rsid w:val="00082E75"/>
    <w:rsid w:val="000B5528"/>
    <w:rsid w:val="000B7FFA"/>
    <w:rsid w:val="001014CE"/>
    <w:rsid w:val="00105508"/>
    <w:rsid w:val="00112ED3"/>
    <w:rsid w:val="00124A26"/>
    <w:rsid w:val="00127569"/>
    <w:rsid w:val="00135120"/>
    <w:rsid w:val="00147F55"/>
    <w:rsid w:val="00150FDF"/>
    <w:rsid w:val="001566CD"/>
    <w:rsid w:val="00157C50"/>
    <w:rsid w:val="00170162"/>
    <w:rsid w:val="001725AB"/>
    <w:rsid w:val="00175E04"/>
    <w:rsid w:val="0018081D"/>
    <w:rsid w:val="001850C3"/>
    <w:rsid w:val="001944AB"/>
    <w:rsid w:val="00194D33"/>
    <w:rsid w:val="001952B3"/>
    <w:rsid w:val="00196B2A"/>
    <w:rsid w:val="001A2177"/>
    <w:rsid w:val="001B5B37"/>
    <w:rsid w:val="001C3107"/>
    <w:rsid w:val="001C5FFB"/>
    <w:rsid w:val="001D5E16"/>
    <w:rsid w:val="001E1AFD"/>
    <w:rsid w:val="001E2370"/>
    <w:rsid w:val="001E6BCD"/>
    <w:rsid w:val="0022596B"/>
    <w:rsid w:val="0023061C"/>
    <w:rsid w:val="00231EF7"/>
    <w:rsid w:val="0023240E"/>
    <w:rsid w:val="00235D10"/>
    <w:rsid w:val="00242DF4"/>
    <w:rsid w:val="00242EB1"/>
    <w:rsid w:val="00243FD7"/>
    <w:rsid w:val="00255071"/>
    <w:rsid w:val="00255D58"/>
    <w:rsid w:val="00280023"/>
    <w:rsid w:val="002834D0"/>
    <w:rsid w:val="00284240"/>
    <w:rsid w:val="00285085"/>
    <w:rsid w:val="002A007C"/>
    <w:rsid w:val="002A36DF"/>
    <w:rsid w:val="002A3A1D"/>
    <w:rsid w:val="002B0082"/>
    <w:rsid w:val="002B7960"/>
    <w:rsid w:val="002C1F50"/>
    <w:rsid w:val="002C222C"/>
    <w:rsid w:val="002D153E"/>
    <w:rsid w:val="002E0BE5"/>
    <w:rsid w:val="002E0D3E"/>
    <w:rsid w:val="002E22AF"/>
    <w:rsid w:val="002F0799"/>
    <w:rsid w:val="002F68C7"/>
    <w:rsid w:val="0030130C"/>
    <w:rsid w:val="00307426"/>
    <w:rsid w:val="00312BF8"/>
    <w:rsid w:val="0031336D"/>
    <w:rsid w:val="00314868"/>
    <w:rsid w:val="00315C33"/>
    <w:rsid w:val="00323F93"/>
    <w:rsid w:val="00324251"/>
    <w:rsid w:val="003244A4"/>
    <w:rsid w:val="003328C2"/>
    <w:rsid w:val="00335EB3"/>
    <w:rsid w:val="00337CB0"/>
    <w:rsid w:val="003435EF"/>
    <w:rsid w:val="003544C7"/>
    <w:rsid w:val="00355ACB"/>
    <w:rsid w:val="0036316A"/>
    <w:rsid w:val="00366D2B"/>
    <w:rsid w:val="0038642A"/>
    <w:rsid w:val="00391485"/>
    <w:rsid w:val="00393E81"/>
    <w:rsid w:val="003B1328"/>
    <w:rsid w:val="003B2B73"/>
    <w:rsid w:val="003B2DF2"/>
    <w:rsid w:val="003C4491"/>
    <w:rsid w:val="003C52DC"/>
    <w:rsid w:val="003E5C9B"/>
    <w:rsid w:val="003F1D33"/>
    <w:rsid w:val="003F6D17"/>
    <w:rsid w:val="0040603C"/>
    <w:rsid w:val="0041096A"/>
    <w:rsid w:val="00411609"/>
    <w:rsid w:val="004151B2"/>
    <w:rsid w:val="00423D34"/>
    <w:rsid w:val="00435500"/>
    <w:rsid w:val="00436EBF"/>
    <w:rsid w:val="00450294"/>
    <w:rsid w:val="00466255"/>
    <w:rsid w:val="00473401"/>
    <w:rsid w:val="00480A19"/>
    <w:rsid w:val="004A1046"/>
    <w:rsid w:val="004B6B37"/>
    <w:rsid w:val="004C40F4"/>
    <w:rsid w:val="004C4616"/>
    <w:rsid w:val="004C5301"/>
    <w:rsid w:val="004C574F"/>
    <w:rsid w:val="004D1D65"/>
    <w:rsid w:val="004D2BAC"/>
    <w:rsid w:val="004D317C"/>
    <w:rsid w:val="004E0334"/>
    <w:rsid w:val="004E3D2B"/>
    <w:rsid w:val="004F75DE"/>
    <w:rsid w:val="00500D1A"/>
    <w:rsid w:val="005046DC"/>
    <w:rsid w:val="005060BF"/>
    <w:rsid w:val="00513D75"/>
    <w:rsid w:val="005142DB"/>
    <w:rsid w:val="005226BD"/>
    <w:rsid w:val="005229C5"/>
    <w:rsid w:val="00523586"/>
    <w:rsid w:val="005236A8"/>
    <w:rsid w:val="00530A47"/>
    <w:rsid w:val="00530BAC"/>
    <w:rsid w:val="00532EC0"/>
    <w:rsid w:val="0053535F"/>
    <w:rsid w:val="005579B1"/>
    <w:rsid w:val="00557BCB"/>
    <w:rsid w:val="00560E20"/>
    <w:rsid w:val="00571662"/>
    <w:rsid w:val="00571F41"/>
    <w:rsid w:val="00580352"/>
    <w:rsid w:val="00591143"/>
    <w:rsid w:val="005A55E6"/>
    <w:rsid w:val="005B787E"/>
    <w:rsid w:val="005C062D"/>
    <w:rsid w:val="005D1F22"/>
    <w:rsid w:val="005D428F"/>
    <w:rsid w:val="005E047E"/>
    <w:rsid w:val="005F10FD"/>
    <w:rsid w:val="0060458D"/>
    <w:rsid w:val="006065EA"/>
    <w:rsid w:val="00613BA4"/>
    <w:rsid w:val="00614349"/>
    <w:rsid w:val="00616C28"/>
    <w:rsid w:val="0062331E"/>
    <w:rsid w:val="00631EC6"/>
    <w:rsid w:val="006348A2"/>
    <w:rsid w:val="00637DB1"/>
    <w:rsid w:val="00642BE2"/>
    <w:rsid w:val="006532BD"/>
    <w:rsid w:val="00653785"/>
    <w:rsid w:val="006550B5"/>
    <w:rsid w:val="0065684E"/>
    <w:rsid w:val="00663AD5"/>
    <w:rsid w:val="00665E9B"/>
    <w:rsid w:val="00670C82"/>
    <w:rsid w:val="006714FD"/>
    <w:rsid w:val="00674D20"/>
    <w:rsid w:val="00676541"/>
    <w:rsid w:val="006815A1"/>
    <w:rsid w:val="006828EC"/>
    <w:rsid w:val="00683B4F"/>
    <w:rsid w:val="0069105C"/>
    <w:rsid w:val="006971AA"/>
    <w:rsid w:val="00697B7A"/>
    <w:rsid w:val="006A4090"/>
    <w:rsid w:val="006B710E"/>
    <w:rsid w:val="006B7364"/>
    <w:rsid w:val="006C5011"/>
    <w:rsid w:val="006D0B6D"/>
    <w:rsid w:val="006D4487"/>
    <w:rsid w:val="006E33B9"/>
    <w:rsid w:val="006E3B80"/>
    <w:rsid w:val="006F21A4"/>
    <w:rsid w:val="007202AD"/>
    <w:rsid w:val="00722678"/>
    <w:rsid w:val="00725B0F"/>
    <w:rsid w:val="00731CAC"/>
    <w:rsid w:val="007344B8"/>
    <w:rsid w:val="00737111"/>
    <w:rsid w:val="00753CAD"/>
    <w:rsid w:val="00755083"/>
    <w:rsid w:val="0076180A"/>
    <w:rsid w:val="00773EF8"/>
    <w:rsid w:val="00774DE0"/>
    <w:rsid w:val="00776000"/>
    <w:rsid w:val="0079025A"/>
    <w:rsid w:val="00793FA0"/>
    <w:rsid w:val="0079545F"/>
    <w:rsid w:val="007A5BDE"/>
    <w:rsid w:val="007B1AC8"/>
    <w:rsid w:val="007B33C0"/>
    <w:rsid w:val="007C0B4E"/>
    <w:rsid w:val="007C687D"/>
    <w:rsid w:val="007D128B"/>
    <w:rsid w:val="007D2F72"/>
    <w:rsid w:val="007F15CC"/>
    <w:rsid w:val="00802BA1"/>
    <w:rsid w:val="00812A1F"/>
    <w:rsid w:val="008328A2"/>
    <w:rsid w:val="00836F50"/>
    <w:rsid w:val="0086703A"/>
    <w:rsid w:val="00870083"/>
    <w:rsid w:val="00894CBD"/>
    <w:rsid w:val="008B3086"/>
    <w:rsid w:val="008B45BD"/>
    <w:rsid w:val="008B574A"/>
    <w:rsid w:val="008C1DAE"/>
    <w:rsid w:val="008F6CB8"/>
    <w:rsid w:val="009103B2"/>
    <w:rsid w:val="00911B36"/>
    <w:rsid w:val="00920151"/>
    <w:rsid w:val="00924B31"/>
    <w:rsid w:val="0093247E"/>
    <w:rsid w:val="009329D8"/>
    <w:rsid w:val="00953660"/>
    <w:rsid w:val="00954830"/>
    <w:rsid w:val="009666AF"/>
    <w:rsid w:val="00971964"/>
    <w:rsid w:val="00971C48"/>
    <w:rsid w:val="00982679"/>
    <w:rsid w:val="0098283E"/>
    <w:rsid w:val="00982C1C"/>
    <w:rsid w:val="00985E41"/>
    <w:rsid w:val="00986A44"/>
    <w:rsid w:val="009905FD"/>
    <w:rsid w:val="0099623F"/>
    <w:rsid w:val="00996443"/>
    <w:rsid w:val="009B2BDC"/>
    <w:rsid w:val="009D5916"/>
    <w:rsid w:val="009E2624"/>
    <w:rsid w:val="009E2DB6"/>
    <w:rsid w:val="009E4379"/>
    <w:rsid w:val="00A102BD"/>
    <w:rsid w:val="00A12AD0"/>
    <w:rsid w:val="00A249B2"/>
    <w:rsid w:val="00A30DCF"/>
    <w:rsid w:val="00A44026"/>
    <w:rsid w:val="00A44699"/>
    <w:rsid w:val="00A46E17"/>
    <w:rsid w:val="00A52BC7"/>
    <w:rsid w:val="00A61C77"/>
    <w:rsid w:val="00A67D6B"/>
    <w:rsid w:val="00A70516"/>
    <w:rsid w:val="00A723B7"/>
    <w:rsid w:val="00A7618C"/>
    <w:rsid w:val="00A83183"/>
    <w:rsid w:val="00A86663"/>
    <w:rsid w:val="00A91945"/>
    <w:rsid w:val="00A91EFF"/>
    <w:rsid w:val="00A93148"/>
    <w:rsid w:val="00AA6BBC"/>
    <w:rsid w:val="00AA7499"/>
    <w:rsid w:val="00AD04CF"/>
    <w:rsid w:val="00AE6036"/>
    <w:rsid w:val="00AF09D1"/>
    <w:rsid w:val="00AF19C7"/>
    <w:rsid w:val="00B00453"/>
    <w:rsid w:val="00B00949"/>
    <w:rsid w:val="00B00AA2"/>
    <w:rsid w:val="00B028A8"/>
    <w:rsid w:val="00B1313F"/>
    <w:rsid w:val="00B26AB6"/>
    <w:rsid w:val="00B30098"/>
    <w:rsid w:val="00B53149"/>
    <w:rsid w:val="00B55C85"/>
    <w:rsid w:val="00B56EAD"/>
    <w:rsid w:val="00B630F7"/>
    <w:rsid w:val="00B72372"/>
    <w:rsid w:val="00B733B4"/>
    <w:rsid w:val="00B739D3"/>
    <w:rsid w:val="00B864D7"/>
    <w:rsid w:val="00B90353"/>
    <w:rsid w:val="00B9101E"/>
    <w:rsid w:val="00B96124"/>
    <w:rsid w:val="00BA012F"/>
    <w:rsid w:val="00BA055D"/>
    <w:rsid w:val="00BA0B0E"/>
    <w:rsid w:val="00BA689B"/>
    <w:rsid w:val="00BB05FE"/>
    <w:rsid w:val="00BB1022"/>
    <w:rsid w:val="00BB3854"/>
    <w:rsid w:val="00BB6429"/>
    <w:rsid w:val="00BC532E"/>
    <w:rsid w:val="00BC7B98"/>
    <w:rsid w:val="00BD7EE4"/>
    <w:rsid w:val="00BE1B42"/>
    <w:rsid w:val="00C07775"/>
    <w:rsid w:val="00C12A91"/>
    <w:rsid w:val="00C16DBE"/>
    <w:rsid w:val="00C30C88"/>
    <w:rsid w:val="00C364E0"/>
    <w:rsid w:val="00C456D1"/>
    <w:rsid w:val="00C466AE"/>
    <w:rsid w:val="00C46E98"/>
    <w:rsid w:val="00C653A9"/>
    <w:rsid w:val="00C663FD"/>
    <w:rsid w:val="00C6647E"/>
    <w:rsid w:val="00C72BB7"/>
    <w:rsid w:val="00C75928"/>
    <w:rsid w:val="00C829AC"/>
    <w:rsid w:val="00C84492"/>
    <w:rsid w:val="00C84766"/>
    <w:rsid w:val="00C8797C"/>
    <w:rsid w:val="00CA509E"/>
    <w:rsid w:val="00CA5E73"/>
    <w:rsid w:val="00CC1297"/>
    <w:rsid w:val="00CC6DE7"/>
    <w:rsid w:val="00CD5E76"/>
    <w:rsid w:val="00CE47FB"/>
    <w:rsid w:val="00CE533B"/>
    <w:rsid w:val="00CE786E"/>
    <w:rsid w:val="00CF17AC"/>
    <w:rsid w:val="00D06457"/>
    <w:rsid w:val="00D078E8"/>
    <w:rsid w:val="00D13EA4"/>
    <w:rsid w:val="00D1480E"/>
    <w:rsid w:val="00D22CF3"/>
    <w:rsid w:val="00D372F5"/>
    <w:rsid w:val="00D4058C"/>
    <w:rsid w:val="00D434C3"/>
    <w:rsid w:val="00D449B8"/>
    <w:rsid w:val="00D44BFF"/>
    <w:rsid w:val="00D612DC"/>
    <w:rsid w:val="00D66118"/>
    <w:rsid w:val="00D71D8B"/>
    <w:rsid w:val="00D76F34"/>
    <w:rsid w:val="00D9529E"/>
    <w:rsid w:val="00DA618E"/>
    <w:rsid w:val="00DB0B8E"/>
    <w:rsid w:val="00DC1D62"/>
    <w:rsid w:val="00DD30FB"/>
    <w:rsid w:val="00DE4022"/>
    <w:rsid w:val="00DE7112"/>
    <w:rsid w:val="00DF40A1"/>
    <w:rsid w:val="00DF4FD0"/>
    <w:rsid w:val="00DF722C"/>
    <w:rsid w:val="00DF75E2"/>
    <w:rsid w:val="00E036F4"/>
    <w:rsid w:val="00E05B17"/>
    <w:rsid w:val="00E07F0A"/>
    <w:rsid w:val="00E203D1"/>
    <w:rsid w:val="00E217A0"/>
    <w:rsid w:val="00E32D85"/>
    <w:rsid w:val="00E334DE"/>
    <w:rsid w:val="00E4714A"/>
    <w:rsid w:val="00E55870"/>
    <w:rsid w:val="00E66222"/>
    <w:rsid w:val="00E7246B"/>
    <w:rsid w:val="00E73C2B"/>
    <w:rsid w:val="00E81DC7"/>
    <w:rsid w:val="00E84E41"/>
    <w:rsid w:val="00EB1AC8"/>
    <w:rsid w:val="00EB2B1B"/>
    <w:rsid w:val="00ED123D"/>
    <w:rsid w:val="00ED19ED"/>
    <w:rsid w:val="00ED2DC6"/>
    <w:rsid w:val="00EE25C7"/>
    <w:rsid w:val="00EE563D"/>
    <w:rsid w:val="00EF0B4E"/>
    <w:rsid w:val="00EF55EF"/>
    <w:rsid w:val="00F007CC"/>
    <w:rsid w:val="00F02F80"/>
    <w:rsid w:val="00F06726"/>
    <w:rsid w:val="00F10F15"/>
    <w:rsid w:val="00F13B43"/>
    <w:rsid w:val="00F15486"/>
    <w:rsid w:val="00F30821"/>
    <w:rsid w:val="00F33AF2"/>
    <w:rsid w:val="00F344D3"/>
    <w:rsid w:val="00F34663"/>
    <w:rsid w:val="00F44F5F"/>
    <w:rsid w:val="00F52A77"/>
    <w:rsid w:val="00F631C8"/>
    <w:rsid w:val="00F63434"/>
    <w:rsid w:val="00F7300C"/>
    <w:rsid w:val="00F74D95"/>
    <w:rsid w:val="00F82B7B"/>
    <w:rsid w:val="00F91F4E"/>
    <w:rsid w:val="00F95DE8"/>
    <w:rsid w:val="00FA19B4"/>
    <w:rsid w:val="00FA4B96"/>
    <w:rsid w:val="00FA4D12"/>
    <w:rsid w:val="00FB171C"/>
    <w:rsid w:val="00FC1B51"/>
    <w:rsid w:val="00FE06D3"/>
    <w:rsid w:val="00FF5B84"/>
    <w:rsid w:val="00FF692B"/>
    <w:rsid w:val="00FF754D"/>
    <w:rsid w:val="00FF7CB0"/>
    <w:rsid w:val="02C1531D"/>
    <w:rsid w:val="05465FAD"/>
    <w:rsid w:val="055E005E"/>
    <w:rsid w:val="06616243"/>
    <w:rsid w:val="085E6D37"/>
    <w:rsid w:val="0BCD6AE0"/>
    <w:rsid w:val="0D4224E0"/>
    <w:rsid w:val="0DAB2E51"/>
    <w:rsid w:val="0DCF7FE8"/>
    <w:rsid w:val="0DF77E44"/>
    <w:rsid w:val="0E7867FA"/>
    <w:rsid w:val="0EE77EB9"/>
    <w:rsid w:val="0F0C32A4"/>
    <w:rsid w:val="10886BB5"/>
    <w:rsid w:val="11714F12"/>
    <w:rsid w:val="117A430B"/>
    <w:rsid w:val="11B147AE"/>
    <w:rsid w:val="11B80A78"/>
    <w:rsid w:val="11F05959"/>
    <w:rsid w:val="13073F85"/>
    <w:rsid w:val="14157276"/>
    <w:rsid w:val="14B26F05"/>
    <w:rsid w:val="161A5018"/>
    <w:rsid w:val="169A3A63"/>
    <w:rsid w:val="183D6D9C"/>
    <w:rsid w:val="184639D8"/>
    <w:rsid w:val="1A02029D"/>
    <w:rsid w:val="1A441809"/>
    <w:rsid w:val="1A7A6085"/>
    <w:rsid w:val="1B770817"/>
    <w:rsid w:val="1B7E30B1"/>
    <w:rsid w:val="1C161DDD"/>
    <w:rsid w:val="1C393D1E"/>
    <w:rsid w:val="1C7C1DB2"/>
    <w:rsid w:val="1D8D3097"/>
    <w:rsid w:val="1DA06166"/>
    <w:rsid w:val="1E3429EF"/>
    <w:rsid w:val="1F6E6A1B"/>
    <w:rsid w:val="20783067"/>
    <w:rsid w:val="2092466C"/>
    <w:rsid w:val="20C20786"/>
    <w:rsid w:val="20EA3839"/>
    <w:rsid w:val="21154D5A"/>
    <w:rsid w:val="211762CF"/>
    <w:rsid w:val="2148258B"/>
    <w:rsid w:val="21782F4A"/>
    <w:rsid w:val="222D7E81"/>
    <w:rsid w:val="23925238"/>
    <w:rsid w:val="23983A20"/>
    <w:rsid w:val="23FC5D5D"/>
    <w:rsid w:val="246A0F18"/>
    <w:rsid w:val="24E862E1"/>
    <w:rsid w:val="25C24D84"/>
    <w:rsid w:val="27624129"/>
    <w:rsid w:val="27764078"/>
    <w:rsid w:val="28EC45F2"/>
    <w:rsid w:val="29283150"/>
    <w:rsid w:val="292F2286"/>
    <w:rsid w:val="297A7846"/>
    <w:rsid w:val="2ABE3D6C"/>
    <w:rsid w:val="2BC2163A"/>
    <w:rsid w:val="2BD17130"/>
    <w:rsid w:val="2BE041B6"/>
    <w:rsid w:val="2C183950"/>
    <w:rsid w:val="2C491052"/>
    <w:rsid w:val="2C970D19"/>
    <w:rsid w:val="2D2B0103"/>
    <w:rsid w:val="2D2C31CE"/>
    <w:rsid w:val="2D686211"/>
    <w:rsid w:val="2E6E7857"/>
    <w:rsid w:val="2E725599"/>
    <w:rsid w:val="2F897F15"/>
    <w:rsid w:val="2F9013C4"/>
    <w:rsid w:val="305F1B4D"/>
    <w:rsid w:val="307D0225"/>
    <w:rsid w:val="3186135C"/>
    <w:rsid w:val="318D33AD"/>
    <w:rsid w:val="320F1351"/>
    <w:rsid w:val="32EA3D85"/>
    <w:rsid w:val="3330731C"/>
    <w:rsid w:val="340E5851"/>
    <w:rsid w:val="343155AF"/>
    <w:rsid w:val="344273F0"/>
    <w:rsid w:val="345D63A4"/>
    <w:rsid w:val="34802092"/>
    <w:rsid w:val="3482294F"/>
    <w:rsid w:val="34993154"/>
    <w:rsid w:val="353E4427"/>
    <w:rsid w:val="354C01C6"/>
    <w:rsid w:val="357C0AAC"/>
    <w:rsid w:val="35BD501E"/>
    <w:rsid w:val="368220F2"/>
    <w:rsid w:val="36BC63AA"/>
    <w:rsid w:val="36D36DF1"/>
    <w:rsid w:val="37CF5840"/>
    <w:rsid w:val="37E1553E"/>
    <w:rsid w:val="3848736B"/>
    <w:rsid w:val="3905525C"/>
    <w:rsid w:val="399F120C"/>
    <w:rsid w:val="3AF75BC2"/>
    <w:rsid w:val="3C303181"/>
    <w:rsid w:val="3CDE3DFA"/>
    <w:rsid w:val="3D485717"/>
    <w:rsid w:val="3EDB4242"/>
    <w:rsid w:val="3F3643C1"/>
    <w:rsid w:val="3F591E5E"/>
    <w:rsid w:val="40624D42"/>
    <w:rsid w:val="40A11D0E"/>
    <w:rsid w:val="42116A20"/>
    <w:rsid w:val="422B11BE"/>
    <w:rsid w:val="42C345FA"/>
    <w:rsid w:val="436C6603"/>
    <w:rsid w:val="439711A6"/>
    <w:rsid w:val="43982ECF"/>
    <w:rsid w:val="43D940CE"/>
    <w:rsid w:val="44366F55"/>
    <w:rsid w:val="44564BBE"/>
    <w:rsid w:val="445B0426"/>
    <w:rsid w:val="44A660D0"/>
    <w:rsid w:val="45236B53"/>
    <w:rsid w:val="45343151"/>
    <w:rsid w:val="45400D7C"/>
    <w:rsid w:val="45837C34"/>
    <w:rsid w:val="46454EEA"/>
    <w:rsid w:val="466A5E05"/>
    <w:rsid w:val="48384D06"/>
    <w:rsid w:val="484D0086"/>
    <w:rsid w:val="48F86677"/>
    <w:rsid w:val="491326E5"/>
    <w:rsid w:val="49690EEF"/>
    <w:rsid w:val="4A317C5F"/>
    <w:rsid w:val="4C3141AA"/>
    <w:rsid w:val="4C93024A"/>
    <w:rsid w:val="4DB50BA7"/>
    <w:rsid w:val="4DC35387"/>
    <w:rsid w:val="4E261AA5"/>
    <w:rsid w:val="5060304C"/>
    <w:rsid w:val="50617DF4"/>
    <w:rsid w:val="508A1D61"/>
    <w:rsid w:val="50E579F5"/>
    <w:rsid w:val="50FD51B3"/>
    <w:rsid w:val="51CB04C9"/>
    <w:rsid w:val="521E2DC3"/>
    <w:rsid w:val="54C0055D"/>
    <w:rsid w:val="557853AD"/>
    <w:rsid w:val="55C951EF"/>
    <w:rsid w:val="55DA12AB"/>
    <w:rsid w:val="57B27F05"/>
    <w:rsid w:val="589046EA"/>
    <w:rsid w:val="58C757BE"/>
    <w:rsid w:val="59215342"/>
    <w:rsid w:val="5A1B6236"/>
    <w:rsid w:val="5A83677A"/>
    <w:rsid w:val="5AF13B36"/>
    <w:rsid w:val="5AF44C15"/>
    <w:rsid w:val="5B710DE1"/>
    <w:rsid w:val="5BDF6F15"/>
    <w:rsid w:val="5C883936"/>
    <w:rsid w:val="5D170F36"/>
    <w:rsid w:val="5D360EA9"/>
    <w:rsid w:val="5E882385"/>
    <w:rsid w:val="600357A2"/>
    <w:rsid w:val="611A7247"/>
    <w:rsid w:val="61367605"/>
    <w:rsid w:val="61B9080E"/>
    <w:rsid w:val="61D246F2"/>
    <w:rsid w:val="626A7D5A"/>
    <w:rsid w:val="63072F03"/>
    <w:rsid w:val="64612135"/>
    <w:rsid w:val="65B900D6"/>
    <w:rsid w:val="673565FE"/>
    <w:rsid w:val="6792174F"/>
    <w:rsid w:val="67EE4F89"/>
    <w:rsid w:val="686979DD"/>
    <w:rsid w:val="6885769C"/>
    <w:rsid w:val="68B4746F"/>
    <w:rsid w:val="69586B5E"/>
    <w:rsid w:val="69A2427D"/>
    <w:rsid w:val="69E14DA6"/>
    <w:rsid w:val="6A3C6480"/>
    <w:rsid w:val="6BF3491C"/>
    <w:rsid w:val="6C692E30"/>
    <w:rsid w:val="6CD24D1C"/>
    <w:rsid w:val="6D262AD0"/>
    <w:rsid w:val="6D342192"/>
    <w:rsid w:val="6E5024FA"/>
    <w:rsid w:val="6F4D4C8B"/>
    <w:rsid w:val="6F5B1156"/>
    <w:rsid w:val="6F712646"/>
    <w:rsid w:val="6FB149D1"/>
    <w:rsid w:val="6FC36CFC"/>
    <w:rsid w:val="70FD2C81"/>
    <w:rsid w:val="72871FD2"/>
    <w:rsid w:val="7370719A"/>
    <w:rsid w:val="75D532E5"/>
    <w:rsid w:val="75F32D9F"/>
    <w:rsid w:val="763E33A9"/>
    <w:rsid w:val="76CF5F86"/>
    <w:rsid w:val="77AC443F"/>
    <w:rsid w:val="78650950"/>
    <w:rsid w:val="78A7540C"/>
    <w:rsid w:val="79E87A8A"/>
    <w:rsid w:val="7A010B4C"/>
    <w:rsid w:val="7AA8721A"/>
    <w:rsid w:val="7B8437E3"/>
    <w:rsid w:val="7C2D3525"/>
    <w:rsid w:val="7D29015D"/>
    <w:rsid w:val="7D523EF4"/>
    <w:rsid w:val="7E10135E"/>
    <w:rsid w:val="7EB74ED5"/>
    <w:rsid w:val="7FC5261C"/>
    <w:rsid w:val="7FC7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88" w:lineRule="auto"/>
    </w:pPr>
    <w:rPr>
      <w:rFonts w:asciiTheme="minorHAnsi" w:hAnsiTheme="minorHAnsi" w:eastAsiaTheme="minorEastAsia" w:cstheme="minorHAnsi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outlineLvl w:val="0"/>
    </w:pPr>
    <w:rPr>
      <w:b/>
      <w:bCs/>
      <w:sz w:val="40"/>
      <w:szCs w:val="40"/>
    </w:rPr>
  </w:style>
  <w:style w:type="paragraph" w:styleId="3">
    <w:name w:val="heading 2"/>
    <w:basedOn w:val="1"/>
    <w:next w:val="1"/>
    <w:link w:val="43"/>
    <w:unhideWhenUsed/>
    <w:qFormat/>
    <w:uiPriority w:val="9"/>
    <w:pPr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link w:val="50"/>
    <w:unhideWhenUsed/>
    <w:qFormat/>
    <w:uiPriority w:val="9"/>
    <w:pPr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4"/>
    <w:unhideWhenUsed/>
    <w:qFormat/>
    <w:uiPriority w:val="9"/>
    <w:pPr>
      <w:outlineLvl w:val="3"/>
    </w:pPr>
    <w:rPr>
      <w:b/>
      <w:bCs/>
    </w:rPr>
  </w:style>
  <w:style w:type="paragraph" w:styleId="6">
    <w:name w:val="heading 5"/>
    <w:basedOn w:val="1"/>
    <w:next w:val="1"/>
    <w:link w:val="4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4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4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4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4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26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paragraph" w:styleId="12">
    <w:name w:val="Body Text"/>
    <w:basedOn w:val="1"/>
    <w:link w:val="41"/>
    <w:semiHidden/>
    <w:unhideWhenUsed/>
    <w:qFormat/>
    <w:uiPriority w:val="99"/>
    <w:pPr>
      <w:spacing w:after="120"/>
    </w:pPr>
  </w:style>
  <w:style w:type="paragraph" w:styleId="13">
    <w:name w:val="Balloon Text"/>
    <w:basedOn w:val="1"/>
    <w:link w:val="27"/>
    <w:qFormat/>
    <w:uiPriority w:val="99"/>
    <w:rPr>
      <w:rFonts w:ascii="Segoe UI" w:hAnsi="Segoe UI" w:cs="Segoe UI"/>
      <w:sz w:val="18"/>
      <w:szCs w:val="18"/>
    </w:rPr>
  </w:style>
  <w:style w:type="paragraph" w:styleId="14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5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51"/>
    <w:qFormat/>
    <w:uiPriority w:val="11"/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9"/>
    <w:qFormat/>
    <w:uiPriority w:val="10"/>
    <w:pPr>
      <w:outlineLvl w:val="0"/>
    </w:pPr>
    <w:rPr>
      <w:b/>
      <w:bCs/>
      <w:sz w:val="56"/>
      <w:szCs w:val="56"/>
    </w:rPr>
  </w:style>
  <w:style w:type="paragraph" w:styleId="19">
    <w:name w:val="annotation subject"/>
    <w:basedOn w:val="11"/>
    <w:next w:val="11"/>
    <w:link w:val="28"/>
    <w:qFormat/>
    <w:uiPriority w:val="99"/>
    <w:pPr>
      <w:spacing w:after="200"/>
    </w:pPr>
    <w:rPr>
      <w:rFonts w:ascii="Calibri" w:hAnsi="Calibri" w:eastAsia="Calibri" w:cs="宋体"/>
      <w:b/>
      <w:bCs/>
    </w:rPr>
  </w:style>
  <w:style w:type="table" w:styleId="2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23">
    <w:name w:val="Strong"/>
    <w:basedOn w:val="22"/>
    <w:qFormat/>
    <w:uiPriority w:val="22"/>
    <w:rPr>
      <w:b/>
    </w:rPr>
  </w:style>
  <w:style w:type="character" w:styleId="24">
    <w:name w:val="Hyperlink"/>
    <w:basedOn w:val="22"/>
    <w:qFormat/>
    <w:uiPriority w:val="99"/>
    <w:rPr>
      <w:color w:val="0000FF"/>
      <w:u w:val="single"/>
    </w:rPr>
  </w:style>
  <w:style w:type="character" w:styleId="25">
    <w:name w:val="annotation reference"/>
    <w:basedOn w:val="22"/>
    <w:qFormat/>
    <w:uiPriority w:val="99"/>
    <w:rPr>
      <w:sz w:val="16"/>
      <w:szCs w:val="16"/>
    </w:rPr>
  </w:style>
  <w:style w:type="character" w:customStyle="1" w:styleId="26">
    <w:name w:val="Comment Text Char"/>
    <w:basedOn w:val="22"/>
    <w:link w:val="11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27">
    <w:name w:val="Balloon Text Char"/>
    <w:basedOn w:val="22"/>
    <w:link w:val="13"/>
    <w:qFormat/>
    <w:uiPriority w:val="99"/>
    <w:rPr>
      <w:rFonts w:ascii="Segoe UI" w:hAnsi="Segoe UI" w:cs="Segoe UI"/>
      <w:sz w:val="18"/>
      <w:szCs w:val="18"/>
    </w:rPr>
  </w:style>
  <w:style w:type="character" w:customStyle="1" w:styleId="28">
    <w:name w:val="Comment Subject Char"/>
    <w:basedOn w:val="26"/>
    <w:link w:val="19"/>
    <w:qFormat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9">
    <w:name w:val="SM caption"/>
    <w:basedOn w:val="1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paragraph" w:customStyle="1" w:styleId="30">
    <w:name w:val="EndNote Bibliography"/>
    <w:basedOn w:val="1"/>
    <w:link w:val="31"/>
    <w:qFormat/>
    <w:uiPriority w:val="0"/>
    <w:pPr>
      <w:widowControl w:val="0"/>
      <w:jc w:val="both"/>
    </w:pPr>
    <w:rPr>
      <w:rFonts w:eastAsia="宋体" w:cs="Calibri"/>
      <w:sz w:val="20"/>
      <w:szCs w:val="24"/>
    </w:rPr>
  </w:style>
  <w:style w:type="character" w:customStyle="1" w:styleId="31">
    <w:name w:val="EndNote Bibliography 字符"/>
    <w:basedOn w:val="22"/>
    <w:link w:val="30"/>
    <w:qFormat/>
    <w:uiPriority w:val="0"/>
    <w:rPr>
      <w:rFonts w:ascii="Calibri" w:hAnsi="Calibri" w:cs="Calibri"/>
      <w:kern w:val="2"/>
      <w:szCs w:val="24"/>
    </w:rPr>
  </w:style>
  <w:style w:type="character" w:customStyle="1" w:styleId="32">
    <w:name w:val="Header Char"/>
    <w:basedOn w:val="22"/>
    <w:link w:val="15"/>
    <w:qFormat/>
    <w:uiPriority w:val="99"/>
    <w:rPr>
      <w:rFonts w:asciiTheme="minorHAnsi" w:hAnsiTheme="minorHAnsi" w:eastAsiaTheme="minorEastAsia" w:cstheme="minorHAnsi"/>
      <w:kern w:val="2"/>
      <w:sz w:val="18"/>
      <w:szCs w:val="18"/>
    </w:rPr>
  </w:style>
  <w:style w:type="character" w:customStyle="1" w:styleId="33">
    <w:name w:val="Footer Char"/>
    <w:basedOn w:val="22"/>
    <w:link w:val="14"/>
    <w:qFormat/>
    <w:uiPriority w:val="99"/>
    <w:rPr>
      <w:rFonts w:asciiTheme="minorHAnsi" w:hAnsiTheme="minorHAnsi" w:eastAsiaTheme="minorEastAsia" w:cstheme="minorHAnsi"/>
      <w:kern w:val="2"/>
      <w:sz w:val="18"/>
      <w:szCs w:val="18"/>
    </w:rPr>
  </w:style>
  <w:style w:type="paragraph" w:customStyle="1" w:styleId="34">
    <w:name w:val="EndNote Bibliography Title"/>
    <w:basedOn w:val="1"/>
    <w:link w:val="35"/>
    <w:qFormat/>
    <w:uiPriority w:val="0"/>
    <w:pPr>
      <w:jc w:val="center"/>
    </w:pPr>
    <w:rPr>
      <w:rFonts w:cs="Calibri"/>
      <w:sz w:val="20"/>
    </w:rPr>
  </w:style>
  <w:style w:type="character" w:customStyle="1" w:styleId="35">
    <w:name w:val="EndNote Bibliography Title Char"/>
    <w:basedOn w:val="22"/>
    <w:link w:val="34"/>
    <w:qFormat/>
    <w:uiPriority w:val="0"/>
    <w:rPr>
      <w:rFonts w:ascii="Calibri" w:hAnsi="Calibri" w:eastAsia="Calibri" w:cs="Calibri"/>
      <w:szCs w:val="22"/>
      <w:lang w:eastAsia="en-US"/>
    </w:rPr>
  </w:style>
  <w:style w:type="paragraph" w:customStyle="1" w:styleId="36">
    <w:name w:val="17babae4-54f0-44fa-a444-1068224df0ac"/>
    <w:basedOn w:val="18"/>
    <w:next w:val="37"/>
    <w:link w:val="38"/>
    <w:qFormat/>
    <w:uiPriority w:val="0"/>
    <w:pPr>
      <w:adjustRightInd w:val="0"/>
    </w:pPr>
    <w:rPr>
      <w:rFonts w:ascii="微软雅黑" w:hAnsi="微软雅黑" w:eastAsia="微软雅黑"/>
      <w:color w:val="000000"/>
      <w:sz w:val="40"/>
      <w:szCs w:val="28"/>
    </w:rPr>
  </w:style>
  <w:style w:type="paragraph" w:customStyle="1" w:styleId="37">
    <w:name w:val="acbfdd8b-e11b-4d36-88ff-6049b138f862"/>
    <w:basedOn w:val="12"/>
    <w:link w:val="40"/>
    <w:qFormat/>
    <w:uiPriority w:val="0"/>
    <w:pPr>
      <w:adjustRightInd w:val="0"/>
      <w:spacing w:after="0"/>
    </w:pPr>
    <w:rPr>
      <w:rFonts w:ascii="微软雅黑" w:hAnsi="微软雅黑" w:eastAsia="微软雅黑"/>
      <w:color w:val="000000"/>
    </w:rPr>
  </w:style>
  <w:style w:type="character" w:customStyle="1" w:styleId="38">
    <w:name w:val="17babae4-54f0-44fa-a444-1068224df0ac Char"/>
    <w:basedOn w:val="22"/>
    <w:link w:val="36"/>
    <w:qFormat/>
    <w:uiPriority w:val="0"/>
    <w:rPr>
      <w:rFonts w:ascii="微软雅黑" w:hAnsi="微软雅黑" w:eastAsia="微软雅黑" w:cstheme="majorBidi"/>
      <w:b/>
      <w:bCs/>
      <w:color w:val="000000"/>
      <w:sz w:val="40"/>
      <w:szCs w:val="28"/>
      <w:lang w:eastAsia="en-US"/>
    </w:rPr>
  </w:style>
  <w:style w:type="character" w:customStyle="1" w:styleId="39">
    <w:name w:val="Title Char"/>
    <w:basedOn w:val="22"/>
    <w:link w:val="18"/>
    <w:qFormat/>
    <w:uiPriority w:val="10"/>
    <w:rPr>
      <w:rFonts w:asciiTheme="minorHAnsi" w:hAnsiTheme="minorHAnsi" w:eastAsiaTheme="minorEastAsia" w:cstheme="minorHAnsi"/>
      <w:b/>
      <w:bCs/>
      <w:kern w:val="2"/>
      <w:sz w:val="56"/>
      <w:szCs w:val="56"/>
    </w:rPr>
  </w:style>
  <w:style w:type="character" w:customStyle="1" w:styleId="40">
    <w:name w:val="acbfdd8b-e11b-4d36-88ff-6049b138f862 Char"/>
    <w:basedOn w:val="22"/>
    <w:link w:val="37"/>
    <w:qFormat/>
    <w:uiPriority w:val="0"/>
    <w:rPr>
      <w:rFonts w:ascii="微软雅黑" w:hAnsi="微软雅黑" w:eastAsia="微软雅黑" w:cs="宋体"/>
      <w:color w:val="000000"/>
      <w:sz w:val="22"/>
      <w:szCs w:val="28"/>
      <w:lang w:eastAsia="en-US"/>
    </w:rPr>
  </w:style>
  <w:style w:type="character" w:customStyle="1" w:styleId="41">
    <w:name w:val="Body Text Char"/>
    <w:basedOn w:val="22"/>
    <w:link w:val="12"/>
    <w:semiHidden/>
    <w:qFormat/>
    <w:uiPriority w:val="99"/>
    <w:rPr>
      <w:rFonts w:ascii="Calibri" w:hAnsi="Calibri" w:eastAsia="Calibri" w:cs="宋体"/>
      <w:sz w:val="22"/>
      <w:szCs w:val="22"/>
      <w:lang w:eastAsia="en-US"/>
    </w:rPr>
  </w:style>
  <w:style w:type="character" w:customStyle="1" w:styleId="42">
    <w:name w:val="Heading 1 Char"/>
    <w:basedOn w:val="22"/>
    <w:link w:val="2"/>
    <w:qFormat/>
    <w:uiPriority w:val="9"/>
    <w:rPr>
      <w:rFonts w:asciiTheme="minorHAnsi" w:hAnsiTheme="minorHAnsi" w:eastAsiaTheme="minorEastAsia" w:cstheme="minorHAnsi"/>
      <w:b/>
      <w:bCs/>
      <w:kern w:val="2"/>
      <w:sz w:val="40"/>
      <w:szCs w:val="40"/>
    </w:rPr>
  </w:style>
  <w:style w:type="character" w:customStyle="1" w:styleId="43">
    <w:name w:val="Heading 2 Char"/>
    <w:basedOn w:val="22"/>
    <w:link w:val="3"/>
    <w:qFormat/>
    <w:uiPriority w:val="9"/>
    <w:rPr>
      <w:rFonts w:asciiTheme="minorHAnsi" w:hAnsiTheme="minorHAnsi" w:eastAsiaTheme="minorEastAsia" w:cstheme="minorHAnsi"/>
      <w:b/>
      <w:bCs/>
      <w:kern w:val="2"/>
      <w:sz w:val="36"/>
      <w:szCs w:val="36"/>
    </w:rPr>
  </w:style>
  <w:style w:type="character" w:customStyle="1" w:styleId="44">
    <w:name w:val="Heading 4 Char"/>
    <w:basedOn w:val="22"/>
    <w:link w:val="5"/>
    <w:qFormat/>
    <w:uiPriority w:val="9"/>
    <w:rPr>
      <w:rFonts w:asciiTheme="minorHAnsi" w:hAnsiTheme="minorHAnsi" w:eastAsiaTheme="minorEastAsia" w:cstheme="minorHAnsi"/>
      <w:b/>
      <w:bCs/>
      <w:kern w:val="2"/>
      <w:sz w:val="28"/>
      <w:szCs w:val="28"/>
    </w:rPr>
  </w:style>
  <w:style w:type="character" w:customStyle="1" w:styleId="45">
    <w:name w:val="Heading 5 Char"/>
    <w:basedOn w:val="22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</w:rPr>
  </w:style>
  <w:style w:type="character" w:customStyle="1" w:styleId="46">
    <w:name w:val="Heading 6 Char"/>
    <w:basedOn w:val="22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8"/>
      <w:szCs w:val="28"/>
    </w:rPr>
  </w:style>
  <w:style w:type="character" w:customStyle="1" w:styleId="47">
    <w:name w:val="Heading 7 Char"/>
    <w:basedOn w:val="22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8">
    <w:name w:val="Heading 8 Char"/>
    <w:basedOn w:val="22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9">
    <w:name w:val="Heading 9 Char"/>
    <w:basedOn w:val="22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0">
    <w:name w:val="Heading 3 Char"/>
    <w:basedOn w:val="22"/>
    <w:link w:val="4"/>
    <w:qFormat/>
    <w:uiPriority w:val="9"/>
    <w:rPr>
      <w:rFonts w:asciiTheme="minorHAnsi" w:hAnsiTheme="minorHAnsi" w:eastAsiaTheme="minorEastAsia" w:cstheme="minorHAnsi"/>
      <w:b/>
      <w:bCs/>
      <w:kern w:val="2"/>
      <w:sz w:val="32"/>
      <w:szCs w:val="32"/>
    </w:rPr>
  </w:style>
  <w:style w:type="character" w:customStyle="1" w:styleId="51">
    <w:name w:val="Subtitle Char"/>
    <w:basedOn w:val="22"/>
    <w:link w:val="16"/>
    <w:qFormat/>
    <w:uiPriority w:val="11"/>
    <w:rPr>
      <w:rFonts w:asciiTheme="minorHAnsi" w:hAnsiTheme="minorHAnsi" w:eastAsiaTheme="minorEastAsia" w:cstheme="minorHAnsi"/>
      <w:kern w:val="2"/>
      <w:sz w:val="28"/>
      <w:szCs w:val="28"/>
    </w:rPr>
  </w:style>
  <w:style w:type="paragraph" w:styleId="52">
    <w:name w:val="Quote"/>
    <w:basedOn w:val="1"/>
    <w:next w:val="1"/>
    <w:link w:val="5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3">
    <w:name w:val="Quote Char"/>
    <w:basedOn w:val="22"/>
    <w:link w:val="52"/>
    <w:qFormat/>
    <w:uiPriority w:val="29"/>
    <w:rPr>
      <w:rFonts w:asciiTheme="minorHAnsi" w:hAnsiTheme="minorHAnsi" w:eastAsiaTheme="minorEastAsia" w:cstheme="minorHAnsi"/>
      <w:i/>
      <w:iCs/>
      <w:color w:val="404040" w:themeColor="text1" w:themeTint="BF"/>
      <w:kern w:val="2"/>
      <w:sz w:val="28"/>
      <w:szCs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4">
    <w:name w:val="List Paragraph"/>
    <w:basedOn w:val="1"/>
    <w:qFormat/>
    <w:uiPriority w:val="34"/>
    <w:pPr>
      <w:numPr>
        <w:ilvl w:val="0"/>
        <w:numId w:val="1"/>
      </w:numPr>
      <w:contextualSpacing/>
    </w:pPr>
  </w:style>
  <w:style w:type="character" w:customStyle="1" w:styleId="55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56">
    <w:name w:val="Intense Quote"/>
    <w:basedOn w:val="1"/>
    <w:next w:val="1"/>
    <w:link w:val="5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57">
    <w:name w:val="Intense Quote Char"/>
    <w:basedOn w:val="22"/>
    <w:link w:val="56"/>
    <w:qFormat/>
    <w:uiPriority w:val="30"/>
    <w:rPr>
      <w:rFonts w:asciiTheme="minorHAnsi" w:hAnsiTheme="minorHAnsi" w:eastAsiaTheme="minorEastAsia" w:cstheme="minorHAnsi"/>
      <w:i/>
      <w:iCs/>
      <w:color w:val="104862" w:themeColor="accent1" w:themeShade="BF"/>
      <w:kern w:val="2"/>
      <w:sz w:val="28"/>
      <w:szCs w:val="28"/>
    </w:rPr>
  </w:style>
  <w:style w:type="character" w:customStyle="1" w:styleId="58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7.tiff"/><Relationship Id="rId15" Type="http://schemas.openxmlformats.org/officeDocument/2006/relationships/image" Target="media/image6.tiff"/><Relationship Id="rId14" Type="http://schemas.openxmlformats.org/officeDocument/2006/relationships/image" Target="media/image5.tiff"/><Relationship Id="rId13" Type="http://schemas.openxmlformats.org/officeDocument/2006/relationships/image" Target="media/image4.tiff"/><Relationship Id="rId12" Type="http://schemas.openxmlformats.org/officeDocument/2006/relationships/image" Target="media/image3.tiff"/><Relationship Id="rId11" Type="http://schemas.openxmlformats.org/officeDocument/2006/relationships/image" Target="media/image2.tiff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 black">
      <a:majorFont>
        <a:latin typeface="Arial Black"/>
        <a:ea typeface="微软雅黑"/>
        <a:cs typeface=""/>
      </a:majorFont>
      <a:minorFont>
        <a:latin typeface="Arial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0E1CF-5164-439C-BCD9-BD974EBC1B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The National Academies</Company>
  <Pages>6</Pages>
  <Words>615</Words>
  <Characters>3694</Characters>
  <Lines>597</Lines>
  <Paragraphs>168</Paragraphs>
  <TotalTime>70</TotalTime>
  <ScaleCrop>false</ScaleCrop>
  <LinksUpToDate>false</LinksUpToDate>
  <CharactersWithSpaces>4304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2025-02-03T02:27:00Z</dcterms:created>
  <dc:creator>Shuler, Megan</dc:creator>
  <cp:lastModifiedBy>Alice-雪碧</cp:lastModifiedBy>
  <dcterms:modified xsi:type="dcterms:W3CDTF">2025-04-25T07:16:04Z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56AADB0281394694A07DB6BED8AD1636_13</vt:lpwstr>
  </property>
  <property fmtid="{D5CDD505-2E9C-101B-9397-08002B2CF9AE}" pid="4" name="GrammarlyDocumentId">
    <vt:lpwstr>7e52d6748217136ba37428c179a9114ac46afe27978467664f74bf7adec9e34c</vt:lpwstr>
  </property>
  <property fmtid="{D5CDD505-2E9C-101B-9397-08002B2CF9AE}" pid="5" name="KSOTemplateDocerSaveRecord">
    <vt:lpwstr>eyJoZGlkIjoiMjkzZGRiNjRiZDJjYzQ3Yjg3NjZlOGI0NmY3MzRjMzciLCJ1c2VySWQiOiI0MjI5MjcwMDMifQ==</vt:lpwstr>
  </property>
</Properties>
</file>