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B61A6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2F5DCB2A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 w:hint="eastAsia"/>
          <w:noProof/>
          <w:sz w:val="28"/>
          <w:szCs w:val="32"/>
        </w:rPr>
        <w:drawing>
          <wp:inline distT="0" distB="0" distL="0" distR="0" wp14:anchorId="063C8075" wp14:editId="5A18C0EC">
            <wp:extent cx="5274310" cy="4890135"/>
            <wp:effectExtent l="0" t="0" r="2540" b="5715"/>
            <wp:docPr id="9748088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08874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7C407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Figure S1. Targeting Specificity of the Peptide RWYD for </w:t>
      </w:r>
      <w:r>
        <w:rPr>
          <w:rFonts w:ascii="Times New Roman" w:hAnsi="Times New Roman" w:cs="Times New Roman" w:hint="eastAsia"/>
          <w:sz w:val="24"/>
          <w:szCs w:val="28"/>
        </w:rPr>
        <w:t>LUAD</w:t>
      </w:r>
      <w:r>
        <w:rPr>
          <w:rFonts w:ascii="Times New Roman" w:hAnsi="Times New Roman" w:cs="Times New Roman"/>
          <w:sz w:val="24"/>
          <w:szCs w:val="28"/>
        </w:rPr>
        <w:t xml:space="preserve"> Cells. </w:t>
      </w:r>
      <w:r>
        <w:rPr>
          <w:rFonts w:ascii="Times New Roman" w:hAnsi="Times New Roman" w:cs="Times New Roman" w:hint="eastAsia"/>
          <w:sz w:val="24"/>
          <w:szCs w:val="28"/>
        </w:rPr>
        <w:t>a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expression of integrin α6 in </w:t>
      </w:r>
      <w:r>
        <w:rPr>
          <w:rFonts w:ascii="Times New Roman" w:hAnsi="Times New Roman" w:cs="Times New Roman" w:hint="eastAsia"/>
          <w:sz w:val="24"/>
          <w:szCs w:val="28"/>
        </w:rPr>
        <w:t>LUAD</w:t>
      </w:r>
      <w:r>
        <w:rPr>
          <w:rFonts w:ascii="Times New Roman" w:hAnsi="Times New Roman" w:cs="Times New Roman"/>
          <w:sz w:val="24"/>
          <w:szCs w:val="28"/>
        </w:rPr>
        <w:t xml:space="preserve"> cell lines was determined by flow cytometry; </w:t>
      </w:r>
      <w:r>
        <w:rPr>
          <w:rFonts w:ascii="Times New Roman" w:hAnsi="Times New Roman" w:cs="Times New Roman" w:hint="eastAsia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binding of polypeptides to </w:t>
      </w:r>
      <w:r>
        <w:rPr>
          <w:rFonts w:ascii="Times New Roman" w:hAnsi="Times New Roman" w:cs="Times New Roman" w:hint="eastAsia"/>
          <w:sz w:val="24"/>
          <w:szCs w:val="28"/>
        </w:rPr>
        <w:t xml:space="preserve">LUAD </w:t>
      </w:r>
      <w:r>
        <w:rPr>
          <w:rFonts w:ascii="Times New Roman" w:hAnsi="Times New Roman" w:cs="Times New Roman"/>
          <w:sz w:val="24"/>
          <w:szCs w:val="28"/>
        </w:rPr>
        <w:t xml:space="preserve">cells was determined by flow cytometry; </w:t>
      </w:r>
      <w:r>
        <w:rPr>
          <w:rFonts w:ascii="Times New Roman" w:hAnsi="Times New Roman" w:cs="Times New Roman" w:hint="eastAsia"/>
          <w:sz w:val="24"/>
          <w:szCs w:val="28"/>
        </w:rPr>
        <w:t>CG7: Isotype control; c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Quantitative expression of integrin α6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in</w:t>
      </w:r>
      <w:r>
        <w:rPr>
          <w:rFonts w:ascii="Times New Roman" w:hAnsi="Times New Roman" w:cs="Times New Roman" w:hint="eastAsia"/>
          <w:sz w:val="24"/>
          <w:szCs w:val="28"/>
        </w:rPr>
        <w:t xml:space="preserve"> LUAD</w:t>
      </w:r>
      <w:r>
        <w:rPr>
          <w:rFonts w:ascii="Times New Roman" w:hAnsi="Times New Roman" w:cs="Times New Roman"/>
          <w:sz w:val="24"/>
          <w:szCs w:val="28"/>
        </w:rPr>
        <w:t xml:space="preserve"> cell lines; </w:t>
      </w:r>
      <w:r>
        <w:rPr>
          <w:rFonts w:ascii="Times New Roman" w:hAnsi="Times New Roman" w:cs="Times New Roman" w:hint="eastAsia"/>
          <w:sz w:val="24"/>
          <w:szCs w:val="28"/>
        </w:rPr>
        <w:t>d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binding of polypeptides to </w:t>
      </w:r>
      <w:r>
        <w:rPr>
          <w:rFonts w:ascii="Times New Roman" w:hAnsi="Times New Roman" w:cs="Times New Roman" w:hint="eastAsia"/>
          <w:sz w:val="24"/>
          <w:szCs w:val="28"/>
        </w:rPr>
        <w:t>LUAD</w:t>
      </w:r>
      <w:r>
        <w:rPr>
          <w:rFonts w:ascii="Times New Roman" w:hAnsi="Times New Roman" w:cs="Times New Roman"/>
          <w:sz w:val="24"/>
          <w:szCs w:val="28"/>
        </w:rPr>
        <w:t xml:space="preserve"> cells was quantitatively analyzed; </w:t>
      </w:r>
      <w:r>
        <w:rPr>
          <w:rFonts w:ascii="Times New Roman" w:hAnsi="Times New Roman" w:cs="Times New Roman" w:hint="eastAsia"/>
          <w:sz w:val="24"/>
          <w:szCs w:val="28"/>
        </w:rPr>
        <w:t>e</w:t>
      </w:r>
      <w:r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The correlation between the expression of integrin α6 in human </w:t>
      </w:r>
      <w:r>
        <w:rPr>
          <w:rFonts w:ascii="Times New Roman" w:hAnsi="Times New Roman" w:cs="Times New Roman" w:hint="eastAsia"/>
          <w:sz w:val="24"/>
          <w:szCs w:val="28"/>
        </w:rPr>
        <w:t>LUAD</w:t>
      </w:r>
      <w:r>
        <w:rPr>
          <w:rFonts w:ascii="Times New Roman" w:hAnsi="Times New Roman" w:cs="Times New Roman"/>
          <w:sz w:val="24"/>
          <w:szCs w:val="28"/>
        </w:rPr>
        <w:t xml:space="preserve"> cells and the binding ability of polypeptide to cells was analyzed. </w:t>
      </w:r>
      <w:r>
        <w:rPr>
          <w:rFonts w:ascii="Times New Roman" w:hAnsi="Times New Roman" w:cs="Times New Roman" w:hint="eastAsia"/>
          <w:sz w:val="24"/>
          <w:szCs w:val="28"/>
        </w:rPr>
        <w:t xml:space="preserve">The multiple unpaired t test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>. Data were presented as the mean</w:t>
      </w:r>
      <w:r>
        <w:rPr>
          <w:rFonts w:ascii="Times New Roman" w:hAnsi="Times New Roman" w:cs="Times New Roman" w:hint="eastAsia"/>
          <w:sz w:val="24"/>
          <w:szCs w:val="28"/>
        </w:rPr>
        <w:t>±</w:t>
      </w:r>
      <w:r>
        <w:rPr>
          <w:rFonts w:ascii="Times New Roman" w:hAnsi="Times New Roman" w:cs="Times New Roman" w:hint="eastAsia"/>
          <w:sz w:val="24"/>
          <w:szCs w:val="28"/>
        </w:rPr>
        <w:t xml:space="preserve">SD, SD: standard deviation. </w:t>
      </w:r>
      <w:r>
        <w:rPr>
          <w:rFonts w:ascii="Times New Roman" w:hAnsi="Times New Roman" w:cs="Times New Roman"/>
          <w:sz w:val="24"/>
          <w:szCs w:val="28"/>
        </w:rPr>
        <w:t>****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0.0001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28381C1B" w14:textId="77777777" w:rsidR="000120F1" w:rsidRDefault="000120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0B9B104D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2AE1553" wp14:editId="6B74C0BB">
            <wp:extent cx="5274310" cy="4115435"/>
            <wp:effectExtent l="0" t="0" r="2540" b="0"/>
            <wp:docPr id="114526499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264991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D214E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S2. The binding of RWYD to LUAD cells was verified by cellular immunofluorescence assay. Scare bars: 20uM (white).</w:t>
      </w:r>
    </w:p>
    <w:p w14:paraId="1683842E" w14:textId="77777777" w:rsidR="000120F1" w:rsidRDefault="000120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4E72A031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912ACE2" wp14:editId="5C7F610C">
            <wp:extent cx="5274310" cy="6131560"/>
            <wp:effectExtent l="0" t="0" r="2540" b="2540"/>
            <wp:docPr id="17899692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69258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5C95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S3. Animal fluorescence imaging verified the targeting of RWYD. a)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Intraperitoneally injected 5mg/kg RWYD-Cy5 and CG-7 Cy5, respectively, in vivo fluorescence dynamic imaging of A549 nude mouse transplanted tumor model; b) In vitro fluorescence imaging of 24h: tumor, heart, liver, spleen, lung, kidney; c) In vivo fluorescence dynamic imaging of Lewis transplanted tumor model by injecting 5mg/kg RWYD-Cy5 and the same molar amount of Cy5 into the tail vein, respectively; d) In vitro fluorescence imaging of 24h: tumor, heart, liver, spleen, lung, kidney; e-f) Quantitative analysis of fluorescence intensity in vitro. The multiple unpaired t test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>. Data were presented as the mean</w:t>
      </w:r>
      <w:r>
        <w:rPr>
          <w:rFonts w:ascii="Times New Roman" w:hAnsi="Times New Roman" w:cs="Times New Roman" w:hint="eastAsia"/>
          <w:sz w:val="24"/>
          <w:szCs w:val="28"/>
        </w:rPr>
        <w:t>±</w:t>
      </w:r>
      <w:r>
        <w:rPr>
          <w:rFonts w:ascii="Times New Roman" w:hAnsi="Times New Roman" w:cs="Times New Roman" w:hint="eastAsia"/>
          <w:sz w:val="24"/>
          <w:szCs w:val="28"/>
        </w:rPr>
        <w:t xml:space="preserve">SD, SD: standard </w:t>
      </w:r>
      <w:r>
        <w:rPr>
          <w:rFonts w:ascii="Times New Roman" w:hAnsi="Times New Roman" w:cs="Times New Roman" w:hint="eastAsia"/>
          <w:sz w:val="24"/>
          <w:szCs w:val="28"/>
        </w:rPr>
        <w:lastRenderedPageBreak/>
        <w:t>deviation. 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sz w:val="24"/>
          <w:szCs w:val="28"/>
        </w:rPr>
        <w:t xml:space="preserve"> &lt; 0.01, ****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sz w:val="24"/>
          <w:szCs w:val="28"/>
        </w:rPr>
        <w:t xml:space="preserve"> &lt; 0.0001.</w:t>
      </w:r>
    </w:p>
    <w:p w14:paraId="0A847F5F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18171EAE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1DBAE872" wp14:editId="26742426">
            <wp:extent cx="5274310" cy="5914390"/>
            <wp:effectExtent l="0" t="0" r="2540" b="0"/>
            <wp:docPr id="3327769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76925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1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0B168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S4. </w:t>
      </w:r>
      <w:r>
        <w:rPr>
          <w:rFonts w:ascii="Times New Roman" w:hAnsi="Times New Roman" w:cs="Times New Roman" w:hint="eastAsia"/>
          <w:sz w:val="24"/>
          <w:szCs w:val="24"/>
        </w:rPr>
        <w:t xml:space="preserve">Characteristics of RWYD-MMAE. </w:t>
      </w:r>
      <w:r>
        <w:rPr>
          <w:rFonts w:ascii="Times New Roman" w:hAnsi="Times New Roman" w:cs="Times New Roman"/>
          <w:sz w:val="24"/>
          <w:szCs w:val="24"/>
        </w:rPr>
        <w:t>a) High-performance liquid chromatography (HPLC) analysis was conducted to assess the purity of RWYD and RWYD-MMAE; b) The mass spectrometry</w:t>
      </w:r>
      <w:r>
        <w:rPr>
          <w:rFonts w:ascii="Times New Roman" w:hAnsi="Times New Roman" w:cs="Times New Roman" w:hint="eastAsia"/>
          <w:sz w:val="24"/>
          <w:szCs w:val="24"/>
        </w:rPr>
        <w:t xml:space="preserve"> (MS)</w:t>
      </w:r>
      <w:r>
        <w:rPr>
          <w:rFonts w:ascii="Times New Roman" w:hAnsi="Times New Roman" w:cs="Times New Roman"/>
          <w:sz w:val="24"/>
          <w:szCs w:val="24"/>
        </w:rPr>
        <w:t xml:space="preserve"> analysis of RWYD and RWYD-MMAE; c-d) Particle size changes of RWYD-MMAE in PBS (PH 7.4) with and without fetal bovine serum (FBS, 10%) within 5h measured by 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Malvern </w:t>
      </w:r>
      <w:proofErr w:type="spellStart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>Zetasizer</w:t>
      </w:r>
      <w:proofErr w:type="spellEnd"/>
      <w:r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 Nano-ZS instrument</w:t>
      </w:r>
      <w:r>
        <w:rPr>
          <w:rFonts w:ascii="Times New Roman" w:hAnsi="Times New Roman" w:cs="Times New Roman"/>
          <w:sz w:val="24"/>
          <w:szCs w:val="24"/>
        </w:rPr>
        <w:t>; e)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Concentration-time curves of RWYD-MMAE in human lysosomes and PBS</w:t>
      </w:r>
      <w:r>
        <w:rPr>
          <w:rFonts w:ascii="Times New Roman" w:hAnsi="Times New Roman" w:cs="Times New Roman" w:hint="eastAsia"/>
          <w:sz w:val="24"/>
          <w:szCs w:val="24"/>
        </w:rPr>
        <w:t xml:space="preserve"> matrix</w:t>
      </w:r>
      <w:r>
        <w:rPr>
          <w:rFonts w:ascii="Times New Roman" w:hAnsi="Times New Roman" w:cs="Times New Roman"/>
          <w:sz w:val="24"/>
          <w:szCs w:val="24"/>
        </w:rPr>
        <w:t xml:space="preserve"> following incubation; f) Pharmacokinetic profiles of </w:t>
      </w:r>
      <w:r>
        <w:rPr>
          <w:rFonts w:ascii="Times New Roman" w:hAnsi="Times New Roman" w:cs="Times New Roman" w:hint="eastAsia"/>
          <w:sz w:val="24"/>
          <w:szCs w:val="24"/>
        </w:rPr>
        <w:t xml:space="preserve">free </w:t>
      </w:r>
      <w:r>
        <w:rPr>
          <w:rFonts w:ascii="Times New Roman" w:hAnsi="Times New Roman" w:cs="Times New Roman"/>
          <w:sz w:val="24"/>
          <w:szCs w:val="24"/>
        </w:rPr>
        <w:t xml:space="preserve">MMAE in various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tissues of healthy C57BL/6 mice (n=3) following intraperitoneal injection of RWYD-MMAE.  </w:t>
      </w:r>
    </w:p>
    <w:p w14:paraId="17A2C577" w14:textId="77777777" w:rsidR="000120F1" w:rsidRDefault="000120F1">
      <w:pPr>
        <w:spacing w:line="360" w:lineRule="auto"/>
        <w:rPr>
          <w:rFonts w:ascii="Times New Roman" w:hAnsi="Times New Roman" w:cs="Times New Roman"/>
          <w:sz w:val="24"/>
          <w:szCs w:val="28"/>
        </w:rPr>
      </w:pPr>
    </w:p>
    <w:p w14:paraId="5A7E222C" w14:textId="77777777" w:rsidR="000120F1" w:rsidRDefault="00000000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509B8B43" wp14:editId="7A3A71C9">
            <wp:extent cx="5274310" cy="6530975"/>
            <wp:effectExtent l="0" t="0" r="2540" b="3175"/>
            <wp:docPr id="3110135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013520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1D7D0" w14:textId="2A84DBC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Figure S5</w:t>
      </w:r>
      <w:r>
        <w:rPr>
          <w:rFonts w:ascii="Times New Roman" w:hAnsi="Times New Roman" w:cs="Times New Roman" w:hint="eastAsia"/>
          <w:sz w:val="24"/>
          <w:szCs w:val="28"/>
        </w:rPr>
        <w:t xml:space="preserve">. The </w:t>
      </w:r>
      <w:r>
        <w:rPr>
          <w:rFonts w:ascii="Times New Roman" w:hAnsi="Times New Roman" w:cs="Times New Roman"/>
          <w:sz w:val="24"/>
          <w:szCs w:val="28"/>
        </w:rPr>
        <w:t>cytotoxic effects</w:t>
      </w:r>
      <w:r>
        <w:rPr>
          <w:rFonts w:ascii="Times New Roman" w:hAnsi="Times New Roman" w:cs="Times New Roman" w:hint="eastAsia"/>
          <w:sz w:val="24"/>
          <w:szCs w:val="28"/>
        </w:rPr>
        <w:t xml:space="preserve"> of RWYD-MMAE and MMAE treatment. a) </w:t>
      </w:r>
      <w:r>
        <w:rPr>
          <w:rFonts w:ascii="Times New Roman" w:hAnsi="Times New Roman" w:cs="Times New Roman"/>
          <w:sz w:val="24"/>
          <w:szCs w:val="28"/>
        </w:rPr>
        <w:t xml:space="preserve">The IC50 values of RWYD-MMAE and MMAE against </w:t>
      </w:r>
      <w:r>
        <w:rPr>
          <w:rFonts w:ascii="Times New Roman" w:hAnsi="Times New Roman" w:cs="Times New Roman" w:hint="eastAsia"/>
          <w:sz w:val="24"/>
          <w:szCs w:val="28"/>
        </w:rPr>
        <w:t>LUAD</w:t>
      </w:r>
      <w:r>
        <w:rPr>
          <w:rFonts w:ascii="Times New Roman" w:hAnsi="Times New Roman" w:cs="Times New Roman"/>
          <w:sz w:val="24"/>
          <w:szCs w:val="28"/>
        </w:rPr>
        <w:t xml:space="preserve"> cells</w:t>
      </w:r>
      <w:r>
        <w:rPr>
          <w:rFonts w:ascii="Times New Roman" w:hAnsi="Times New Roman" w:cs="Times New Roman" w:hint="eastAsia"/>
          <w:sz w:val="24"/>
          <w:szCs w:val="28"/>
        </w:rPr>
        <w:t>; b)</w:t>
      </w:r>
      <w:r>
        <w:rPr>
          <w:rFonts w:ascii="Times New Roman" w:hAnsi="Times New Roman" w:cs="Times New Roman"/>
          <w:sz w:val="24"/>
          <w:szCs w:val="28"/>
        </w:rPr>
        <w:t xml:space="preserve"> Analysis of the correlation between integrin α6 expression</w:t>
      </w:r>
      <w:r>
        <w:rPr>
          <w:rFonts w:ascii="Times New Roman" w:hAnsi="Times New Roman" w:cs="Times New Roman" w:hint="eastAsia"/>
          <w:sz w:val="24"/>
          <w:szCs w:val="28"/>
        </w:rPr>
        <w:t xml:space="preserve"> levels</w:t>
      </w:r>
      <w:r>
        <w:rPr>
          <w:rFonts w:ascii="Times New Roman" w:hAnsi="Times New Roman" w:cs="Times New Roman"/>
          <w:sz w:val="24"/>
          <w:szCs w:val="28"/>
        </w:rPr>
        <w:t xml:space="preserve"> and IC50 values </w:t>
      </w:r>
      <w:r>
        <w:rPr>
          <w:rFonts w:ascii="Times New Roman" w:hAnsi="Times New Roman" w:cs="Times New Roman" w:hint="eastAsia"/>
          <w:sz w:val="24"/>
          <w:szCs w:val="28"/>
        </w:rPr>
        <w:t>for</w:t>
      </w:r>
      <w:r>
        <w:rPr>
          <w:rFonts w:ascii="Times New Roman" w:hAnsi="Times New Roman" w:cs="Times New Roman"/>
          <w:sz w:val="24"/>
          <w:szCs w:val="28"/>
        </w:rPr>
        <w:t xml:space="preserve"> RWYD-MMAE</w:t>
      </w:r>
      <w:r>
        <w:rPr>
          <w:rFonts w:ascii="Times New Roman" w:hAnsi="Times New Roman" w:cs="Times New Roman" w:hint="eastAsia"/>
          <w:sz w:val="24"/>
          <w:szCs w:val="28"/>
        </w:rPr>
        <w:t xml:space="preserve"> treatment; c, e) </w:t>
      </w:r>
      <w:r>
        <w:rPr>
          <w:rFonts w:ascii="Times New Roman" w:hAnsi="Times New Roman" w:cs="Times New Roman"/>
          <w:sz w:val="24"/>
          <w:szCs w:val="28"/>
        </w:rPr>
        <w:t>Flow Cytometric Validation of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ITGA6</w:t>
      </w:r>
      <w:r>
        <w:rPr>
          <w:rFonts w:ascii="Times New Roman" w:hAnsi="Times New Roman" w:cs="Times New Roman"/>
          <w:sz w:val="24"/>
          <w:szCs w:val="28"/>
        </w:rPr>
        <w:t xml:space="preserve"> Knockdown in A549 and HCC44 Cells</w:t>
      </w:r>
      <w:r>
        <w:rPr>
          <w:rFonts w:ascii="Times New Roman" w:hAnsi="Times New Roman" w:cs="Times New Roman" w:hint="eastAsia"/>
          <w:sz w:val="24"/>
          <w:szCs w:val="28"/>
        </w:rPr>
        <w:t xml:space="preserve">; d) CCK-8 cytotoxicity assay of MMAE and RWYD-MMAE in </w:t>
      </w:r>
      <w:r>
        <w:rPr>
          <w:rFonts w:ascii="Times New Roman" w:hAnsi="Times New Roman" w:cs="Times New Roman"/>
          <w:i/>
          <w:iCs/>
          <w:sz w:val="24"/>
          <w:szCs w:val="28"/>
        </w:rPr>
        <w:t>ITGA6</w:t>
      </w:r>
      <w:r>
        <w:rPr>
          <w:rFonts w:ascii="Times New Roman" w:hAnsi="Times New Roman" w:cs="Times New Roman" w:hint="eastAsia"/>
          <w:sz w:val="24"/>
          <w:szCs w:val="28"/>
        </w:rPr>
        <w:t xml:space="preserve"> wild-type </w:t>
      </w:r>
      <w:r>
        <w:rPr>
          <w:rFonts w:ascii="Times New Roman" w:hAnsi="Times New Roman" w:cs="Times New Roman" w:hint="eastAsia"/>
          <w:sz w:val="24"/>
          <w:szCs w:val="28"/>
        </w:rPr>
        <w:lastRenderedPageBreak/>
        <w:t xml:space="preserve">and knock down cells; f-g) Statistical analysis of IC50 values in Figure d; The multiple unpaired t test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>. Data were presented as the mean</w:t>
      </w:r>
      <w:r>
        <w:rPr>
          <w:rFonts w:ascii="Times New Roman" w:hAnsi="Times New Roman" w:cs="Times New Roman" w:hint="eastAsia"/>
          <w:sz w:val="24"/>
          <w:szCs w:val="28"/>
        </w:rPr>
        <w:t>±</w:t>
      </w:r>
      <w:r>
        <w:rPr>
          <w:rFonts w:ascii="Times New Roman" w:hAnsi="Times New Roman" w:cs="Times New Roman" w:hint="eastAsia"/>
          <w:sz w:val="24"/>
          <w:szCs w:val="28"/>
        </w:rPr>
        <w:t>SD, SD: standard deviation. 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 w:hint="eastAsia"/>
          <w:sz w:val="24"/>
          <w:szCs w:val="28"/>
        </w:rPr>
        <w:t xml:space="preserve"> &lt; 0.0</w:t>
      </w:r>
      <w:r w:rsidR="00D16CDC">
        <w:rPr>
          <w:rFonts w:ascii="Times New Roman" w:hAnsi="Times New Roman" w:cs="Times New Roman" w:hint="eastAsia"/>
          <w:sz w:val="24"/>
          <w:szCs w:val="28"/>
        </w:rPr>
        <w:t xml:space="preserve">1, </w:t>
      </w:r>
      <w:r w:rsidR="00D16CDC">
        <w:rPr>
          <w:rFonts w:ascii="Times New Roman" w:hAnsi="Times New Roman" w:cs="Times New Roman"/>
          <w:sz w:val="24"/>
          <w:szCs w:val="28"/>
        </w:rPr>
        <w:t>***</w:t>
      </w:r>
      <w:r w:rsidR="00D16CDC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="00D16CDC"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 w:rsidR="00D16CDC">
        <w:rPr>
          <w:rFonts w:ascii="Times New Roman" w:hAnsi="Times New Roman" w:cs="Times New Roman"/>
          <w:sz w:val="24"/>
          <w:szCs w:val="28"/>
        </w:rPr>
        <w:t>&lt;</w:t>
      </w:r>
      <w:r w:rsidR="00D16CDC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D16CDC">
        <w:rPr>
          <w:rFonts w:ascii="Times New Roman" w:hAnsi="Times New Roman" w:cs="Times New Roman"/>
          <w:sz w:val="24"/>
          <w:szCs w:val="28"/>
        </w:rPr>
        <w:t>0.001</w:t>
      </w:r>
      <w:r w:rsidR="00D16CDC">
        <w:rPr>
          <w:rFonts w:ascii="Times New Roman" w:hAnsi="Times New Roman" w:cs="Times New Roman" w:hint="eastAsia"/>
          <w:sz w:val="24"/>
          <w:szCs w:val="28"/>
        </w:rPr>
        <w:t xml:space="preserve">, </w:t>
      </w:r>
      <w:r w:rsidR="00D16CDC">
        <w:rPr>
          <w:rFonts w:ascii="Times New Roman" w:hAnsi="Times New Roman" w:cs="Times New Roman"/>
          <w:sz w:val="24"/>
          <w:szCs w:val="28"/>
        </w:rPr>
        <w:t>****</w:t>
      </w:r>
      <w:r w:rsidR="00D16CDC"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 w:rsidR="00D16CDC">
        <w:rPr>
          <w:rFonts w:ascii="Times New Roman" w:hAnsi="Times New Roman" w:cs="Times New Roman"/>
          <w:sz w:val="24"/>
          <w:szCs w:val="28"/>
        </w:rPr>
        <w:t xml:space="preserve"> &lt;0.0001.</w:t>
      </w:r>
    </w:p>
    <w:p w14:paraId="5FF11AA1" w14:textId="77777777" w:rsidR="000120F1" w:rsidRDefault="000120F1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3F978B0C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 w:hint="eastAsia"/>
          <w:noProof/>
          <w:sz w:val="28"/>
          <w:szCs w:val="32"/>
        </w:rPr>
        <w:drawing>
          <wp:inline distT="0" distB="0" distL="0" distR="0" wp14:anchorId="2F2C342A" wp14:editId="4DDA0ABF">
            <wp:extent cx="5274310" cy="3824605"/>
            <wp:effectExtent l="0" t="0" r="2540" b="4445"/>
            <wp:docPr id="127331237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12374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4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2F2A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S6. Representative images of EDU staining for PC9, A549, HCC44, and Lewis cells at 24H.</w:t>
      </w:r>
    </w:p>
    <w:p w14:paraId="22243600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lastRenderedPageBreak/>
        <w:drawing>
          <wp:inline distT="0" distB="0" distL="0" distR="0" wp14:anchorId="40DB12E9" wp14:editId="2F714019">
            <wp:extent cx="5274310" cy="7458075"/>
            <wp:effectExtent l="0" t="0" r="2540" b="9525"/>
            <wp:docPr id="1625178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782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86C60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S7. Flow Cytometry Analysis of Cell Cycle and Apoptosis in LUAD Cells. a)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The cycle distribution of PC9, A549, HCC44 and Lewis cells after 24H treatment with RWYD, MMAE and REYD-MMAE; b)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Apoptosis was detected by Annexin V-FITC/PI double staining kit after 24H incubation with PBS, RWYD, MMAE and RWYD-</w:t>
      </w:r>
      <w:r>
        <w:rPr>
          <w:rFonts w:ascii="Times New Roman" w:hAnsi="Times New Roman" w:cs="Times New Roman" w:hint="eastAsia"/>
          <w:sz w:val="24"/>
          <w:szCs w:val="28"/>
        </w:rPr>
        <w:lastRenderedPageBreak/>
        <w:t>MMAE respectively.</w:t>
      </w:r>
    </w:p>
    <w:p w14:paraId="29A27891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58F81669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lastRenderedPageBreak/>
        <w:drawing>
          <wp:inline distT="0" distB="0" distL="0" distR="0" wp14:anchorId="26B4D58D" wp14:editId="02714D3B">
            <wp:extent cx="5274310" cy="8223250"/>
            <wp:effectExtent l="0" t="0" r="2540" b="6350"/>
            <wp:docPr id="14030254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025439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22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09BC7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Figure S8. Quantitative analysis and comparison of </w:t>
      </w:r>
      <w:r>
        <w:rPr>
          <w:rFonts w:ascii="Times New Roman" w:hAnsi="Times New Roman" w:cs="Times New Roman" w:hint="eastAsia"/>
          <w:sz w:val="24"/>
          <w:szCs w:val="28"/>
        </w:rPr>
        <w:t>Western blotting results of proteins related to apoptosis and cell cycle pathways</w:t>
      </w:r>
      <w:r>
        <w:rPr>
          <w:rFonts w:ascii="Times New Roman" w:hAnsi="Times New Roman" w:cs="Times New Roman"/>
          <w:sz w:val="24"/>
          <w:szCs w:val="28"/>
        </w:rPr>
        <w:t xml:space="preserve">. Each group was compared with the </w:t>
      </w:r>
      <w:r>
        <w:rPr>
          <w:rFonts w:ascii="Times New Roman" w:hAnsi="Times New Roman" w:cs="Times New Roman"/>
          <w:sz w:val="24"/>
          <w:szCs w:val="28"/>
        </w:rPr>
        <w:lastRenderedPageBreak/>
        <w:t>RWYD-MMAE 1uM group respectively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The </w:t>
      </w:r>
      <w:r>
        <w:rPr>
          <w:rFonts w:ascii="Times New Roman" w:eastAsia="等线" w:hAnsi="Times New Roman" w:cs="Times New Roman"/>
          <w:sz w:val="24"/>
          <w:szCs w:val="24"/>
        </w:rPr>
        <w:t xml:space="preserve">one-way ANOVA with </w:t>
      </w:r>
      <w:r>
        <w:rPr>
          <w:rFonts w:ascii="Times New Roman" w:eastAsia="等线" w:hAnsi="Times New Roman" w:cs="Times New Roman" w:hint="eastAsia"/>
          <w:sz w:val="24"/>
          <w:szCs w:val="24"/>
        </w:rPr>
        <w:t>Dunnett</w:t>
      </w:r>
      <w:r>
        <w:rPr>
          <w:rFonts w:ascii="Times New Roman" w:eastAsia="等线" w:hAnsi="Times New Roman" w:cs="Times New Roman"/>
          <w:sz w:val="24"/>
          <w:szCs w:val="24"/>
        </w:rPr>
        <w:t>'s multiple comparisons test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 was </w:t>
      </w:r>
      <w:r>
        <w:rPr>
          <w:rFonts w:ascii="Times New Roman" w:eastAsia="等线" w:hAnsi="Times New Roman" w:cs="Times New Roman"/>
          <w:sz w:val="24"/>
          <w:szCs w:val="24"/>
        </w:rPr>
        <w:t>used for statistical analysis</w:t>
      </w:r>
      <w:r>
        <w:rPr>
          <w:rFonts w:ascii="Times New Roman" w:eastAsia="等线" w:hAnsi="Times New Roman" w:cs="Times New Roman" w:hint="eastAsia"/>
          <w:sz w:val="24"/>
          <w:szCs w:val="24"/>
        </w:rPr>
        <w:t>. Data were presented as the mean</w:t>
      </w:r>
      <w:r>
        <w:rPr>
          <w:rFonts w:ascii="Times New Roman" w:eastAsia="等线" w:hAnsi="Times New Roman" w:cs="Times New Roman" w:hint="eastAsia"/>
          <w:sz w:val="24"/>
          <w:szCs w:val="24"/>
        </w:rPr>
        <w:t>±</w:t>
      </w:r>
      <w:r>
        <w:rPr>
          <w:rFonts w:ascii="Times New Roman" w:eastAsia="等线" w:hAnsi="Times New Roman" w:cs="Times New Roman" w:hint="eastAsia"/>
          <w:sz w:val="24"/>
          <w:szCs w:val="24"/>
        </w:rPr>
        <w:t xml:space="preserve">SD, SD: standard deviation. </w:t>
      </w:r>
      <w:r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0.05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0.01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***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&lt;</w:t>
      </w:r>
      <w:r>
        <w:rPr>
          <w:rFonts w:ascii="Times New Roman" w:hAnsi="Times New Roman" w:cs="Times New Roman" w:hint="eastAsia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0.001</w:t>
      </w:r>
      <w:r>
        <w:rPr>
          <w:rFonts w:ascii="Times New Roman" w:hAnsi="Times New Roman" w:cs="Times New Roman" w:hint="eastAsia"/>
          <w:sz w:val="24"/>
          <w:szCs w:val="28"/>
        </w:rPr>
        <w:t xml:space="preserve">, </w:t>
      </w:r>
      <w:r>
        <w:rPr>
          <w:rFonts w:ascii="Times New Roman" w:hAnsi="Times New Roman" w:cs="Times New Roman"/>
          <w:sz w:val="24"/>
          <w:szCs w:val="28"/>
        </w:rPr>
        <w:t>****</w:t>
      </w:r>
      <w:r>
        <w:rPr>
          <w:rFonts w:ascii="Times New Roman" w:hAnsi="Times New Roman" w:cs="Times New Roman" w:hint="eastAsia"/>
          <w:i/>
          <w:iCs/>
          <w:sz w:val="24"/>
          <w:szCs w:val="28"/>
        </w:rPr>
        <w:t>p</w:t>
      </w:r>
      <w:r>
        <w:rPr>
          <w:rFonts w:ascii="Times New Roman" w:hAnsi="Times New Roman" w:cs="Times New Roman"/>
          <w:sz w:val="24"/>
          <w:szCs w:val="28"/>
        </w:rPr>
        <w:t xml:space="preserve"> &lt;0.0001.</w:t>
      </w:r>
    </w:p>
    <w:p w14:paraId="20E4EEC5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09A8CE5E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4FAC7D17" wp14:editId="2747BF17">
            <wp:extent cx="5274310" cy="4912995"/>
            <wp:effectExtent l="0" t="0" r="2540" b="1905"/>
            <wp:docPr id="6796562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56204" name="图片 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949C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S9. Dose Safety Assessment of RWYD-MMAE. a)Blood cells analysis at the end of drug administration; b)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Hematoxylin-eosin (HE) staining was performed on the heart, liver, spleen, lung and kidney of mice (n=5). Scare bars: 100uM (black). The </w:t>
      </w:r>
      <w:r>
        <w:rPr>
          <w:rFonts w:ascii="Times New Roman" w:hAnsi="Times New Roman" w:cs="Times New Roman"/>
          <w:sz w:val="24"/>
          <w:szCs w:val="28"/>
        </w:rPr>
        <w:t xml:space="preserve">one-way ANOVA with </w:t>
      </w:r>
      <w:r>
        <w:rPr>
          <w:rFonts w:ascii="Times New Roman" w:hAnsi="Times New Roman" w:cs="Times New Roman" w:hint="eastAsia"/>
          <w:sz w:val="24"/>
          <w:szCs w:val="28"/>
        </w:rPr>
        <w:t>Dunnett</w:t>
      </w:r>
      <w:r>
        <w:rPr>
          <w:rFonts w:ascii="Times New Roman" w:hAnsi="Times New Roman" w:cs="Times New Roman"/>
          <w:sz w:val="24"/>
          <w:szCs w:val="28"/>
        </w:rPr>
        <w:t>'s multiple comparisons test</w:t>
      </w:r>
      <w:r>
        <w:rPr>
          <w:rFonts w:ascii="Times New Roman" w:hAnsi="Times New Roman" w:cs="Times New Roman" w:hint="eastAsia"/>
          <w:sz w:val="24"/>
          <w:szCs w:val="28"/>
        </w:rPr>
        <w:t xml:space="preserve">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8"/>
        </w:rPr>
        <w:t xml:space="preserve">Data </w:t>
      </w:r>
      <w:r>
        <w:rPr>
          <w:rFonts w:ascii="Times New Roman" w:hAnsi="Times New Roman" w:cs="Times New Roman" w:hint="eastAsia"/>
          <w:sz w:val="24"/>
          <w:szCs w:val="28"/>
        </w:rPr>
        <w:t>were</w:t>
      </w:r>
      <w:r>
        <w:rPr>
          <w:rFonts w:ascii="Times New Roman" w:hAnsi="Times New Roman" w:cs="Times New Roman"/>
          <w:sz w:val="24"/>
          <w:szCs w:val="28"/>
        </w:rPr>
        <w:t xml:space="preserve"> presented as the mean ± SD.</w:t>
      </w:r>
      <w:r>
        <w:rPr>
          <w:rFonts w:ascii="Times New Roman" w:hAnsi="Times New Roman" w:cs="Times New Roman" w:hint="eastAsia"/>
          <w:sz w:val="24"/>
          <w:szCs w:val="28"/>
        </w:rPr>
        <w:t xml:space="preserve"> WBC: White blood cell count; RBC: Red blood cell count; HGB: hemoglobin concentration; PLT: Platelet count; LYM: Lymphocyte count; GRAN: Neutrophil count; SD: </w:t>
      </w:r>
      <w:r>
        <w:rPr>
          <w:rFonts w:ascii="Times New Roman" w:hAnsi="Times New Roman" w:cs="Times New Roman"/>
          <w:sz w:val="24"/>
          <w:szCs w:val="28"/>
        </w:rPr>
        <w:t>standard deviation</w:t>
      </w:r>
      <w:r>
        <w:rPr>
          <w:rFonts w:ascii="Times New Roman" w:hAnsi="Times New Roman" w:cs="Times New Roman" w:hint="eastAsia"/>
          <w:sz w:val="24"/>
          <w:szCs w:val="28"/>
        </w:rPr>
        <w:t>.</w:t>
      </w:r>
    </w:p>
    <w:p w14:paraId="53AF01CF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7BE53391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22F84BEC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067A96C6" wp14:editId="27F6CCFF">
            <wp:extent cx="5274310" cy="7260590"/>
            <wp:effectExtent l="0" t="0" r="2540" b="0"/>
            <wp:docPr id="154359369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93698" name="图片 5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55528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S10. Safety assessment of RWYD-MMAE monotherapy. a)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At the end of treatment, the blood samples of orbital veins were collected and the results of blood routine were analyzed; b)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HE staining results of histopathological sections of heart, liver, spleen, lung and kidney of mice(n=10); c)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Results of HE staining and Ki67 </w:t>
      </w:r>
      <w:r>
        <w:rPr>
          <w:rFonts w:ascii="Times New Roman" w:hAnsi="Times New Roman" w:cs="Times New Roman" w:hint="eastAsia"/>
          <w:sz w:val="24"/>
          <w:szCs w:val="28"/>
        </w:rPr>
        <w:lastRenderedPageBreak/>
        <w:t xml:space="preserve">staining of tumor tissue in mice. Scare bars: 100uM (black). The </w:t>
      </w:r>
      <w:r>
        <w:rPr>
          <w:rFonts w:ascii="Times New Roman" w:hAnsi="Times New Roman" w:cs="Times New Roman"/>
          <w:sz w:val="24"/>
          <w:szCs w:val="28"/>
        </w:rPr>
        <w:t xml:space="preserve">one-way ANOVA with </w:t>
      </w:r>
      <w:r>
        <w:rPr>
          <w:rFonts w:ascii="Times New Roman" w:hAnsi="Times New Roman" w:cs="Times New Roman" w:hint="eastAsia"/>
          <w:sz w:val="24"/>
          <w:szCs w:val="28"/>
        </w:rPr>
        <w:t>Dunnett</w:t>
      </w:r>
      <w:r>
        <w:rPr>
          <w:rFonts w:ascii="Times New Roman" w:hAnsi="Times New Roman" w:cs="Times New Roman"/>
          <w:sz w:val="24"/>
          <w:szCs w:val="28"/>
        </w:rPr>
        <w:t>'s multiple comparisons test</w:t>
      </w:r>
      <w:r>
        <w:rPr>
          <w:rFonts w:ascii="Times New Roman" w:hAnsi="Times New Roman" w:cs="Times New Roman" w:hint="eastAsia"/>
          <w:sz w:val="24"/>
          <w:szCs w:val="28"/>
        </w:rPr>
        <w:t xml:space="preserve">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>. Data were presented as the mean</w:t>
      </w:r>
      <w:r>
        <w:rPr>
          <w:rFonts w:ascii="Times New Roman" w:hAnsi="Times New Roman" w:cs="Times New Roman" w:hint="eastAsia"/>
          <w:sz w:val="24"/>
          <w:szCs w:val="28"/>
        </w:rPr>
        <w:t>±</w:t>
      </w:r>
      <w:r>
        <w:rPr>
          <w:rFonts w:ascii="Times New Roman" w:hAnsi="Times New Roman" w:cs="Times New Roman" w:hint="eastAsia"/>
          <w:sz w:val="24"/>
          <w:szCs w:val="28"/>
        </w:rPr>
        <w:t>SD, SD: standard deviation. WBC: White blood cell count; RBC: Red blood cell count; HGB: hemoglobin concentration; PLT: Platelet count; LYM: Lymphocyte count; GRAN: Neutrophil count.</w:t>
      </w:r>
    </w:p>
    <w:p w14:paraId="5820B0C1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7929B20E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42232CC7" wp14:editId="5A799579">
            <wp:extent cx="5274310" cy="4491990"/>
            <wp:effectExtent l="0" t="0" r="2540" b="3810"/>
            <wp:docPr id="19750093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09319" name="图片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9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0AA09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Figure S11. Safety Assessment of RWYD-MMAE Combined with PD-1 inhibitor. a)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 xml:space="preserve">At the end of treatment, the blood samples of orbital veins were collected and the results of blood routine were analyzed; b) Results of HE staining and Ki67 staining of tumor tissue in mice. Scare bars: 100uM (black). The </w:t>
      </w:r>
      <w:r>
        <w:rPr>
          <w:rFonts w:ascii="Times New Roman" w:hAnsi="Times New Roman" w:cs="Times New Roman"/>
          <w:sz w:val="24"/>
          <w:szCs w:val="28"/>
        </w:rPr>
        <w:t xml:space="preserve">one-way ANOVA with </w:t>
      </w:r>
      <w:r>
        <w:rPr>
          <w:rFonts w:ascii="Times New Roman" w:hAnsi="Times New Roman" w:cs="Times New Roman" w:hint="eastAsia"/>
          <w:sz w:val="24"/>
          <w:szCs w:val="28"/>
        </w:rPr>
        <w:t>Dunnett</w:t>
      </w:r>
      <w:r>
        <w:rPr>
          <w:rFonts w:ascii="Times New Roman" w:hAnsi="Times New Roman" w:cs="Times New Roman"/>
          <w:sz w:val="24"/>
          <w:szCs w:val="28"/>
        </w:rPr>
        <w:t>'s multiple comparisons test</w:t>
      </w:r>
      <w:r>
        <w:rPr>
          <w:rFonts w:ascii="Times New Roman" w:hAnsi="Times New Roman" w:cs="Times New Roman" w:hint="eastAsia"/>
          <w:sz w:val="24"/>
          <w:szCs w:val="28"/>
        </w:rPr>
        <w:t xml:space="preserve"> was </w:t>
      </w:r>
      <w:r>
        <w:rPr>
          <w:rFonts w:ascii="Times New Roman" w:hAnsi="Times New Roman" w:cs="Times New Roman"/>
          <w:sz w:val="24"/>
          <w:szCs w:val="28"/>
        </w:rPr>
        <w:t>used for statistical analysis</w:t>
      </w:r>
      <w:r>
        <w:rPr>
          <w:rFonts w:ascii="Times New Roman" w:hAnsi="Times New Roman" w:cs="Times New Roman" w:hint="eastAsia"/>
          <w:sz w:val="24"/>
          <w:szCs w:val="28"/>
        </w:rPr>
        <w:t>. Data were presented as the mean</w:t>
      </w:r>
      <w:r>
        <w:rPr>
          <w:rFonts w:ascii="Times New Roman" w:hAnsi="Times New Roman" w:cs="Times New Roman" w:hint="eastAsia"/>
          <w:sz w:val="24"/>
          <w:szCs w:val="28"/>
        </w:rPr>
        <w:t>±</w:t>
      </w:r>
      <w:r>
        <w:rPr>
          <w:rFonts w:ascii="Times New Roman" w:hAnsi="Times New Roman" w:cs="Times New Roman" w:hint="eastAsia"/>
          <w:sz w:val="24"/>
          <w:szCs w:val="28"/>
        </w:rPr>
        <w:t xml:space="preserve">SD, SD: standard deviation. WBC: White blood cell count; RBC: Red blood cell count; HGB: hemoglobin concentration; PLT: Platelet count; LYM: Lymphocyte count; </w:t>
      </w:r>
      <w:r>
        <w:rPr>
          <w:rFonts w:ascii="Times New Roman" w:hAnsi="Times New Roman" w:cs="Times New Roman" w:hint="eastAsia"/>
          <w:sz w:val="24"/>
          <w:szCs w:val="28"/>
        </w:rPr>
        <w:lastRenderedPageBreak/>
        <w:t>GRAN: Neutrophil count.</w:t>
      </w:r>
    </w:p>
    <w:p w14:paraId="61A80B49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06C5DE91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noProof/>
          <w:sz w:val="28"/>
          <w:szCs w:val="32"/>
        </w:rPr>
        <w:drawing>
          <wp:inline distT="0" distB="0" distL="0" distR="0" wp14:anchorId="0568323B" wp14:editId="095BAACC">
            <wp:extent cx="5274310" cy="5138420"/>
            <wp:effectExtent l="0" t="0" r="2540" b="5080"/>
            <wp:docPr id="9727735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73577" name="图片 1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3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81B7E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 xml:space="preserve">Figure S12. RWYD-MMAE </w:t>
      </w:r>
      <w:r>
        <w:rPr>
          <w:rFonts w:ascii="Times New Roman" w:hAnsi="Times New Roman" w:cs="Times New Roman"/>
          <w:sz w:val="24"/>
          <w:szCs w:val="24"/>
        </w:rPr>
        <w:t>improves the immunosuppressive tumor microenvironment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8"/>
        </w:rPr>
        <w:t xml:space="preserve"> a)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Tumor tissues were collected to prepare single-cell suspension, and the infiltration of MDSCs (CD45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>CD11b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>Gr-1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>) and cytotoxic T cells (CD45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 xml:space="preserve"> CD3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>CD8</w:t>
      </w:r>
      <w:r>
        <w:rPr>
          <w:rFonts w:ascii="Times New Roman" w:hAnsi="Times New Roman" w:cs="Times New Roman" w:hint="eastAsia"/>
          <w:sz w:val="24"/>
          <w:szCs w:val="28"/>
          <w:vertAlign w:val="superscript"/>
        </w:rPr>
        <w:t>+</w:t>
      </w:r>
      <w:r>
        <w:rPr>
          <w:rFonts w:ascii="Times New Roman" w:hAnsi="Times New Roman" w:cs="Times New Roman" w:hint="eastAsia"/>
          <w:sz w:val="24"/>
          <w:szCs w:val="28"/>
        </w:rPr>
        <w:t>) was detected by flow cytometry (n=4); b)</w:t>
      </w:r>
      <w:r>
        <w:rPr>
          <w:rFonts w:hint="eastAsia"/>
        </w:rPr>
        <w:t xml:space="preserve"> </w:t>
      </w:r>
      <w:r>
        <w:rPr>
          <w:rFonts w:ascii="Times New Roman" w:hAnsi="Times New Roman" w:cs="Times New Roman" w:hint="eastAsia"/>
          <w:sz w:val="24"/>
          <w:szCs w:val="28"/>
        </w:rPr>
        <w:t>Representative images of PD-L1 and PD-1 immunohistochemical staining of tumor tissues in different drug groups.</w:t>
      </w:r>
    </w:p>
    <w:p w14:paraId="1C43A12B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698AB3C7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091FCC3D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23EAE5B4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057ADDF2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55A13F31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Table S1. Primers used in qPCR</w:t>
      </w:r>
    </w:p>
    <w:tbl>
      <w:tblPr>
        <w:tblStyle w:val="ac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3"/>
        <w:gridCol w:w="4451"/>
        <w:gridCol w:w="12"/>
      </w:tblGrid>
      <w:tr w:rsidR="000120F1" w14:paraId="0A489A50" w14:textId="77777777">
        <w:trPr>
          <w:gridAfter w:val="1"/>
          <w:wAfter w:w="10" w:type="dxa"/>
        </w:trPr>
        <w:tc>
          <w:tcPr>
            <w:tcW w:w="4148" w:type="dxa"/>
            <w:tcBorders>
              <w:left w:val="nil"/>
              <w:bottom w:val="single" w:sz="4" w:space="0" w:color="auto"/>
            </w:tcBorders>
          </w:tcPr>
          <w:p w14:paraId="26021012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Primer Name</w:t>
            </w:r>
          </w:p>
        </w:tc>
        <w:tc>
          <w:tcPr>
            <w:tcW w:w="4148" w:type="dxa"/>
            <w:tcBorders>
              <w:bottom w:val="single" w:sz="4" w:space="0" w:color="auto"/>
              <w:right w:val="nil"/>
            </w:tcBorders>
          </w:tcPr>
          <w:p w14:paraId="382F5124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Sequence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5'-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>3'</w:t>
            </w:r>
          </w:p>
        </w:tc>
      </w:tr>
      <w:tr w:rsidR="000120F1" w14:paraId="7F8B8F89" w14:textId="77777777">
        <w:tc>
          <w:tcPr>
            <w:tcW w:w="4148" w:type="dxa"/>
            <w:tcBorders>
              <w:left w:val="nil"/>
              <w:bottom w:val="nil"/>
            </w:tcBorders>
          </w:tcPr>
          <w:p w14:paraId="1E54A670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8341B">
              <w:rPr>
                <w:rFonts w:ascii="Times New Roman" w:hAnsi="Times New Roman" w:cs="Times New Roman" w:hint="eastAsia"/>
                <w:i/>
                <w:iCs/>
                <w:sz w:val="28"/>
                <w:szCs w:val="32"/>
              </w:rPr>
              <w:t>GAPDH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Forward</w:t>
            </w:r>
          </w:p>
        </w:tc>
        <w:tc>
          <w:tcPr>
            <w:tcW w:w="4148" w:type="dxa"/>
            <w:gridSpan w:val="2"/>
            <w:tcBorders>
              <w:bottom w:val="nil"/>
              <w:right w:val="nil"/>
            </w:tcBorders>
          </w:tcPr>
          <w:p w14:paraId="3081D315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GTCTCCTCTGACTTCAACAGCG</w:t>
            </w:r>
          </w:p>
        </w:tc>
      </w:tr>
      <w:tr w:rsidR="000120F1" w14:paraId="51A55DE6" w14:textId="77777777">
        <w:tc>
          <w:tcPr>
            <w:tcW w:w="4148" w:type="dxa"/>
            <w:tcBorders>
              <w:top w:val="nil"/>
              <w:left w:val="nil"/>
              <w:bottom w:val="nil"/>
            </w:tcBorders>
          </w:tcPr>
          <w:p w14:paraId="280E82D7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8341B">
              <w:rPr>
                <w:rFonts w:ascii="Times New Roman" w:hAnsi="Times New Roman" w:cs="Times New Roman" w:hint="eastAsia"/>
                <w:i/>
                <w:iCs/>
                <w:sz w:val="28"/>
                <w:szCs w:val="32"/>
              </w:rPr>
              <w:t>GAPDH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Reverse</w:t>
            </w:r>
          </w:p>
        </w:tc>
        <w:tc>
          <w:tcPr>
            <w:tcW w:w="4148" w:type="dxa"/>
            <w:gridSpan w:val="2"/>
            <w:tcBorders>
              <w:top w:val="nil"/>
              <w:bottom w:val="nil"/>
              <w:right w:val="nil"/>
            </w:tcBorders>
          </w:tcPr>
          <w:p w14:paraId="4FBE468D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ACCACCCTGTTGCTGTAGCCAA</w:t>
            </w:r>
          </w:p>
        </w:tc>
      </w:tr>
      <w:tr w:rsidR="000120F1" w14:paraId="15421AB4" w14:textId="77777777">
        <w:tc>
          <w:tcPr>
            <w:tcW w:w="4148" w:type="dxa"/>
            <w:tcBorders>
              <w:top w:val="nil"/>
              <w:left w:val="nil"/>
              <w:bottom w:val="nil"/>
            </w:tcBorders>
          </w:tcPr>
          <w:p w14:paraId="50100FC1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8341B">
              <w:rPr>
                <w:rFonts w:ascii="Times New Roman" w:hAnsi="Times New Roman" w:cs="Times New Roman" w:hint="eastAsia"/>
                <w:i/>
                <w:iCs/>
                <w:sz w:val="28"/>
                <w:szCs w:val="32"/>
              </w:rPr>
              <w:t>ITGA6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Forward</w:t>
            </w:r>
          </w:p>
        </w:tc>
        <w:tc>
          <w:tcPr>
            <w:tcW w:w="4148" w:type="dxa"/>
            <w:gridSpan w:val="2"/>
            <w:tcBorders>
              <w:top w:val="nil"/>
              <w:bottom w:val="nil"/>
              <w:right w:val="nil"/>
            </w:tcBorders>
          </w:tcPr>
          <w:p w14:paraId="133938BB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CGAAACCAAGGTTCTGAGCCCA</w:t>
            </w:r>
          </w:p>
        </w:tc>
      </w:tr>
      <w:tr w:rsidR="000120F1" w14:paraId="3C9373CB" w14:textId="77777777">
        <w:tc>
          <w:tcPr>
            <w:tcW w:w="4148" w:type="dxa"/>
            <w:tcBorders>
              <w:top w:val="nil"/>
              <w:left w:val="nil"/>
            </w:tcBorders>
          </w:tcPr>
          <w:p w14:paraId="24072AC8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E8341B">
              <w:rPr>
                <w:rFonts w:ascii="Times New Roman" w:hAnsi="Times New Roman" w:cs="Times New Roman" w:hint="eastAsia"/>
                <w:i/>
                <w:iCs/>
                <w:sz w:val="28"/>
                <w:szCs w:val="32"/>
              </w:rPr>
              <w:t>ITGA6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Reverse</w:t>
            </w:r>
          </w:p>
        </w:tc>
        <w:tc>
          <w:tcPr>
            <w:tcW w:w="4148" w:type="dxa"/>
            <w:gridSpan w:val="2"/>
            <w:tcBorders>
              <w:top w:val="nil"/>
              <w:right w:val="nil"/>
            </w:tcBorders>
          </w:tcPr>
          <w:p w14:paraId="420107C2" w14:textId="77777777" w:rsidR="000120F1" w:rsidRDefault="00000000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 w:hint="eastAsia"/>
                <w:sz w:val="28"/>
                <w:szCs w:val="32"/>
              </w:rPr>
              <w:t>CTTGGATCTCCACTGAGGCAGT</w:t>
            </w:r>
          </w:p>
        </w:tc>
      </w:tr>
    </w:tbl>
    <w:p w14:paraId="7FCE162C" w14:textId="77777777" w:rsidR="000120F1" w:rsidRDefault="000120F1">
      <w:pPr>
        <w:rPr>
          <w:rFonts w:ascii="Times New Roman" w:hAnsi="Times New Roman" w:cs="Times New Roman"/>
          <w:sz w:val="28"/>
          <w:szCs w:val="32"/>
        </w:rPr>
      </w:pPr>
    </w:p>
    <w:p w14:paraId="2035979D" w14:textId="77777777" w:rsidR="000120F1" w:rsidRDefault="0000000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 w:hint="eastAsia"/>
          <w:sz w:val="28"/>
          <w:szCs w:val="32"/>
        </w:rPr>
        <w:t>Table S2. Primary antibodies used in this study</w:t>
      </w:r>
    </w:p>
    <w:tbl>
      <w:tblPr>
        <w:tblStyle w:val="ac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1843"/>
        <w:gridCol w:w="1417"/>
        <w:gridCol w:w="1497"/>
      </w:tblGrid>
      <w:tr w:rsidR="000120F1" w14:paraId="555C7BAE" w14:textId="77777777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43061EC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Antibody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D88439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Species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5722B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Application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E09D84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Brand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 w14:paraId="3ABBE56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sz w:val="28"/>
                <w:szCs w:val="28"/>
              </w:rPr>
              <w:t>Cat NO.</w:t>
            </w:r>
          </w:p>
        </w:tc>
      </w:tr>
      <w:tr w:rsidR="000120F1" w14:paraId="6404DBA0" w14:textId="77777777">
        <w:tc>
          <w:tcPr>
            <w:tcW w:w="2405" w:type="dxa"/>
            <w:tcBorders>
              <w:top w:val="single" w:sz="4" w:space="0" w:color="auto"/>
            </w:tcBorders>
          </w:tcPr>
          <w:p w14:paraId="5801A53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ITGA6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22B209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Rabbit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B8F22B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WB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, IHC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D34A898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1497" w:type="dxa"/>
            <w:tcBorders>
              <w:top w:val="single" w:sz="4" w:space="0" w:color="auto"/>
            </w:tcBorders>
          </w:tcPr>
          <w:p w14:paraId="08349355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ab181551</w:t>
            </w:r>
          </w:p>
        </w:tc>
      </w:tr>
      <w:tr w:rsidR="000120F1" w14:paraId="1B7232D4" w14:textId="77777777">
        <w:tc>
          <w:tcPr>
            <w:tcW w:w="2405" w:type="dxa"/>
          </w:tcPr>
          <w:p w14:paraId="296A685C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ntegrin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α6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 PE</w:t>
            </w:r>
          </w:p>
        </w:tc>
        <w:tc>
          <w:tcPr>
            <w:tcW w:w="1134" w:type="dxa"/>
          </w:tcPr>
          <w:p w14:paraId="7232661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Rat</w:t>
            </w:r>
          </w:p>
        </w:tc>
        <w:tc>
          <w:tcPr>
            <w:tcW w:w="1843" w:type="dxa"/>
          </w:tcPr>
          <w:p w14:paraId="128363F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</w:tc>
        <w:tc>
          <w:tcPr>
            <w:tcW w:w="1417" w:type="dxa"/>
          </w:tcPr>
          <w:p w14:paraId="559DB119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R&amp;D</w:t>
            </w:r>
          </w:p>
        </w:tc>
        <w:tc>
          <w:tcPr>
            <w:tcW w:w="1497" w:type="dxa"/>
          </w:tcPr>
          <w:p w14:paraId="1D9FEDC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FAB13501P</w:t>
            </w:r>
          </w:p>
        </w:tc>
      </w:tr>
      <w:tr w:rsidR="000120F1" w14:paraId="2B6FCAB1" w14:textId="77777777">
        <w:tc>
          <w:tcPr>
            <w:tcW w:w="2405" w:type="dxa"/>
          </w:tcPr>
          <w:p w14:paraId="0714BDB2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IgG PE Control</w:t>
            </w:r>
          </w:p>
        </w:tc>
        <w:tc>
          <w:tcPr>
            <w:tcW w:w="1134" w:type="dxa"/>
          </w:tcPr>
          <w:p w14:paraId="41BDFE8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Rat</w:t>
            </w:r>
          </w:p>
        </w:tc>
        <w:tc>
          <w:tcPr>
            <w:tcW w:w="1843" w:type="dxa"/>
          </w:tcPr>
          <w:p w14:paraId="30D94E1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</w:tc>
        <w:tc>
          <w:tcPr>
            <w:tcW w:w="1417" w:type="dxa"/>
          </w:tcPr>
          <w:p w14:paraId="1B9691AB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R&amp;D</w:t>
            </w:r>
          </w:p>
        </w:tc>
        <w:tc>
          <w:tcPr>
            <w:tcW w:w="1497" w:type="dxa"/>
          </w:tcPr>
          <w:p w14:paraId="7A5F0C82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IC006P</w:t>
            </w:r>
          </w:p>
        </w:tc>
      </w:tr>
      <w:tr w:rsidR="000120F1" w14:paraId="698D1AA2" w14:textId="77777777">
        <w:tc>
          <w:tcPr>
            <w:tcW w:w="2405" w:type="dxa"/>
          </w:tcPr>
          <w:p w14:paraId="7ABFBEB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cleaved caspase3</w:t>
            </w:r>
          </w:p>
        </w:tc>
        <w:tc>
          <w:tcPr>
            <w:tcW w:w="1134" w:type="dxa"/>
          </w:tcPr>
          <w:p w14:paraId="290376B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04ED882C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278DBCF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0397971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9664S</w:t>
            </w:r>
          </w:p>
        </w:tc>
      </w:tr>
      <w:tr w:rsidR="000120F1" w14:paraId="0FF69BDA" w14:textId="77777777">
        <w:tc>
          <w:tcPr>
            <w:tcW w:w="2405" w:type="dxa"/>
          </w:tcPr>
          <w:p w14:paraId="6543B6A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bookmarkStart w:id="0" w:name="OLE_LINK2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cleaved PARP</w:t>
            </w:r>
            <w:bookmarkEnd w:id="0"/>
          </w:p>
        </w:tc>
        <w:tc>
          <w:tcPr>
            <w:tcW w:w="1134" w:type="dxa"/>
          </w:tcPr>
          <w:p w14:paraId="71C323E5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6644F25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7E12C275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30BAF93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9541S</w:t>
            </w:r>
          </w:p>
        </w:tc>
      </w:tr>
      <w:tr w:rsidR="000120F1" w14:paraId="568DDE58" w14:textId="77777777">
        <w:tc>
          <w:tcPr>
            <w:tcW w:w="2405" w:type="dxa"/>
          </w:tcPr>
          <w:p w14:paraId="02C5C5E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cleaved PARP1</w:t>
            </w:r>
          </w:p>
        </w:tc>
        <w:tc>
          <w:tcPr>
            <w:tcW w:w="1134" w:type="dxa"/>
          </w:tcPr>
          <w:p w14:paraId="7844E76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066D7F9C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31C54888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Abcam</w:t>
            </w:r>
          </w:p>
        </w:tc>
        <w:tc>
          <w:tcPr>
            <w:tcW w:w="1497" w:type="dxa"/>
          </w:tcPr>
          <w:p w14:paraId="787C6078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ab32064</w:t>
            </w:r>
          </w:p>
        </w:tc>
      </w:tr>
      <w:tr w:rsidR="000120F1" w14:paraId="446CC711" w14:textId="77777777">
        <w:tc>
          <w:tcPr>
            <w:tcW w:w="2405" w:type="dxa"/>
          </w:tcPr>
          <w:p w14:paraId="1B97AE7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Bax</w:t>
            </w:r>
          </w:p>
        </w:tc>
        <w:tc>
          <w:tcPr>
            <w:tcW w:w="1134" w:type="dxa"/>
          </w:tcPr>
          <w:p w14:paraId="250CAC3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7236F75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41BCBEF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00F7FB35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2772S</w:t>
            </w:r>
          </w:p>
        </w:tc>
      </w:tr>
      <w:tr w:rsidR="000120F1" w14:paraId="001082DD" w14:textId="77777777">
        <w:tc>
          <w:tcPr>
            <w:tcW w:w="2405" w:type="dxa"/>
          </w:tcPr>
          <w:p w14:paraId="1C1DB47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Bcl-2</w:t>
            </w:r>
          </w:p>
        </w:tc>
        <w:tc>
          <w:tcPr>
            <w:tcW w:w="1134" w:type="dxa"/>
          </w:tcPr>
          <w:p w14:paraId="3AA0FDA4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4D2F503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2B24834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32CD10F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3498S</w:t>
            </w:r>
          </w:p>
        </w:tc>
      </w:tr>
      <w:tr w:rsidR="000120F1" w14:paraId="2C370452" w14:textId="77777777">
        <w:tc>
          <w:tcPr>
            <w:tcW w:w="2405" w:type="dxa"/>
          </w:tcPr>
          <w:p w14:paraId="1479156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p-Rb</w:t>
            </w:r>
          </w:p>
        </w:tc>
        <w:tc>
          <w:tcPr>
            <w:tcW w:w="1134" w:type="dxa"/>
          </w:tcPr>
          <w:p w14:paraId="0437D8D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6D86298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4EF418FF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056FC722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8516S</w:t>
            </w:r>
          </w:p>
        </w:tc>
      </w:tr>
      <w:tr w:rsidR="000120F1" w14:paraId="392586B0" w14:textId="77777777">
        <w:tc>
          <w:tcPr>
            <w:tcW w:w="2405" w:type="dxa"/>
          </w:tcPr>
          <w:p w14:paraId="55AD94A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yclin D1</w:t>
            </w:r>
          </w:p>
        </w:tc>
        <w:tc>
          <w:tcPr>
            <w:tcW w:w="1134" w:type="dxa"/>
          </w:tcPr>
          <w:p w14:paraId="7F2BD254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</w:tc>
        <w:tc>
          <w:tcPr>
            <w:tcW w:w="1843" w:type="dxa"/>
          </w:tcPr>
          <w:p w14:paraId="4F30EBA8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22CD71B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</w:tc>
        <w:tc>
          <w:tcPr>
            <w:tcW w:w="1497" w:type="dxa"/>
          </w:tcPr>
          <w:p w14:paraId="3E90194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2978S</w:t>
            </w:r>
          </w:p>
        </w:tc>
      </w:tr>
      <w:tr w:rsidR="000120F1" w14:paraId="28DD4E76" w14:textId="77777777">
        <w:tc>
          <w:tcPr>
            <w:tcW w:w="2405" w:type="dxa"/>
          </w:tcPr>
          <w:p w14:paraId="6FACF0F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CDK2</w:t>
            </w:r>
          </w:p>
          <w:p w14:paraId="58A61F0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PD-L1</w:t>
            </w:r>
          </w:p>
          <w:p w14:paraId="780253BE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PD-L1</w:t>
            </w:r>
          </w:p>
          <w:p w14:paraId="0C53A34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PD-L1</w:t>
            </w:r>
          </w:p>
          <w:p w14:paraId="7FAC7D7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Alexa Fluor 647</w:t>
            </w:r>
          </w:p>
          <w:p w14:paraId="175521EF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Alexa Fluor 488</w:t>
            </w:r>
          </w:p>
        </w:tc>
        <w:tc>
          <w:tcPr>
            <w:tcW w:w="1134" w:type="dxa"/>
          </w:tcPr>
          <w:p w14:paraId="38038532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  <w:p w14:paraId="7A19B1EB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Rabbit</w:t>
            </w:r>
          </w:p>
          <w:p w14:paraId="46CB6DA5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Goat</w:t>
            </w:r>
          </w:p>
          <w:p w14:paraId="053A34B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Mouse</w:t>
            </w:r>
          </w:p>
          <w:p w14:paraId="2505789F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donkey</w:t>
            </w:r>
          </w:p>
          <w:p w14:paraId="5DF1365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donkey</w:t>
            </w:r>
          </w:p>
        </w:tc>
        <w:tc>
          <w:tcPr>
            <w:tcW w:w="1843" w:type="dxa"/>
          </w:tcPr>
          <w:p w14:paraId="09BD910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  <w:p w14:paraId="48708318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  <w:p w14:paraId="1F61FE3F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  <w:p w14:paraId="0D63782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  <w:p w14:paraId="3C052BA9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  <w:p w14:paraId="2D68D4C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Flow Cytometry</w:t>
            </w:r>
          </w:p>
        </w:tc>
        <w:tc>
          <w:tcPr>
            <w:tcW w:w="1417" w:type="dxa"/>
          </w:tcPr>
          <w:p w14:paraId="29B79CB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  <w:p w14:paraId="04045B8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CST</w:t>
            </w:r>
          </w:p>
          <w:p w14:paraId="3637CFE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R&amp;D</w:t>
            </w:r>
          </w:p>
          <w:p w14:paraId="162F17C0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Proteintech</w:t>
            </w:r>
          </w:p>
          <w:p w14:paraId="27AEE3E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  <w:p w14:paraId="7B694BB6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Invitrogen</w:t>
            </w:r>
          </w:p>
        </w:tc>
        <w:tc>
          <w:tcPr>
            <w:tcW w:w="1497" w:type="dxa"/>
          </w:tcPr>
          <w:p w14:paraId="118A7391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2546S</w:t>
            </w:r>
          </w:p>
          <w:p w14:paraId="07802B44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13684S</w:t>
            </w:r>
          </w:p>
          <w:p w14:paraId="5B087BE9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AF1019</w:t>
            </w:r>
          </w:p>
          <w:p w14:paraId="6F8679ED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66248-1-IG</w:t>
            </w:r>
          </w:p>
          <w:p w14:paraId="1500629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A31573</w:t>
            </w:r>
          </w:p>
          <w:p w14:paraId="4AD357D4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A11055</w:t>
            </w:r>
          </w:p>
        </w:tc>
      </w:tr>
      <w:tr w:rsidR="000120F1" w14:paraId="3286C8DA" w14:textId="77777777">
        <w:tc>
          <w:tcPr>
            <w:tcW w:w="2405" w:type="dxa"/>
          </w:tcPr>
          <w:p w14:paraId="4D17D4AA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β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tub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lin</w:t>
            </w:r>
          </w:p>
        </w:tc>
        <w:tc>
          <w:tcPr>
            <w:tcW w:w="1134" w:type="dxa"/>
          </w:tcPr>
          <w:p w14:paraId="264668C2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Mouse</w:t>
            </w:r>
          </w:p>
        </w:tc>
        <w:tc>
          <w:tcPr>
            <w:tcW w:w="1843" w:type="dxa"/>
          </w:tcPr>
          <w:p w14:paraId="762D9CA3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WB</w:t>
            </w:r>
          </w:p>
        </w:tc>
        <w:tc>
          <w:tcPr>
            <w:tcW w:w="1417" w:type="dxa"/>
          </w:tcPr>
          <w:p w14:paraId="4EDF01F7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Proteintech</w:t>
            </w:r>
          </w:p>
        </w:tc>
        <w:tc>
          <w:tcPr>
            <w:tcW w:w="1497" w:type="dxa"/>
          </w:tcPr>
          <w:p w14:paraId="5C5B382C" w14:textId="77777777" w:rsidR="000120F1" w:rsidRDefault="00000000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10094-1-AP</w:t>
            </w:r>
          </w:p>
        </w:tc>
      </w:tr>
    </w:tbl>
    <w:p w14:paraId="77D41701" w14:textId="77777777" w:rsidR="000120F1" w:rsidRDefault="000120F1">
      <w:pPr>
        <w:spacing w:line="20" w:lineRule="exact"/>
        <w:rPr>
          <w:rFonts w:ascii="Times New Roman" w:hAnsi="Times New Roman" w:cs="Times New Roman"/>
          <w:sz w:val="28"/>
          <w:szCs w:val="32"/>
        </w:rPr>
      </w:pPr>
    </w:p>
    <w:p w14:paraId="1E8369F7" w14:textId="77777777" w:rsidR="000120F1" w:rsidRDefault="000120F1">
      <w:pPr>
        <w:spacing w:line="20" w:lineRule="exact"/>
        <w:rPr>
          <w:rFonts w:ascii="Times New Roman" w:hAnsi="Times New Roman" w:cs="Times New Roman"/>
          <w:sz w:val="28"/>
          <w:szCs w:val="32"/>
        </w:rPr>
      </w:pPr>
    </w:p>
    <w:p w14:paraId="3284F216" w14:textId="77777777" w:rsidR="000120F1" w:rsidRDefault="000120F1">
      <w:pPr>
        <w:spacing w:line="360" w:lineRule="auto"/>
        <w:rPr>
          <w:rFonts w:ascii="Times New Roman" w:hAnsi="Times New Roman" w:cs="Times New Roman"/>
          <w:sz w:val="28"/>
          <w:szCs w:val="32"/>
        </w:rPr>
      </w:pPr>
    </w:p>
    <w:p w14:paraId="3148092A" w14:textId="77777777" w:rsidR="000120F1" w:rsidRDefault="00000000">
      <w:pPr>
        <w:spacing w:line="360" w:lineRule="auto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 w:hint="eastAsia"/>
          <w:sz w:val="28"/>
          <w:szCs w:val="32"/>
        </w:rPr>
        <w:t>Table S3. Concentration of RWYD-MMAE in tissues following intraperitoneal injection in healthy C57BL/6 mice (Mean</w:t>
      </w:r>
      <w:r>
        <w:rPr>
          <w:rFonts w:ascii="Times New Roman" w:hAnsi="Times New Roman" w:cs="Times New Roman" w:hint="eastAsia"/>
          <w:sz w:val="28"/>
          <w:szCs w:val="32"/>
        </w:rPr>
        <w:t>±</w:t>
      </w:r>
      <w:r>
        <w:rPr>
          <w:rFonts w:ascii="Times New Roman" w:hAnsi="Times New Roman" w:cs="Times New Roman" w:hint="eastAsia"/>
          <w:sz w:val="28"/>
          <w:szCs w:val="32"/>
        </w:rPr>
        <w:t>SD, n=3).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1185"/>
        <w:gridCol w:w="1741"/>
        <w:gridCol w:w="1075"/>
        <w:gridCol w:w="1075"/>
        <w:gridCol w:w="1075"/>
        <w:gridCol w:w="1075"/>
        <w:gridCol w:w="1078"/>
      </w:tblGrid>
      <w:tr w:rsidR="000120F1" w14:paraId="7BFB10B6" w14:textId="77777777">
        <w:trPr>
          <w:trHeight w:val="315"/>
        </w:trPr>
        <w:tc>
          <w:tcPr>
            <w:tcW w:w="714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945B90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time(h)</w:t>
            </w:r>
          </w:p>
        </w:tc>
        <w:tc>
          <w:tcPr>
            <w:tcW w:w="4286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896BD7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RWYD-MMAE Conc.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nmol/L</w:t>
            </w:r>
            <w:r>
              <w:rPr>
                <w:rFonts w:ascii="Times New Roman" w:hAnsi="Times New Roman" w:cs="Times New Roman" w:hint="eastAsia"/>
                <w:sz w:val="28"/>
                <w:szCs w:val="32"/>
              </w:rPr>
              <w:t xml:space="preserve"> or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nmol/g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）</w:t>
            </w:r>
          </w:p>
        </w:tc>
      </w:tr>
      <w:tr w:rsidR="000120F1" w14:paraId="04509736" w14:textId="77777777">
        <w:trPr>
          <w:trHeight w:val="315"/>
        </w:trPr>
        <w:tc>
          <w:tcPr>
            <w:tcW w:w="714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9BD0EC0" w14:textId="77777777" w:rsidR="000120F1" w:rsidRDefault="000120F1">
            <w:pPr>
              <w:spacing w:line="300" w:lineRule="auto"/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EBC6AD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Serum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31960B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Heart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55EA80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Liver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4122DC8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Spleen</w:t>
            </w:r>
          </w:p>
        </w:tc>
        <w:tc>
          <w:tcPr>
            <w:tcW w:w="6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73201C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Lung</w:t>
            </w:r>
          </w:p>
        </w:tc>
        <w:tc>
          <w:tcPr>
            <w:tcW w:w="64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3A38C78" w14:textId="77777777" w:rsidR="000120F1" w:rsidRDefault="00000000">
            <w:pPr>
              <w:widowControl/>
              <w:spacing w:line="300" w:lineRule="auto"/>
              <w:jc w:val="center"/>
              <w:textAlignment w:val="botto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Kidney</w:t>
            </w:r>
          </w:p>
        </w:tc>
      </w:tr>
      <w:tr w:rsidR="000120F1" w14:paraId="0C17B5DE" w14:textId="77777777">
        <w:trPr>
          <w:trHeight w:val="315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AE4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0.167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0A4C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42±16.74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C3CC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602B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438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D608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1917F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</w:tr>
      <w:tr w:rsidR="000120F1" w14:paraId="5EDDDA92" w14:textId="77777777">
        <w:trPr>
          <w:trHeight w:val="315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BB87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ECE28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13.57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7C381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3DFB7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A3DA1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34A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2150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</w:tr>
      <w:tr w:rsidR="000120F1" w14:paraId="3623F387" w14:textId="77777777">
        <w:trPr>
          <w:trHeight w:val="315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6EB16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4884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B929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B2CC9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E8F1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26229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C7510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</w:tr>
      <w:tr w:rsidR="000120F1" w14:paraId="0CA7B007" w14:textId="77777777">
        <w:trPr>
          <w:trHeight w:val="315"/>
        </w:trPr>
        <w:tc>
          <w:tcPr>
            <w:tcW w:w="7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C4260AE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83B67F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FD045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9BA3FD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AEF17D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71B73F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8FAB33" w14:textId="77777777" w:rsidR="000120F1" w:rsidRDefault="00000000">
            <w:pPr>
              <w:widowControl/>
              <w:spacing w:line="30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BQL</w:t>
            </w:r>
          </w:p>
        </w:tc>
      </w:tr>
    </w:tbl>
    <w:p w14:paraId="1818B09F" w14:textId="77777777" w:rsidR="000120F1" w:rsidRDefault="00000000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* BQL=Below quantification limit; SD: standard deviation.</w:t>
      </w:r>
    </w:p>
    <w:sectPr w:rsidR="000120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NewRomanPSMT">
    <w:altName w:val="Times New Roman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147"/>
    <w:rsid w:val="00005902"/>
    <w:rsid w:val="000120F1"/>
    <w:rsid w:val="000549FB"/>
    <w:rsid w:val="00080D93"/>
    <w:rsid w:val="00086F90"/>
    <w:rsid w:val="00087648"/>
    <w:rsid w:val="000900E6"/>
    <w:rsid w:val="000A22F3"/>
    <w:rsid w:val="000C5368"/>
    <w:rsid w:val="000C7063"/>
    <w:rsid w:val="000D0C3D"/>
    <w:rsid w:val="000E1F8A"/>
    <w:rsid w:val="000E49EB"/>
    <w:rsid w:val="000F274D"/>
    <w:rsid w:val="000F5252"/>
    <w:rsid w:val="00112F42"/>
    <w:rsid w:val="001410DF"/>
    <w:rsid w:val="001478EA"/>
    <w:rsid w:val="00157E65"/>
    <w:rsid w:val="00167BF2"/>
    <w:rsid w:val="00183C44"/>
    <w:rsid w:val="001D1188"/>
    <w:rsid w:val="001D34BE"/>
    <w:rsid w:val="001F02AC"/>
    <w:rsid w:val="001F13D2"/>
    <w:rsid w:val="001F3319"/>
    <w:rsid w:val="001F6273"/>
    <w:rsid w:val="002052C3"/>
    <w:rsid w:val="00213CEA"/>
    <w:rsid w:val="002B792A"/>
    <w:rsid w:val="002C4083"/>
    <w:rsid w:val="002C5DA6"/>
    <w:rsid w:val="002E4234"/>
    <w:rsid w:val="002F1B58"/>
    <w:rsid w:val="003427DB"/>
    <w:rsid w:val="003601B7"/>
    <w:rsid w:val="003857A3"/>
    <w:rsid w:val="003A70C7"/>
    <w:rsid w:val="003D644A"/>
    <w:rsid w:val="003E4448"/>
    <w:rsid w:val="003F1BCB"/>
    <w:rsid w:val="00425BDF"/>
    <w:rsid w:val="00431316"/>
    <w:rsid w:val="004639E8"/>
    <w:rsid w:val="00491612"/>
    <w:rsid w:val="004A0F77"/>
    <w:rsid w:val="004B30C4"/>
    <w:rsid w:val="004E08D2"/>
    <w:rsid w:val="004F3214"/>
    <w:rsid w:val="004F5EB5"/>
    <w:rsid w:val="00502BFF"/>
    <w:rsid w:val="005138A0"/>
    <w:rsid w:val="00520838"/>
    <w:rsid w:val="00534820"/>
    <w:rsid w:val="00542841"/>
    <w:rsid w:val="00547081"/>
    <w:rsid w:val="00571FC2"/>
    <w:rsid w:val="00573331"/>
    <w:rsid w:val="005A1673"/>
    <w:rsid w:val="005C085D"/>
    <w:rsid w:val="005D273E"/>
    <w:rsid w:val="005E18CC"/>
    <w:rsid w:val="005E5BC9"/>
    <w:rsid w:val="006112CF"/>
    <w:rsid w:val="0062702B"/>
    <w:rsid w:val="00633F26"/>
    <w:rsid w:val="00652D7C"/>
    <w:rsid w:val="00662170"/>
    <w:rsid w:val="0067184A"/>
    <w:rsid w:val="00674373"/>
    <w:rsid w:val="00685F65"/>
    <w:rsid w:val="006B7924"/>
    <w:rsid w:val="006C1822"/>
    <w:rsid w:val="006F0CB8"/>
    <w:rsid w:val="006F1194"/>
    <w:rsid w:val="006F4B0B"/>
    <w:rsid w:val="00707C98"/>
    <w:rsid w:val="0077682C"/>
    <w:rsid w:val="00787C66"/>
    <w:rsid w:val="007918FE"/>
    <w:rsid w:val="007C20BE"/>
    <w:rsid w:val="007C6D19"/>
    <w:rsid w:val="00806D03"/>
    <w:rsid w:val="008158DD"/>
    <w:rsid w:val="00817B13"/>
    <w:rsid w:val="00826495"/>
    <w:rsid w:val="00837E26"/>
    <w:rsid w:val="008404C7"/>
    <w:rsid w:val="00861673"/>
    <w:rsid w:val="00863F9B"/>
    <w:rsid w:val="008870F2"/>
    <w:rsid w:val="008A1D0B"/>
    <w:rsid w:val="008D5892"/>
    <w:rsid w:val="008E3466"/>
    <w:rsid w:val="008E47C0"/>
    <w:rsid w:val="008E51D5"/>
    <w:rsid w:val="008F17BF"/>
    <w:rsid w:val="008F26F9"/>
    <w:rsid w:val="008F3A6E"/>
    <w:rsid w:val="00916DDF"/>
    <w:rsid w:val="00921429"/>
    <w:rsid w:val="0092388B"/>
    <w:rsid w:val="009504FE"/>
    <w:rsid w:val="009552FC"/>
    <w:rsid w:val="009708FC"/>
    <w:rsid w:val="00984177"/>
    <w:rsid w:val="00996B02"/>
    <w:rsid w:val="009A2372"/>
    <w:rsid w:val="009A45C3"/>
    <w:rsid w:val="009A606D"/>
    <w:rsid w:val="009F07A6"/>
    <w:rsid w:val="00A03ABD"/>
    <w:rsid w:val="00A322A2"/>
    <w:rsid w:val="00A3249E"/>
    <w:rsid w:val="00A33B60"/>
    <w:rsid w:val="00A43CA3"/>
    <w:rsid w:val="00A452B3"/>
    <w:rsid w:val="00A53887"/>
    <w:rsid w:val="00A57F7B"/>
    <w:rsid w:val="00A734A7"/>
    <w:rsid w:val="00AA1642"/>
    <w:rsid w:val="00AA29BA"/>
    <w:rsid w:val="00AA68B5"/>
    <w:rsid w:val="00AA75F8"/>
    <w:rsid w:val="00AB1687"/>
    <w:rsid w:val="00AB3374"/>
    <w:rsid w:val="00AC73FE"/>
    <w:rsid w:val="00AD4CCA"/>
    <w:rsid w:val="00B014A3"/>
    <w:rsid w:val="00B339AE"/>
    <w:rsid w:val="00B42820"/>
    <w:rsid w:val="00B46AA7"/>
    <w:rsid w:val="00BB4878"/>
    <w:rsid w:val="00BB5010"/>
    <w:rsid w:val="00BC5241"/>
    <w:rsid w:val="00BD0F94"/>
    <w:rsid w:val="00BE28FD"/>
    <w:rsid w:val="00BE4508"/>
    <w:rsid w:val="00BF76F2"/>
    <w:rsid w:val="00C228B1"/>
    <w:rsid w:val="00C313CC"/>
    <w:rsid w:val="00C8210B"/>
    <w:rsid w:val="00C9213F"/>
    <w:rsid w:val="00C93916"/>
    <w:rsid w:val="00CA3BD6"/>
    <w:rsid w:val="00CB34C9"/>
    <w:rsid w:val="00CF10B7"/>
    <w:rsid w:val="00D16CDC"/>
    <w:rsid w:val="00D22FD2"/>
    <w:rsid w:val="00D268C1"/>
    <w:rsid w:val="00D26DD0"/>
    <w:rsid w:val="00D30224"/>
    <w:rsid w:val="00D71101"/>
    <w:rsid w:val="00D76C3D"/>
    <w:rsid w:val="00D80A76"/>
    <w:rsid w:val="00D84B9A"/>
    <w:rsid w:val="00D9225A"/>
    <w:rsid w:val="00DC3A60"/>
    <w:rsid w:val="00DD1D11"/>
    <w:rsid w:val="00DD62D2"/>
    <w:rsid w:val="00E20B8F"/>
    <w:rsid w:val="00E268CE"/>
    <w:rsid w:val="00E71567"/>
    <w:rsid w:val="00E80147"/>
    <w:rsid w:val="00E811D4"/>
    <w:rsid w:val="00E8341B"/>
    <w:rsid w:val="00E85F3F"/>
    <w:rsid w:val="00E9163C"/>
    <w:rsid w:val="00E96889"/>
    <w:rsid w:val="00EE2B94"/>
    <w:rsid w:val="00EE30C4"/>
    <w:rsid w:val="00EE75C6"/>
    <w:rsid w:val="00EF0D2A"/>
    <w:rsid w:val="00EF11CE"/>
    <w:rsid w:val="00EF35EE"/>
    <w:rsid w:val="00EF4240"/>
    <w:rsid w:val="00F14FAA"/>
    <w:rsid w:val="00F22FA4"/>
    <w:rsid w:val="00F37848"/>
    <w:rsid w:val="00FA79A7"/>
    <w:rsid w:val="00FB32E9"/>
    <w:rsid w:val="00FB3B38"/>
    <w:rsid w:val="00FD3698"/>
    <w:rsid w:val="02B7582C"/>
    <w:rsid w:val="03886015"/>
    <w:rsid w:val="05EA0DEB"/>
    <w:rsid w:val="0CCC4577"/>
    <w:rsid w:val="113147B2"/>
    <w:rsid w:val="14A32AD4"/>
    <w:rsid w:val="15110EDF"/>
    <w:rsid w:val="15323E58"/>
    <w:rsid w:val="168507E9"/>
    <w:rsid w:val="19485280"/>
    <w:rsid w:val="225B3560"/>
    <w:rsid w:val="25D6024D"/>
    <w:rsid w:val="314B2DE4"/>
    <w:rsid w:val="33087812"/>
    <w:rsid w:val="34863277"/>
    <w:rsid w:val="377F2AD5"/>
    <w:rsid w:val="3DE15F69"/>
    <w:rsid w:val="470678B6"/>
    <w:rsid w:val="4C7166FA"/>
    <w:rsid w:val="54E029F0"/>
    <w:rsid w:val="57D97424"/>
    <w:rsid w:val="5B556244"/>
    <w:rsid w:val="606E3563"/>
    <w:rsid w:val="61FB1DA7"/>
    <w:rsid w:val="6312416F"/>
    <w:rsid w:val="65E363B6"/>
    <w:rsid w:val="69DB6606"/>
    <w:rsid w:val="6D372F2F"/>
    <w:rsid w:val="6F9E1043"/>
    <w:rsid w:val="713C6D66"/>
    <w:rsid w:val="7B8A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7F212"/>
  <w15:docId w15:val="{26DC981D-821A-4D70-8F1C-42E94811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e">
    <w:name w:val="Quote"/>
    <w:basedOn w:val="a"/>
    <w:next w:val="a"/>
    <w:link w:val="af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">
    <w:name w:val="引用 字符"/>
    <w:basedOn w:val="a0"/>
    <w:link w:val="ae"/>
    <w:uiPriority w:val="29"/>
    <w:qFormat/>
    <w:rPr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2">
    <w:name w:val="明显引用 字符"/>
    <w:basedOn w:val="a0"/>
    <w:link w:val="af1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customStyle="1" w:styleId="13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31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3">
    <w:name w:val="Revision"/>
    <w:hidden/>
    <w:uiPriority w:val="99"/>
    <w:unhideWhenUsed/>
    <w:rsid w:val="00984177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3C61D-5F70-49BB-9D30-619287243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小姐 高</dc:creator>
  <cp:lastModifiedBy>小姐 高</cp:lastModifiedBy>
  <cp:revision>5</cp:revision>
  <dcterms:created xsi:type="dcterms:W3CDTF">2025-06-24T05:36:00Z</dcterms:created>
  <dcterms:modified xsi:type="dcterms:W3CDTF">2025-06-24T06:03:00Z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eyJoZGlkIjoiYWYwNzk4ZTRlN2M5OGNjYWQwMDVmMWNiYWJiY2I2ZjkiLCJ1c2VySWQiOiIyMzkwMTcwNzkifQ==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379ECCDA1CC343F1B45AF682E78FA051_12</vt:lpwstr>
  </property>
</Properties>
</file>