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3D17" w14:textId="204FFB20" w:rsidR="00507082" w:rsidRDefault="00C07008" w:rsidP="005C4D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3761AF3A" wp14:editId="1449CB86">
            <wp:extent cx="5274310" cy="6247181"/>
            <wp:effectExtent l="0" t="0" r="2540" b="1270"/>
            <wp:docPr id="691094520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94520" name="图片 1" descr="图示&#10;&#10;AI 生成的内容可能不正确。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82"/>
                    <a:stretch/>
                  </pic:blipFill>
                  <pic:spPr bwMode="auto">
                    <a:xfrm>
                      <a:off x="0" y="0"/>
                      <a:ext cx="5274310" cy="6247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77D22" w14:textId="77777777" w:rsidR="00811EAB" w:rsidRPr="004E3D97" w:rsidRDefault="00811EAB" w:rsidP="00811EAB">
      <w:pPr>
        <w:spacing w:before="240" w:line="360" w:lineRule="auto"/>
        <w:rPr>
          <w:rFonts w:ascii="Times New Roman" w:hAnsi="Times New Roman" w:cs="Times New Roman"/>
          <w:sz w:val="24"/>
          <w:szCs w:val="28"/>
        </w:rPr>
      </w:pPr>
      <w:bookmarkStart w:id="0" w:name="OLE_LINK19"/>
      <w:r w:rsidRPr="004E3D97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proofErr w:type="spellStart"/>
      <w:r w:rsidRPr="004E3D97">
        <w:rPr>
          <w:rFonts w:ascii="Times New Roman" w:hAnsi="Times New Roman" w:cs="Times New Roman"/>
          <w:b/>
          <w:bCs/>
          <w:sz w:val="24"/>
          <w:szCs w:val="28"/>
        </w:rPr>
        <w:t>S2</w:t>
      </w:r>
      <w:proofErr w:type="spellEnd"/>
      <w:r w:rsidRPr="004E3D97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4E3D9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E3D97">
        <w:rPr>
          <w:rFonts w:ascii="Times New Roman" w:hAnsi="Times New Roman" w:cs="Times New Roman"/>
          <w:b/>
          <w:bCs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b/>
          <w:bCs/>
          <w:sz w:val="24"/>
          <w:szCs w:val="28"/>
        </w:rPr>
        <w:t xml:space="preserve"> Knockdown Enhances DNA Damage and Apoptosis Following IR and Olaparib Treatment</w:t>
      </w:r>
    </w:p>
    <w:bookmarkEnd w:id="0"/>
    <w:p w14:paraId="3B7844A4" w14:textId="2B2E24CC" w:rsidR="00811EAB" w:rsidRPr="00A9122C" w:rsidRDefault="00811EAB" w:rsidP="00811EAB">
      <w:pPr>
        <w:spacing w:before="240" w:line="360" w:lineRule="auto"/>
        <w:rPr>
          <w:rFonts w:ascii="Times New Roman" w:hAnsi="Times New Roman" w:cs="Times New Roman"/>
          <w:sz w:val="24"/>
          <w:szCs w:val="28"/>
        </w:rPr>
      </w:pPr>
      <w:r w:rsidRPr="004E3D97">
        <w:rPr>
          <w:rFonts w:ascii="Times New Roman" w:hAnsi="Times New Roman" w:cs="Times New Roman"/>
          <w:sz w:val="24"/>
          <w:szCs w:val="28"/>
        </w:rPr>
        <w:t xml:space="preserve">(A) Proliferative activity of MDA-MB-231 and BT-549 cells following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knockdown, evaluated using the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Cellometer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Auto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T4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cell counter. (</w:t>
      </w:r>
      <w:r>
        <w:rPr>
          <w:rFonts w:ascii="Times New Roman" w:hAnsi="Times New Roman" w:cs="Times New Roman" w:hint="eastAsia"/>
          <w:sz w:val="24"/>
          <w:szCs w:val="28"/>
        </w:rPr>
        <w:t>B</w:t>
      </w:r>
      <w:r w:rsidRPr="004E3D97">
        <w:rPr>
          <w:rFonts w:ascii="Times New Roman" w:hAnsi="Times New Roman" w:cs="Times New Roman"/>
          <w:sz w:val="24"/>
          <w:szCs w:val="28"/>
        </w:rPr>
        <w:t xml:space="preserve">) Clonogenic survival assays showing the survival fractions of MDA-MB-231 and BT-549 cells with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 after radiation at different doses (0, 2, 4, and 6 Gy).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E3D97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C</w:t>
      </w:r>
      <w:r w:rsidRPr="004E3D97">
        <w:rPr>
          <w:rFonts w:ascii="Times New Roman" w:hAnsi="Times New Roman" w:cs="Times New Roman"/>
          <w:sz w:val="24"/>
          <w:szCs w:val="28"/>
        </w:rPr>
        <w:t xml:space="preserve">) Comet assays displaying increased DNA fragmentation in cells treated with 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4 Gy </w:t>
      </w:r>
      <w:r w:rsidRPr="004E3D97">
        <w:rPr>
          <w:rFonts w:ascii="Times New Roman" w:hAnsi="Times New Roman" w:cs="Times New Roman"/>
          <w:sz w:val="24"/>
          <w:szCs w:val="28"/>
        </w:rPr>
        <w:t>IR. (</w:t>
      </w:r>
      <w:r>
        <w:rPr>
          <w:rFonts w:ascii="Times New Roman" w:hAnsi="Times New Roman" w:cs="Times New Roman" w:hint="eastAsia"/>
          <w:sz w:val="24"/>
          <w:szCs w:val="28"/>
        </w:rPr>
        <w:t>D</w:t>
      </w:r>
      <w:r w:rsidRPr="004E3D97">
        <w:rPr>
          <w:rFonts w:ascii="Times New Roman" w:hAnsi="Times New Roman" w:cs="Times New Roman"/>
          <w:sz w:val="24"/>
          <w:szCs w:val="28"/>
        </w:rPr>
        <w:t xml:space="preserve">) Flow </w:t>
      </w:r>
      <w:r w:rsidRPr="004E3D97">
        <w:rPr>
          <w:rFonts w:ascii="Times New Roman" w:hAnsi="Times New Roman" w:cs="Times New Roman"/>
          <w:sz w:val="24"/>
          <w:szCs w:val="28"/>
        </w:rPr>
        <w:lastRenderedPageBreak/>
        <w:t xml:space="preserve">cytometry analysis of apoptosis (Annexin V/PI staining) in </w:t>
      </w:r>
      <w:bookmarkStart w:id="1" w:name="OLE_LINK8"/>
      <w:r w:rsidRPr="004E3D97">
        <w:rPr>
          <w:rFonts w:ascii="Times New Roman" w:hAnsi="Times New Roman" w:cs="Times New Roman"/>
          <w:sz w:val="24"/>
          <w:szCs w:val="28"/>
        </w:rPr>
        <w:t xml:space="preserve">MDA-MB-231 and BT-549 cells treated with or without IR after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knockdown.</w:t>
      </w:r>
      <w:bookmarkEnd w:id="1"/>
      <w:r w:rsidRPr="004E3D97">
        <w:rPr>
          <w:rFonts w:ascii="Times New Roman" w:hAnsi="Times New Roman" w:cs="Times New Roman"/>
          <w:sz w:val="24"/>
          <w:szCs w:val="28"/>
        </w:rPr>
        <w:t xml:space="preserve"> </w:t>
      </w:r>
      <w:r w:rsidRPr="004E3D97">
        <w:rPr>
          <w:rFonts w:ascii="Times New Roman" w:hAnsi="Times New Roman" w:cs="Times New Roman" w:hint="eastAsia"/>
          <w:sz w:val="24"/>
          <w:szCs w:val="28"/>
        </w:rPr>
        <w:t>Q</w:t>
      </w:r>
      <w:r w:rsidRPr="004E3D97">
        <w:rPr>
          <w:rFonts w:ascii="Times New Roman" w:hAnsi="Times New Roman" w:cs="Times New Roman"/>
          <w:sz w:val="24"/>
          <w:szCs w:val="28"/>
        </w:rPr>
        <w:t xml:space="preserve">uantification of the total apoptotic cell population, including Annexin V+/PI− early apoptotic cells and Annexin V+/PI+ late apoptotic cells. (E) Western blot analysis showing elevated cleaved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PARP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and cleaved caspase-3 levels in MDA-MB-231 and BT-549 cells treated with or without 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4 Gy </w:t>
      </w:r>
      <w:r w:rsidRPr="004E3D97">
        <w:rPr>
          <w:rFonts w:ascii="Times New Roman" w:hAnsi="Times New Roman" w:cs="Times New Roman"/>
          <w:sz w:val="24"/>
          <w:szCs w:val="28"/>
        </w:rPr>
        <w:t xml:space="preserve">IR after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knockdown. β-actin serves as a loading control.</w:t>
      </w:r>
      <w:r w:rsidRPr="00EB0A7D">
        <w:rPr>
          <w:rFonts w:ascii="Times New Roman" w:hAnsi="Times New Roman" w:cs="Times New Roman"/>
          <w:sz w:val="24"/>
          <w:szCs w:val="28"/>
        </w:rPr>
        <w:t xml:space="preserve"> </w:t>
      </w:r>
      <w:bookmarkStart w:id="2" w:name="OLE_LINK20"/>
      <w:r w:rsidRPr="00DF3BEF">
        <w:rPr>
          <w:rFonts w:ascii="Times New Roman" w:hAnsi="Times New Roman" w:cs="Times New Roman"/>
          <w:sz w:val="24"/>
          <w:szCs w:val="28"/>
        </w:rPr>
        <w:t xml:space="preserve">(F, G) Cell viability assays assessing the sensitivity of BRCA wild-type (MDA-MB-231 and BT-549) and BRCA-mutant (MDA-MB-436 and </w:t>
      </w:r>
      <w:proofErr w:type="spellStart"/>
      <w:r w:rsidRPr="00DF3BEF">
        <w:rPr>
          <w:rFonts w:ascii="Times New Roman" w:hAnsi="Times New Roman" w:cs="Times New Roman"/>
          <w:sz w:val="24"/>
          <w:szCs w:val="28"/>
        </w:rPr>
        <w:t>HCC1937</w:t>
      </w:r>
      <w:proofErr w:type="spellEnd"/>
      <w:r w:rsidRPr="00DF3BEF">
        <w:rPr>
          <w:rFonts w:ascii="Times New Roman" w:hAnsi="Times New Roman" w:cs="Times New Roman"/>
          <w:sz w:val="24"/>
          <w:szCs w:val="28"/>
        </w:rPr>
        <w:t xml:space="preserve">) TNBC cells to </w:t>
      </w:r>
      <w:proofErr w:type="gramStart"/>
      <w:r w:rsidRPr="00DF3BEF">
        <w:rPr>
          <w:rFonts w:ascii="Times New Roman" w:hAnsi="Times New Roman" w:cs="Times New Roman"/>
          <w:sz w:val="24"/>
          <w:szCs w:val="28"/>
        </w:rPr>
        <w:t>increasing</w:t>
      </w:r>
      <w:proofErr w:type="gramEnd"/>
      <w:r w:rsidRPr="00DF3BEF">
        <w:rPr>
          <w:rFonts w:ascii="Times New Roman" w:hAnsi="Times New Roman" w:cs="Times New Roman"/>
          <w:sz w:val="24"/>
          <w:szCs w:val="28"/>
        </w:rPr>
        <w:t xml:space="preserve"> concentrations of Olaparib treatment (72 h) with or without </w:t>
      </w:r>
      <w:proofErr w:type="spellStart"/>
      <w:r w:rsidRPr="00DF3BEF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DF3BEF">
        <w:rPr>
          <w:rFonts w:ascii="Times New Roman" w:hAnsi="Times New Roman" w:cs="Times New Roman"/>
          <w:sz w:val="24"/>
          <w:szCs w:val="28"/>
        </w:rPr>
        <w:t xml:space="preserve"> knockdown.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E3D97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H</w:t>
      </w:r>
      <w:r w:rsidRPr="004E3D97">
        <w:rPr>
          <w:rFonts w:ascii="Times New Roman" w:hAnsi="Times New Roman" w:cs="Times New Roman"/>
          <w:sz w:val="24"/>
          <w:szCs w:val="28"/>
        </w:rPr>
        <w:t>) Western blot analysis showing the expression of γ-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H2AX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and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RAD51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in MDA-MB-231 and BT-549 cells after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 and 1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4E3D97"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Talazoparib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treatment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 for 48 h</w:t>
      </w:r>
      <w:r w:rsidRPr="004E3D97">
        <w:rPr>
          <w:rFonts w:ascii="Times New Roman" w:hAnsi="Times New Roman" w:cs="Times New Roman"/>
          <w:sz w:val="24"/>
          <w:szCs w:val="28"/>
        </w:rPr>
        <w:t>. β-actin was used as a loading control.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E3D97">
        <w:rPr>
          <w:rFonts w:ascii="Times New Roman" w:hAnsi="Times New Roman" w:cs="Times New Roman"/>
          <w:bCs/>
          <w:sz w:val="24"/>
          <w:szCs w:val="28"/>
        </w:rPr>
        <w:t>Graphs are presented as the mean ± SD from three independent experiments; P-values were determined using a two-tailed unpaired Student’s t-test; *p &lt; 0.05;</w:t>
      </w:r>
      <w:r w:rsidR="002E7D4A" w:rsidRPr="004E3D97">
        <w:rPr>
          <w:rFonts w:ascii="Times New Roman" w:hAnsi="Times New Roman" w:cs="Times New Roman"/>
          <w:bCs/>
          <w:sz w:val="24"/>
          <w:szCs w:val="28"/>
        </w:rPr>
        <w:t xml:space="preserve"> **p &lt; 0.01;</w:t>
      </w:r>
      <w:r w:rsidRPr="004E3D97">
        <w:rPr>
          <w:rFonts w:ascii="Times New Roman" w:hAnsi="Times New Roman" w:cs="Times New Roman"/>
          <w:bCs/>
          <w:sz w:val="24"/>
          <w:szCs w:val="28"/>
        </w:rPr>
        <w:t xml:space="preserve"> ***p &lt; 0.001; ****p &lt; 0.0001.</w:t>
      </w:r>
    </w:p>
    <w:bookmarkEnd w:id="2"/>
    <w:p w14:paraId="016C528C" w14:textId="77777777" w:rsidR="00811EAB" w:rsidRPr="00811EAB" w:rsidRDefault="00811EAB" w:rsidP="005C4D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sectPr w:rsidR="00811EAB" w:rsidRPr="00811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9A58" w14:textId="77777777" w:rsidR="00E460A4" w:rsidRDefault="00E460A4" w:rsidP="00507082">
      <w:pPr>
        <w:rPr>
          <w:rFonts w:hint="eastAsia"/>
        </w:rPr>
      </w:pPr>
      <w:r>
        <w:separator/>
      </w:r>
    </w:p>
  </w:endnote>
  <w:endnote w:type="continuationSeparator" w:id="0">
    <w:p w14:paraId="53CAAECB" w14:textId="77777777" w:rsidR="00E460A4" w:rsidRDefault="00E460A4" w:rsidP="005070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A6FFA" w14:textId="77777777" w:rsidR="00E460A4" w:rsidRDefault="00E460A4" w:rsidP="00507082">
      <w:pPr>
        <w:rPr>
          <w:rFonts w:hint="eastAsia"/>
        </w:rPr>
      </w:pPr>
      <w:r>
        <w:separator/>
      </w:r>
    </w:p>
  </w:footnote>
  <w:footnote w:type="continuationSeparator" w:id="0">
    <w:p w14:paraId="521D8370" w14:textId="77777777" w:rsidR="00E460A4" w:rsidRDefault="00E460A4" w:rsidP="005070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82"/>
    <w:rsid w:val="001A1969"/>
    <w:rsid w:val="001F2F31"/>
    <w:rsid w:val="00282BD9"/>
    <w:rsid w:val="00286723"/>
    <w:rsid w:val="002E7D4A"/>
    <w:rsid w:val="00390ADC"/>
    <w:rsid w:val="00507082"/>
    <w:rsid w:val="005C4DCC"/>
    <w:rsid w:val="00635496"/>
    <w:rsid w:val="00636518"/>
    <w:rsid w:val="0065038C"/>
    <w:rsid w:val="0069030D"/>
    <w:rsid w:val="007F4B50"/>
    <w:rsid w:val="007F6246"/>
    <w:rsid w:val="008003FB"/>
    <w:rsid w:val="00811EAB"/>
    <w:rsid w:val="00840CAA"/>
    <w:rsid w:val="00935B2C"/>
    <w:rsid w:val="009768BC"/>
    <w:rsid w:val="00A1493D"/>
    <w:rsid w:val="00AE60C1"/>
    <w:rsid w:val="00B5369B"/>
    <w:rsid w:val="00C07008"/>
    <w:rsid w:val="00E324B2"/>
    <w:rsid w:val="00E460A4"/>
    <w:rsid w:val="00EA1096"/>
    <w:rsid w:val="00EC4D26"/>
    <w:rsid w:val="00F06C46"/>
    <w:rsid w:val="00F44561"/>
    <w:rsid w:val="00F5030D"/>
    <w:rsid w:val="00F5302C"/>
    <w:rsid w:val="00F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28CB9"/>
  <w14:defaultImageDpi w14:val="32767"/>
  <w15:chartTrackingRefBased/>
  <w15:docId w15:val="{293B53F7-266F-493C-AC13-F47AF1C0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0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0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10</cp:revision>
  <dcterms:created xsi:type="dcterms:W3CDTF">2023-12-11T12:38:00Z</dcterms:created>
  <dcterms:modified xsi:type="dcterms:W3CDTF">2025-04-16T01:44:00Z</dcterms:modified>
</cp:coreProperties>
</file>