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589E7" w14:textId="2C91B319" w:rsidR="0083311C" w:rsidRPr="00B94100" w:rsidRDefault="00235867" w:rsidP="00B94100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94100">
        <w:rPr>
          <w:rFonts w:ascii="Times New Roman" w:hAnsi="Times New Roman" w:cs="Times New Roman"/>
          <w:b/>
          <w:bCs/>
          <w:sz w:val="24"/>
          <w:szCs w:val="24"/>
          <w:lang w:val="en-US"/>
        </w:rPr>
        <w:t>SUPPLEMENTARY MATERIAL</w:t>
      </w:r>
    </w:p>
    <w:p w14:paraId="46C8094B" w14:textId="4900EA10" w:rsidR="0083311C" w:rsidRDefault="0083311C">
      <w:pPr>
        <w:rPr>
          <w:sz w:val="24"/>
          <w:szCs w:val="24"/>
          <w:lang w:val="en-US"/>
        </w:rPr>
      </w:pPr>
    </w:p>
    <w:p w14:paraId="0CF10704" w14:textId="77777777" w:rsidR="00513216" w:rsidRDefault="00513216">
      <w:pPr>
        <w:rPr>
          <w:sz w:val="24"/>
          <w:szCs w:val="24"/>
          <w:lang w:val="en-US"/>
        </w:rPr>
      </w:pPr>
    </w:p>
    <w:p w14:paraId="23AC8A49" w14:textId="2E215C00" w:rsidR="00B94100" w:rsidRPr="007E7DB8" w:rsidRDefault="00B94100" w:rsidP="00B94100">
      <w:pPr>
        <w:spacing w:line="48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GB" w:eastAsia="it-IT"/>
          <w14:ligatures w14:val="none"/>
        </w:rPr>
      </w:pPr>
      <w:r w:rsidRPr="007E7DB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GB" w:eastAsia="it-IT"/>
          <w14:ligatures w14:val="none"/>
        </w:rPr>
        <w:t xml:space="preserve">Novel molecular mechanisms of </w:t>
      </w:r>
      <w:r w:rsidRPr="007E7DB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GB" w:eastAsia="it-IT"/>
          <w14:ligatures w14:val="none"/>
        </w:rPr>
        <w:t>FLT3</w:t>
      </w:r>
      <w:r w:rsidRPr="007E7DB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GB" w:eastAsia="it-IT"/>
          <w14:ligatures w14:val="none"/>
        </w:rPr>
        <w:t xml:space="preserve"> deregulation: from the acute myeloid leukemia experience to therapeutic insights in acute lymphoblastic leukemia</w:t>
      </w:r>
    </w:p>
    <w:p w14:paraId="23E26135" w14:textId="77777777" w:rsidR="00434E1E" w:rsidRPr="00003F81" w:rsidRDefault="00434E1E" w:rsidP="00434E1E">
      <w:pPr>
        <w:pStyle w:val="NormaleWeb"/>
        <w:spacing w:after="0"/>
        <w:jc w:val="both"/>
        <w:rPr>
          <w:lang w:val="en-GB"/>
        </w:rPr>
      </w:pPr>
    </w:p>
    <w:p w14:paraId="1B3BCA97" w14:textId="3F5E68AC" w:rsidR="00434E1E" w:rsidRPr="007E7DB8" w:rsidRDefault="00434E1E" w:rsidP="00434E1E">
      <w:pPr>
        <w:pStyle w:val="NormaleWeb"/>
        <w:spacing w:after="0"/>
        <w:jc w:val="both"/>
        <w:rPr>
          <w:vertAlign w:val="superscript"/>
        </w:rPr>
      </w:pPr>
      <w:r w:rsidRPr="007E7DB8">
        <w:t>F. Lo Schiavo</w:t>
      </w:r>
      <w:r w:rsidRPr="007E7DB8">
        <w:rPr>
          <w:vertAlign w:val="superscript"/>
        </w:rPr>
        <w:t>1</w:t>
      </w:r>
      <w:r w:rsidRPr="007E7DB8">
        <w:t>, C. Salvesi</w:t>
      </w:r>
      <w:r w:rsidRPr="007E7DB8">
        <w:rPr>
          <w:vertAlign w:val="superscript"/>
        </w:rPr>
        <w:t>1*</w:t>
      </w:r>
      <w:r w:rsidRPr="007E7DB8">
        <w:t>, M. Jandoubi</w:t>
      </w:r>
      <w:r w:rsidRPr="007E7DB8">
        <w:rPr>
          <w:vertAlign w:val="superscript"/>
        </w:rPr>
        <w:t>1</w:t>
      </w:r>
      <w:r w:rsidRPr="007E7DB8">
        <w:t>, F. Pirini</w:t>
      </w:r>
      <w:r w:rsidRPr="007E7DB8">
        <w:rPr>
          <w:vertAlign w:val="superscript"/>
        </w:rPr>
        <w:t>1</w:t>
      </w:r>
      <w:r w:rsidRPr="007E7DB8">
        <w:t>, J. Garbetta</w:t>
      </w:r>
      <w:r w:rsidRPr="007E7DB8">
        <w:rPr>
          <w:vertAlign w:val="superscript"/>
        </w:rPr>
        <w:t>1</w:t>
      </w:r>
      <w:r w:rsidRPr="007E7DB8">
        <w:t>, G. Martinelli</w:t>
      </w:r>
      <w:r w:rsidRPr="007E7DB8">
        <w:rPr>
          <w:vertAlign w:val="superscript"/>
        </w:rPr>
        <w:t>2</w:t>
      </w:r>
      <w:r w:rsidRPr="007E7DB8">
        <w:t>, G. Simonetti</w:t>
      </w:r>
      <w:r w:rsidRPr="007E7DB8">
        <w:rPr>
          <w:vertAlign w:val="superscript"/>
        </w:rPr>
        <w:t>1</w:t>
      </w:r>
      <w:r w:rsidRPr="007E7DB8">
        <w:t>, A. Ferrari</w:t>
      </w:r>
      <w:r w:rsidRPr="007E7DB8">
        <w:rPr>
          <w:vertAlign w:val="superscript"/>
        </w:rPr>
        <w:t>1§</w:t>
      </w:r>
    </w:p>
    <w:p w14:paraId="5FD7C564" w14:textId="77777777" w:rsidR="00434E1E" w:rsidRPr="007E7DB8" w:rsidRDefault="00434E1E" w:rsidP="00434E1E">
      <w:pPr>
        <w:rPr>
          <w:rFonts w:ascii="Times New Roman" w:hAnsi="Times New Roman" w:cs="Times New Roman"/>
          <w:sz w:val="24"/>
          <w:szCs w:val="24"/>
        </w:rPr>
      </w:pPr>
    </w:p>
    <w:p w14:paraId="73BC728E" w14:textId="77777777" w:rsidR="00434E1E" w:rsidRPr="007E7DB8" w:rsidRDefault="00434E1E" w:rsidP="004B089E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7E7DB8">
        <w:rPr>
          <w:rFonts w:ascii="Times New Roman" w:hAnsi="Times New Roman" w:cs="Times New Roman"/>
          <w:sz w:val="24"/>
          <w:szCs w:val="24"/>
        </w:rPr>
        <w:t>1 Biosciences Laboratory, IRCCS Istituto Romagnolo per lo Studio dei Tumori (IRST) "Dino Amadori", Meldola (FC), Italy</w:t>
      </w:r>
    </w:p>
    <w:p w14:paraId="1F839AA3" w14:textId="77777777" w:rsidR="00434E1E" w:rsidRDefault="00434E1E" w:rsidP="00434E1E">
      <w:pPr>
        <w:rPr>
          <w:rFonts w:ascii="Times New Roman" w:hAnsi="Times New Roman" w:cs="Times New Roman"/>
          <w:sz w:val="24"/>
          <w:szCs w:val="24"/>
        </w:rPr>
      </w:pPr>
      <w:r w:rsidRPr="007E7DB8">
        <w:rPr>
          <w:rFonts w:ascii="Times New Roman" w:hAnsi="Times New Roman" w:cs="Times New Roman"/>
          <w:sz w:val="24"/>
          <w:szCs w:val="24"/>
        </w:rPr>
        <w:t>2 University of Bologna, Istituto di Ematologia “Seràgnoli”, Bologna, Italy</w:t>
      </w:r>
    </w:p>
    <w:p w14:paraId="36BF6A6B" w14:textId="77777777" w:rsidR="004B089E" w:rsidRPr="007E7DB8" w:rsidRDefault="004B089E" w:rsidP="00434E1E">
      <w:pPr>
        <w:rPr>
          <w:rFonts w:ascii="Times New Roman" w:hAnsi="Times New Roman" w:cs="Times New Roman"/>
          <w:sz w:val="24"/>
          <w:szCs w:val="24"/>
        </w:rPr>
      </w:pPr>
    </w:p>
    <w:p w14:paraId="16D02C2B" w14:textId="77777777" w:rsidR="00434E1E" w:rsidRPr="007E7DB8" w:rsidRDefault="00434E1E" w:rsidP="00434E1E">
      <w:pPr>
        <w:rPr>
          <w:rFonts w:ascii="Times New Roman" w:hAnsi="Times New Roman" w:cs="Times New Roman"/>
          <w:sz w:val="24"/>
          <w:szCs w:val="24"/>
        </w:rPr>
      </w:pPr>
    </w:p>
    <w:p w14:paraId="4B3B3600" w14:textId="77777777" w:rsidR="00434E1E" w:rsidRPr="007E7DB8" w:rsidRDefault="00434E1E" w:rsidP="00434E1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 xml:space="preserve">* Corresponding author, </w:t>
      </w:r>
      <w:hyperlink r:id="rId5" w:history="1">
        <w:r w:rsidRPr="007E7DB8">
          <w:rPr>
            <w:rStyle w:val="Collegamentoipertestuale"/>
            <w:rFonts w:ascii="Times New Roman" w:hAnsi="Times New Roman" w:cs="Times New Roman"/>
            <w:sz w:val="24"/>
            <w:szCs w:val="24"/>
            <w:lang w:val="en-GB"/>
          </w:rPr>
          <w:t>chiara.salvesi@irst.emr.it</w:t>
        </w:r>
      </w:hyperlink>
    </w:p>
    <w:p w14:paraId="399389AC" w14:textId="77777777" w:rsidR="00434E1E" w:rsidRPr="007E7DB8" w:rsidRDefault="00434E1E" w:rsidP="00434E1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 xml:space="preserve">§ Co-corresponding author, </w:t>
      </w:r>
      <w:hyperlink r:id="rId6" w:history="1">
        <w:r w:rsidRPr="007E7DB8">
          <w:rPr>
            <w:rStyle w:val="Collegamentoipertestuale"/>
            <w:rFonts w:ascii="Times New Roman" w:hAnsi="Times New Roman" w:cs="Times New Roman"/>
            <w:sz w:val="24"/>
            <w:szCs w:val="24"/>
            <w:lang w:val="en-GB"/>
          </w:rPr>
          <w:t>anna.ferrari@irst.emr.it</w:t>
        </w:r>
      </w:hyperlink>
      <w:r w:rsidRPr="007E7DB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62CFCEC5" w14:textId="7C002B1B" w:rsidR="00612021" w:rsidRPr="007E7DB8" w:rsidRDefault="00612021">
      <w:pPr>
        <w:rPr>
          <w:sz w:val="24"/>
          <w:szCs w:val="24"/>
          <w:lang w:val="en-GB"/>
        </w:rPr>
      </w:pPr>
    </w:p>
    <w:p w14:paraId="79B62FB8" w14:textId="77777777" w:rsidR="00B94100" w:rsidRPr="007E7DB8" w:rsidRDefault="00B94100">
      <w:pPr>
        <w:rPr>
          <w:sz w:val="24"/>
          <w:szCs w:val="24"/>
          <w:lang w:val="en-GB"/>
        </w:rPr>
      </w:pPr>
    </w:p>
    <w:p w14:paraId="1F61D749" w14:textId="77777777" w:rsidR="00B94100" w:rsidRPr="007E7DB8" w:rsidRDefault="00B94100">
      <w:pPr>
        <w:rPr>
          <w:sz w:val="24"/>
          <w:szCs w:val="24"/>
          <w:lang w:val="en-GB"/>
        </w:rPr>
      </w:pPr>
    </w:p>
    <w:p w14:paraId="64AA9640" w14:textId="77777777" w:rsidR="00513216" w:rsidRDefault="00513216">
      <w:pPr>
        <w:rPr>
          <w:rFonts w:ascii="Times New Roman" w:hAnsi="Times New Roman" w:cs="Times New Roman"/>
          <w:b/>
          <w:bCs/>
          <w:lang w:val="en-GB"/>
        </w:rPr>
      </w:pPr>
      <w:r>
        <w:rPr>
          <w:rFonts w:ascii="Times New Roman" w:hAnsi="Times New Roman" w:cs="Times New Roman"/>
          <w:b/>
          <w:bCs/>
          <w:lang w:val="en-GB"/>
        </w:rPr>
        <w:br w:type="page"/>
      </w:r>
    </w:p>
    <w:p w14:paraId="075D0348" w14:textId="39474D1F" w:rsidR="00612021" w:rsidRPr="007E7DB8" w:rsidRDefault="00612021" w:rsidP="0061202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lastRenderedPageBreak/>
        <w:t>SUPPLEMENTARY TABLE</w:t>
      </w:r>
      <w:r w:rsidR="00D67BD5"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LEGENDS</w:t>
      </w:r>
    </w:p>
    <w:p w14:paraId="6B1CAF26" w14:textId="77777777" w:rsidR="00513216" w:rsidRPr="007E7DB8" w:rsidRDefault="00513216" w:rsidP="0061202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4744F7AA" w14:textId="543E5724" w:rsidR="002E542B" w:rsidRPr="007E7DB8" w:rsidRDefault="00612021" w:rsidP="002E542B">
      <w:pPr>
        <w:spacing w:line="48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it-IT"/>
          <w14:ligatures w14:val="none"/>
        </w:rPr>
      </w:pPr>
      <w:r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Table </w:t>
      </w:r>
      <w:r w:rsidR="00862B0F"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t>S1</w:t>
      </w:r>
      <w:r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. </w:t>
      </w:r>
      <w:r w:rsidR="002E542B" w:rsidRPr="007E7DB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it-IT"/>
          <w14:ligatures w14:val="none"/>
        </w:rPr>
        <w:t xml:space="preserve">Regulatory effects of canonical and non-canonical </w:t>
      </w:r>
      <w:r w:rsidR="002E542B" w:rsidRPr="007E7DB8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val="en-US" w:eastAsia="it-IT"/>
          <w14:ligatures w14:val="none"/>
        </w:rPr>
        <w:t>FLT3</w:t>
      </w:r>
      <w:r w:rsidR="002E542B" w:rsidRPr="007E7DB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it-IT"/>
          <w14:ligatures w14:val="none"/>
        </w:rPr>
        <w:t xml:space="preserve"> mutations reported in acute leukemias. </w:t>
      </w:r>
      <w:r w:rsidR="002E542B" w:rsidRPr="007E7DB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it-IT"/>
          <w14:ligatures w14:val="none"/>
        </w:rPr>
        <w:t xml:space="preserve">* canonical </w:t>
      </w:r>
      <w:r w:rsidR="002E542B" w:rsidRPr="007E7DB8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en-US" w:eastAsia="it-IT"/>
          <w14:ligatures w14:val="none"/>
        </w:rPr>
        <w:t>FLT3</w:t>
      </w:r>
      <w:r w:rsidR="002E542B" w:rsidRPr="007E7DB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it-IT"/>
          <w14:ligatures w14:val="none"/>
        </w:rPr>
        <w:t xml:space="preserve"> mutations; # non-canonical </w:t>
      </w:r>
      <w:r w:rsidR="002E542B" w:rsidRPr="007E7DB8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en-US" w:eastAsia="it-IT"/>
          <w14:ligatures w14:val="none"/>
        </w:rPr>
        <w:t>FLT3</w:t>
      </w:r>
      <w:r w:rsidR="002E542B" w:rsidRPr="007E7DB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it-IT"/>
          <w14:ligatures w14:val="none"/>
        </w:rPr>
        <w:t xml:space="preserve"> mutations.</w:t>
      </w:r>
    </w:p>
    <w:p w14:paraId="2E899335" w14:textId="77777777" w:rsidR="00513216" w:rsidRPr="007E7DB8" w:rsidRDefault="00513216" w:rsidP="00612021">
      <w:pPr>
        <w:spacing w:line="48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it-IT"/>
          <w14:ligatures w14:val="none"/>
        </w:rPr>
      </w:pPr>
    </w:p>
    <w:p w14:paraId="5F177931" w14:textId="5A8525CA" w:rsidR="00247CB5" w:rsidRPr="007E7DB8" w:rsidRDefault="00247CB5" w:rsidP="00612021">
      <w:pPr>
        <w:spacing w:line="48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it-IT"/>
          <w14:ligatures w14:val="none"/>
        </w:rPr>
      </w:pPr>
      <w:r w:rsidRPr="007E7DB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it-IT"/>
          <w14:ligatures w14:val="none"/>
        </w:rPr>
        <w:t xml:space="preserve">Table S2. </w:t>
      </w:r>
      <w:r w:rsidRPr="007E7DB8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val="en-US" w:eastAsia="it-IT"/>
          <w14:ligatures w14:val="none"/>
        </w:rPr>
        <w:t>FLT3</w:t>
      </w:r>
      <w:r w:rsidRPr="007E7DB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it-IT"/>
          <w14:ligatures w14:val="none"/>
        </w:rPr>
        <w:t xml:space="preserve"> </w:t>
      </w:r>
      <w:r w:rsidR="005D2C60" w:rsidRPr="007E7DB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it-IT"/>
          <w14:ligatures w14:val="none"/>
        </w:rPr>
        <w:t xml:space="preserve">main </w:t>
      </w:r>
      <w:r w:rsidRPr="007E7DB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it-IT"/>
          <w14:ligatures w14:val="none"/>
        </w:rPr>
        <w:t>co-mutations in AML and ALL populations</w:t>
      </w:r>
      <w:r w:rsidR="005D2C60" w:rsidRPr="007E7DB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it-IT"/>
          <w14:ligatures w14:val="none"/>
        </w:rPr>
        <w:t>.</w:t>
      </w:r>
    </w:p>
    <w:p w14:paraId="25DCBB56" w14:textId="18839C98" w:rsidR="00BE3D5E" w:rsidRPr="007E7DB8" w:rsidRDefault="00BE3D5E" w:rsidP="00612021">
      <w:pPr>
        <w:spacing w:line="48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it-IT"/>
          <w14:ligatures w14:val="none"/>
        </w:rPr>
      </w:pPr>
      <w:r w:rsidRPr="007E7DB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it-IT"/>
          <w14:ligatures w14:val="none"/>
        </w:rPr>
        <w:t xml:space="preserve">This table </w:t>
      </w:r>
      <w:r w:rsidR="00E551B1" w:rsidRPr="007E7DB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it-IT"/>
          <w14:ligatures w14:val="none"/>
        </w:rPr>
        <w:t xml:space="preserve">summarizes the co-occurrence of gene mutations in patients with </w:t>
      </w:r>
      <w:r w:rsidR="00E551B1" w:rsidRPr="007E7DB8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en-GB" w:eastAsia="it-IT"/>
          <w14:ligatures w14:val="none"/>
        </w:rPr>
        <w:t>FLT3</w:t>
      </w:r>
      <w:r w:rsidR="00E551B1" w:rsidRPr="007E7DB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it-IT"/>
          <w14:ligatures w14:val="none"/>
        </w:rPr>
        <w:t>-mutated AML and ALL across different patient subgroups, including adults, adolescents and young adults (AYA),</w:t>
      </w:r>
      <w:r w:rsidRPr="007E7DB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it-IT"/>
          <w14:ligatures w14:val="none"/>
        </w:rPr>
        <w:t xml:space="preserve"> and pediatric cases.</w:t>
      </w:r>
      <w:r w:rsidR="00513216" w:rsidRPr="007E7DB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it-IT"/>
          <w14:ligatures w14:val="none"/>
        </w:rPr>
        <w:t xml:space="preserve"> </w:t>
      </w:r>
      <w:r w:rsidRPr="007E7DB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it-IT"/>
          <w14:ligatures w14:val="none"/>
        </w:rPr>
        <w:t xml:space="preserve">For each gene listed, the table reports the number and percentage of patients who carry both a mutation in </w:t>
      </w:r>
      <w:r w:rsidRPr="007E7DB8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en-GB" w:eastAsia="it-IT"/>
          <w14:ligatures w14:val="none"/>
        </w:rPr>
        <w:t>FLT3</w:t>
      </w:r>
      <w:r w:rsidRPr="007E7DB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it-IT"/>
          <w14:ligatures w14:val="none"/>
        </w:rPr>
        <w:t xml:space="preserve"> and a mutation in the indicated gene. These values are shown relative to two populations: </w:t>
      </w:r>
      <w:r w:rsidRPr="007E7DB8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en-GB" w:eastAsia="it-IT"/>
          <w14:ligatures w14:val="none"/>
        </w:rPr>
        <w:t>FLT3</w:t>
      </w:r>
      <w:r w:rsidRPr="007E7DB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it-IT"/>
          <w14:ligatures w14:val="none"/>
        </w:rPr>
        <w:t>-mut</w:t>
      </w:r>
      <w:r w:rsidR="00E551B1" w:rsidRPr="007E7DB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it-IT"/>
          <w14:ligatures w14:val="none"/>
        </w:rPr>
        <w:t>ated</w:t>
      </w:r>
      <w:r w:rsidRPr="007E7DB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it-IT"/>
          <w14:ligatures w14:val="none"/>
        </w:rPr>
        <w:t xml:space="preserve"> patients only (column: co-mutated</w:t>
      </w:r>
      <w:r w:rsidRPr="007E7DB8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en-GB" w:eastAsia="it-IT"/>
          <w14:ligatures w14:val="none"/>
        </w:rPr>
        <w:t>/FLT3-</w:t>
      </w:r>
      <w:r w:rsidRPr="007E7DB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it-IT"/>
          <w14:ligatures w14:val="none"/>
        </w:rPr>
        <w:t>mut) and the total patient cohort (column: co-mutated/total). When available, separate values are provided for each different study. References to the original studies or datasets from which the data were derived are also included.</w:t>
      </w:r>
    </w:p>
    <w:p w14:paraId="2867BC17" w14:textId="77777777" w:rsidR="00513216" w:rsidRPr="007E7DB8" w:rsidRDefault="00513216" w:rsidP="00612021">
      <w:pPr>
        <w:spacing w:line="48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en-GB" w:eastAsia="it-IT"/>
          <w14:ligatures w14:val="none"/>
        </w:rPr>
      </w:pPr>
    </w:p>
    <w:p w14:paraId="1B976818" w14:textId="39CECA25" w:rsidR="00612021" w:rsidRPr="007E7DB8" w:rsidRDefault="00612021" w:rsidP="0061202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Table </w:t>
      </w:r>
      <w:r w:rsidR="00862B0F"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t>S</w:t>
      </w:r>
      <w:r w:rsidR="00247CB5"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t>3</w:t>
      </w:r>
      <w:r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t>. FLT3 inhibitor direct and downstream targets (*) described in the reported literature</w:t>
      </w:r>
      <w:r w:rsidR="00671F0F"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t>.</w:t>
      </w:r>
    </w:p>
    <w:p w14:paraId="4F1AE219" w14:textId="77777777" w:rsidR="00513216" w:rsidRPr="007E7DB8" w:rsidRDefault="00513216" w:rsidP="0061202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1A812282" w14:textId="1B043664" w:rsidR="00612021" w:rsidRPr="007E7DB8" w:rsidRDefault="00612021" w:rsidP="0061202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Table </w:t>
      </w:r>
      <w:r w:rsidR="00862B0F"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t>S</w:t>
      </w:r>
      <w:r w:rsidR="00247CB5"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t>4</w:t>
      </w:r>
      <w:r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t>.</w:t>
      </w:r>
      <w:r w:rsidR="00247CB5"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t>Eight FLT3 inhibitor sensitivity data in 43 pediatric/AYA ALL cell lines</w:t>
      </w:r>
      <w:r w:rsidR="00003F8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[70,71]</w:t>
      </w:r>
      <w:r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t>.</w:t>
      </w:r>
    </w:p>
    <w:p w14:paraId="054AC142" w14:textId="5D4BF045" w:rsidR="00B94100" w:rsidRPr="007E7DB8" w:rsidRDefault="00612021" w:rsidP="00513216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 xml:space="preserve">Sensitivity was quantified using the Selective Drug Sensitivity Score (sDSS), where higher values indicate greater sensitivity. We added a ranking system for: a) cell lines were ranked from 1 to 43 for sensitivity to specific inhibitors (column “Rank into Drug”) and b) FLT3 inhibitors were ranked from 1 to 8 (column “Rank into Cell line”), based on </w:t>
      </w:r>
      <w:r w:rsidR="00E551B1" w:rsidRPr="007E7DB8">
        <w:rPr>
          <w:rFonts w:ascii="Times New Roman" w:hAnsi="Times New Roman" w:cs="Times New Roman"/>
          <w:sz w:val="24"/>
          <w:szCs w:val="24"/>
          <w:lang w:val="en-GB"/>
        </w:rPr>
        <w:t>their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 xml:space="preserve"> effectiveness for each cell line. Drug response rules: sDSS ≥ 8: sensitive; 5 ≤ sDSS &lt; 8: intermediate; sensitivity and sDSS &lt; 5: resistant. </w:t>
      </w:r>
      <w:r w:rsidRPr="007E7DB8">
        <w:rPr>
          <w:rFonts w:ascii="Times New Roman" w:hAnsi="Times New Roman" w:cs="Times New Roman"/>
          <w:sz w:val="24"/>
          <w:szCs w:val="24"/>
          <w:lang w:val="en-US"/>
        </w:rPr>
        <w:t>Data from https://proteomics.se/forall/.</w:t>
      </w:r>
      <w:r w:rsidR="00B94100" w:rsidRPr="007E7DB8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0B6D9473" w14:textId="791ECD30" w:rsidR="0088241F" w:rsidRPr="007E7DB8" w:rsidRDefault="00612021" w:rsidP="0061202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b/>
          <w:bCs/>
          <w:sz w:val="24"/>
          <w:szCs w:val="24"/>
          <w:lang w:val="en-GB"/>
        </w:rPr>
        <w:lastRenderedPageBreak/>
        <w:t>SUPPLEMENTARY FIGURES</w:t>
      </w:r>
    </w:p>
    <w:p w14:paraId="682A3AEE" w14:textId="2D67FF39" w:rsidR="0083311C" w:rsidRPr="00115B2D" w:rsidRDefault="002F0252" w:rsidP="00B46CC6">
      <w:pPr>
        <w:jc w:val="left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4C24398" wp14:editId="37B171D0">
            <wp:extent cx="5382874" cy="9349565"/>
            <wp:effectExtent l="0" t="0" r="8890" b="0"/>
            <wp:docPr id="176320366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214" cy="9360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3B6754" w14:textId="53FA8C8A" w:rsidR="00B46CC6" w:rsidRDefault="00115B2D">
      <w:pPr>
        <w:rPr>
          <w:rFonts w:ascii="Times New Roman" w:hAnsi="Times New Roman" w:cs="Times New Roman"/>
          <w:color w:val="000000" w:themeColor="text1"/>
          <w:kern w:val="24"/>
          <w:sz w:val="24"/>
          <w:szCs w:val="24"/>
          <w:lang w:val="en-US"/>
        </w:rPr>
      </w:pPr>
      <w:r w:rsidRPr="007E7DB8">
        <w:rPr>
          <w:rFonts w:ascii="Times New Roman" w:eastAsia="Aptos" w:hAnsi="Times New Roman" w:cs="Times New Roman"/>
          <w:b/>
          <w:bCs/>
          <w:color w:val="000000" w:themeColor="text1"/>
          <w:sz w:val="24"/>
          <w:szCs w:val="24"/>
          <w:lang w:val="en-US"/>
        </w:rPr>
        <w:t>Fig. S</w:t>
      </w:r>
      <w:r w:rsidR="00291BA2" w:rsidRPr="007E7DB8">
        <w:rPr>
          <w:rFonts w:ascii="Times New Roman" w:eastAsia="Aptos" w:hAnsi="Times New Roman" w:cs="Times New Roman"/>
          <w:b/>
          <w:bCs/>
          <w:color w:val="000000" w:themeColor="text1"/>
          <w:sz w:val="24"/>
          <w:szCs w:val="24"/>
          <w:lang w:val="en-US"/>
        </w:rPr>
        <w:t>1</w:t>
      </w:r>
      <w:r w:rsidRPr="007E7DB8">
        <w:rPr>
          <w:rFonts w:ascii="Times New Roman" w:eastAsia="Aptos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: </w:t>
      </w:r>
      <w:r w:rsidRPr="007E7DB8">
        <w:rPr>
          <w:rFonts w:ascii="Times New Roman" w:hAnsi="Times New Roman" w:cs="Times New Roman"/>
          <w:b/>
          <w:bCs/>
          <w:color w:val="000000" w:themeColor="text1"/>
          <w:kern w:val="24"/>
          <w:sz w:val="24"/>
          <w:szCs w:val="24"/>
          <w:lang w:val="en-US"/>
        </w:rPr>
        <w:t xml:space="preserve">sDSS </w:t>
      </w:r>
      <w:r w:rsidR="0093569E" w:rsidRPr="007E7DB8">
        <w:rPr>
          <w:rFonts w:ascii="Times New Roman" w:hAnsi="Times New Roman" w:cs="Times New Roman"/>
          <w:b/>
          <w:bCs/>
          <w:color w:val="000000" w:themeColor="text1"/>
          <w:kern w:val="24"/>
          <w:sz w:val="24"/>
          <w:szCs w:val="24"/>
          <w:lang w:val="en-US"/>
        </w:rPr>
        <w:t xml:space="preserve">to 8 FLT3i </w:t>
      </w:r>
      <w:r w:rsidRPr="007E7DB8">
        <w:rPr>
          <w:rFonts w:ascii="Times New Roman" w:hAnsi="Times New Roman" w:cs="Times New Roman"/>
          <w:b/>
          <w:bCs/>
          <w:color w:val="000000" w:themeColor="text1"/>
          <w:kern w:val="24"/>
          <w:sz w:val="24"/>
          <w:szCs w:val="24"/>
          <w:lang w:val="en-US"/>
        </w:rPr>
        <w:t>for each molecular subgroup of B- and T-cell lines.</w:t>
      </w:r>
      <w:r w:rsidRPr="007E7DB8">
        <w:rPr>
          <w:rFonts w:ascii="Times New Roman" w:hAnsi="Times New Roman" w:cs="Times New Roman"/>
          <w:color w:val="000000" w:themeColor="text1"/>
          <w:kern w:val="24"/>
          <w:sz w:val="24"/>
          <w:szCs w:val="24"/>
          <w:lang w:val="en-US"/>
        </w:rPr>
        <w:t xml:space="preserve"> Each plot shows the sDSS for each FLT3 inhibitor; each dot represents a single cell line. sDSS ≥ 8: high sensitivity; 5 ≤ sDSS &lt; 8: intermediate sensitivity; sDSS &lt; 5: resistance.</w:t>
      </w:r>
      <w:r w:rsidR="002F0252" w:rsidRPr="007E7DB8">
        <w:rPr>
          <w:rFonts w:ascii="Times New Roman" w:hAnsi="Times New Roman" w:cs="Times New Roman"/>
          <w:color w:val="000000" w:themeColor="text1"/>
          <w:kern w:val="24"/>
          <w:sz w:val="24"/>
          <w:szCs w:val="24"/>
          <w:lang w:val="en-US"/>
        </w:rPr>
        <w:t xml:space="preserve"> * T-cell subgroups</w:t>
      </w:r>
      <w:r w:rsidR="00B46CC6">
        <w:rPr>
          <w:rFonts w:ascii="Times New Roman" w:hAnsi="Times New Roman" w:cs="Times New Roman"/>
          <w:color w:val="000000" w:themeColor="text1"/>
          <w:kern w:val="24"/>
          <w:sz w:val="24"/>
          <w:szCs w:val="24"/>
          <w:lang w:val="en-US"/>
        </w:rPr>
        <w:t>.</w:t>
      </w:r>
      <w:r w:rsidR="00B46CC6">
        <w:rPr>
          <w:rFonts w:ascii="Times New Roman" w:hAnsi="Times New Roman" w:cs="Times New Roman"/>
          <w:color w:val="000000" w:themeColor="text1"/>
          <w:kern w:val="24"/>
          <w:sz w:val="24"/>
          <w:szCs w:val="24"/>
          <w:lang w:val="en-US"/>
        </w:rPr>
        <w:br w:type="page"/>
      </w:r>
    </w:p>
    <w:p w14:paraId="0B367A18" w14:textId="16F7BA50" w:rsidR="0053703A" w:rsidRPr="00115B2D" w:rsidRDefault="002F0252">
      <w:pPr>
        <w:rPr>
          <w:lang w:val="en-US"/>
        </w:rPr>
      </w:pPr>
      <w:r>
        <w:rPr>
          <w:noProof/>
          <w:lang w:eastAsia="it-IT"/>
        </w:rPr>
        <w:lastRenderedPageBreak/>
        <w:drawing>
          <wp:anchor distT="0" distB="0" distL="114300" distR="114300" simplePos="0" relativeHeight="251674624" behindDoc="0" locked="0" layoutInCell="1" allowOverlap="1" wp14:anchorId="4A1CD911" wp14:editId="45841330">
            <wp:simplePos x="0" y="0"/>
            <wp:positionH relativeFrom="margin">
              <wp:align>center</wp:align>
            </wp:positionH>
            <wp:positionV relativeFrom="paragraph">
              <wp:posOffset>174932</wp:posOffset>
            </wp:positionV>
            <wp:extent cx="2971800" cy="2437765"/>
            <wp:effectExtent l="0" t="0" r="0" b="0"/>
            <wp:wrapTopAndBottom/>
            <wp:docPr id="1955607832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43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BCFF43" w14:textId="77777777" w:rsidR="00B46CC6" w:rsidRDefault="00B46CC6" w:rsidP="00115B2D">
      <w:pPr>
        <w:spacing w:after="160" w:line="276" w:lineRule="auto"/>
        <w:rPr>
          <w:rFonts w:ascii="Times New Roman" w:eastAsia="Aptos" w:hAnsi="Times New Roman" w:cs="Times New Roman"/>
          <w:b/>
          <w:bCs/>
          <w:color w:val="000000" w:themeColor="text1"/>
          <w:sz w:val="24"/>
          <w:szCs w:val="24"/>
          <w:lang w:val="en-US"/>
        </w:rPr>
      </w:pPr>
    </w:p>
    <w:p w14:paraId="0A2305E5" w14:textId="4DEE72F5" w:rsidR="00115B2D" w:rsidRPr="007E7DB8" w:rsidRDefault="00115B2D" w:rsidP="00115B2D">
      <w:pPr>
        <w:spacing w:after="160" w:line="276" w:lineRule="auto"/>
        <w:rPr>
          <w:rFonts w:ascii="Times New Roman" w:eastAsia="Aptos" w:hAnsi="Times New Roman" w:cs="Times New Roman"/>
          <w:b/>
          <w:bCs/>
          <w:color w:val="000000" w:themeColor="text1"/>
          <w:sz w:val="24"/>
          <w:szCs w:val="24"/>
          <w:lang w:val="en-US"/>
          <w14:ligatures w14:val="none"/>
        </w:rPr>
      </w:pPr>
      <w:r w:rsidRPr="007E7DB8">
        <w:rPr>
          <w:rFonts w:ascii="Times New Roman" w:eastAsia="Aptos" w:hAnsi="Times New Roman" w:cs="Times New Roman"/>
          <w:b/>
          <w:bCs/>
          <w:color w:val="000000" w:themeColor="text1"/>
          <w:sz w:val="24"/>
          <w:szCs w:val="24"/>
          <w:lang w:val="en-US"/>
        </w:rPr>
        <w:t>Fig. S</w:t>
      </w:r>
      <w:r w:rsidR="00291BA2" w:rsidRPr="007E7DB8">
        <w:rPr>
          <w:rFonts w:ascii="Times New Roman" w:eastAsia="Aptos" w:hAnsi="Times New Roman" w:cs="Times New Roman"/>
          <w:b/>
          <w:bCs/>
          <w:color w:val="000000" w:themeColor="text1"/>
          <w:sz w:val="24"/>
          <w:szCs w:val="24"/>
          <w:lang w:val="en-US"/>
        </w:rPr>
        <w:t>2</w:t>
      </w:r>
      <w:r w:rsidRPr="007E7DB8">
        <w:rPr>
          <w:rFonts w:ascii="Times New Roman" w:eastAsia="Aptos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: </w:t>
      </w:r>
      <w:r w:rsidR="006C31FA" w:rsidRPr="007E7DB8">
        <w:rPr>
          <w:rFonts w:ascii="Times New Roman" w:eastAsia="Aptos" w:hAnsi="Times New Roman" w:cs="Times New Roman"/>
          <w:b/>
          <w:bCs/>
          <w:i/>
          <w:iCs/>
          <w:color w:val="000000" w:themeColor="text1"/>
          <w:sz w:val="24"/>
          <w:szCs w:val="24"/>
          <w:lang w:val="en-US"/>
        </w:rPr>
        <w:t>FLT3-</w:t>
      </w:r>
      <w:r w:rsidR="006C31FA" w:rsidRPr="007E7DB8">
        <w:rPr>
          <w:rFonts w:ascii="Times New Roman" w:eastAsia="Aptos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mut KASUMI-10 B-ALL cell line </w:t>
      </w:r>
      <w:r w:rsidRPr="007E7DB8">
        <w:rPr>
          <w:rFonts w:ascii="Times New Roman" w:eastAsia="Aptos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sDSS </w:t>
      </w:r>
      <w:r w:rsidR="0093569E" w:rsidRPr="007E7DB8">
        <w:rPr>
          <w:rFonts w:ascii="Times New Roman" w:hAnsi="Times New Roman" w:cs="Times New Roman"/>
          <w:b/>
          <w:bCs/>
          <w:color w:val="000000" w:themeColor="text1"/>
          <w:kern w:val="24"/>
          <w:sz w:val="24"/>
          <w:szCs w:val="24"/>
          <w:lang w:val="en-US"/>
        </w:rPr>
        <w:t>to 8 FLT3i</w:t>
      </w:r>
      <w:r w:rsidRPr="007E7DB8">
        <w:rPr>
          <w:rFonts w:ascii="Times New Roman" w:eastAsia="Aptos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Pr="007E7DB8">
        <w:rPr>
          <w:rFonts w:ascii="Times New Roman" w:hAnsi="Times New Roman" w:cs="Times New Roman"/>
          <w:color w:val="000000" w:themeColor="text1"/>
          <w:kern w:val="24"/>
          <w:sz w:val="24"/>
          <w:szCs w:val="24"/>
          <w:lang w:val="en-US"/>
        </w:rPr>
        <w:t>sDSS ≥ 8: high sensitivity; 5 ≤ sDSS &lt; 8: intermediate sensitivity; sDSS &lt; 5: resistance.</w:t>
      </w:r>
    </w:p>
    <w:p w14:paraId="5515779C" w14:textId="468B7988" w:rsidR="0053703A" w:rsidRPr="00115B2D" w:rsidRDefault="00BA521C">
      <w:pPr>
        <w:rPr>
          <w:lang w:val="en-US"/>
        </w:rPr>
      </w:pPr>
      <w:r>
        <w:rPr>
          <w:lang w:val="en-US"/>
        </w:rPr>
        <w:br w:type="page"/>
      </w:r>
    </w:p>
    <w:p w14:paraId="3AA6F1B7" w14:textId="67204435" w:rsidR="0053703A" w:rsidRPr="007E7DB8" w:rsidRDefault="0053703A" w:rsidP="0053703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E7DB8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1AB58B17" w14:textId="4EAE1356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</w:rPr>
        <w:t>1.</w:t>
      </w:r>
      <w:r w:rsidRPr="007E7DB8">
        <w:rPr>
          <w:rFonts w:ascii="Times New Roman" w:hAnsi="Times New Roman" w:cs="Times New Roman"/>
          <w:sz w:val="24"/>
          <w:szCs w:val="24"/>
        </w:rPr>
        <w:tab/>
        <w:t xml:space="preserve">Cumbo C, Tarantini F, Anelli L, et al. 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>FLT3 mutational analysis in acute myeloid leukemia: Advantages and pitfalls with different approaches. Blood Rev. 2022;54:100928.</w:t>
      </w:r>
    </w:p>
    <w:p w14:paraId="41A5B684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2.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Fröhling S, Scholl C, Levine RL, et al. Identification of Driver and Passenger Mutations of FLT3 by High-Throughput DNA Sequence Analysis and Functional Assessment of Candidate Alleles. Cancer Cell. 2007;12(6):501-513.</w:t>
      </w:r>
    </w:p>
    <w:p w14:paraId="0D57B289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3.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Friedman R. The molecular mechanisms behind activation of FLT3 in acute myeloid leukemia and resistance to therapy by selective inhibitors. Biochimica et Biophysica Acta (BBA) - Reviews on Cancer. 2022;1877(1):188666.</w:t>
      </w:r>
    </w:p>
    <w:p w14:paraId="7868D74E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4.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Marensi V, Keeshan KR, MacEwan DJ. Pharmacological impact of FLT3 mutations on receptor activity and responsiveness to tyrosine kinase inhibitors. Biochem Pharmacol. 2021;183(July 2020):114348.</w:t>
      </w:r>
    </w:p>
    <w:p w14:paraId="6918CB9C" w14:textId="3CFD8D5F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5.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Yamamoto Y, Kiyoi H, Nakano Y, et al. Activating mutation of D835 within the activation loop of FLT3 in human hematologic malignancies. Blood. 2001;97(8):2434-2439.</w:t>
      </w:r>
    </w:p>
    <w:p w14:paraId="77481EAC" w14:textId="6625441C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6.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Gutierrez-Camino A, Richer C, Ouimet M, et al. Characterisation of FLT3 alterations in childhood acute lymphoblastic leukaemia. Br J Cancer. 2024;130(2):317-326.</w:t>
      </w:r>
    </w:p>
    <w:p w14:paraId="24CDA81E" w14:textId="3EB2D4C4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7.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Nguyen B, Williams AB, Young DJ, et al. FLT3 activating mutations display differential sensitivity to multiple tyrosine kinase inhibitors. Oncotarget. 2017;8(7):10931-10944.</w:t>
      </w:r>
    </w:p>
    <w:p w14:paraId="00B755A7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8.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Tiesmeier J, Müller-Tidow C, Westermann A, et al. Evolution of FLT3-ITD and D835 activating point mutations in relapsing acute myeloid leukemia and response to salvage therapy. Leuk Res. 2004;28(10):1069-1074.</w:t>
      </w:r>
    </w:p>
    <w:p w14:paraId="145D977A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9.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Mirza Z, Al-Saedi DA, Alganmi N, Karim S. Landscape of FLT3 Variations Associated with Structural and Functional Impact on Acute Myeloid Leukemia: A Computational Study. Int J Mol Sci. 2024;25(6):3419.</w:t>
      </w:r>
    </w:p>
    <w:p w14:paraId="6588D273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lastRenderedPageBreak/>
        <w:t>10.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Clark JJ, Cools J, Curley DP, et al. Variable sensitivity of FLT3 activation loop mutations to the small molecule tyrosine kinase inhibitor MLN518. Blood. 2004;104(9):2867-2872.</w:t>
      </w:r>
    </w:p>
    <w:p w14:paraId="4CFE74C8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11.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Grundler R, Thiede C, Miething C, Steudel C, Peschel C, Duyster J. Sensitivity toward tyrosine kinase inhibitors varies between different activating mutations of the FLT3 receptor. Blood. 2003;102(2):646-651.</w:t>
      </w:r>
    </w:p>
    <w:p w14:paraId="58D30D7F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12.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Armstrong SA, Kung AL, Mabon ME, et al. Inhibition of FLT3 in MLL: Validation of a therapeutic target identified by gene expression based classification. Cancer Cell. 2003;3(2):173-183.</w:t>
      </w:r>
    </w:p>
    <w:p w14:paraId="33B9B01B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13.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Armstrong SA, Mabon ME, Silverman LB, et al. FLT3 mutations in childhood acute lymphoblastic leukemia. Blood. 2004;103(9):3544-3546.</w:t>
      </w:r>
    </w:p>
    <w:p w14:paraId="75A5D605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14.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Schnittger S, Kohl TM, Leopold N, et al. D324N single‐nucleotide polymorphism in the FLT3 gene is associated with higher risk of myeloid leukemias. Genes Chromosomes Cancer. 2006;45(4):332-337.</w:t>
      </w:r>
    </w:p>
    <w:p w14:paraId="76107254" w14:textId="2B5D19F2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15.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Sandhöfer N, Bauer J, Reiter K, et al. The new and recurrent FLT3 juxtamembrane deletion mutation shows a dominant negative effect on the wild-type FLT3 receptor. Sci Rep. 2016;6(1):28032.</w:t>
      </w:r>
    </w:p>
    <w:p w14:paraId="6FFEEBBC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16.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Zhang Y, Zhang Y, Wang F, et al. The mutational spectrum of FLT3 gene in acute lymphoblastic leukemia is different from acute myeloid leukemia. Cancer Gene Ther. 2020;27(1-2):81-88.</w:t>
      </w:r>
    </w:p>
    <w:p w14:paraId="21A688CE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17.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Young DJ, Nguyen B, Zhu R, et al. Deletions in FLT-3 juxtamembrane domain define a new class of pathogenic mutations: case report and systematic analysis. Blood Adv. 2021;5(9):2285-2293.</w:t>
      </w:r>
    </w:p>
    <w:p w14:paraId="0CDB03E8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18.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Tarlock K, Hansen ME, Hylkema T, et al. Discovery and Functional Validation of Novel Pediatric Specific FLT3 Activating Mutations in Acute Myeloid Leukemia: Results from the COG/NCI Target Initiative. Blood. 2015;126(23):87-87.</w:t>
      </w:r>
    </w:p>
    <w:p w14:paraId="4931902E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19.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Anabtawi N, Nicolet D, Alotaibi N, et al. Prognostic, biological, and structural implications of FLT3-JMD point mutations in acute myeloid leukemia: an analysis of Alliance studies. Leukemia. 2025;39(3):623-631.</w:t>
      </w:r>
    </w:p>
    <w:p w14:paraId="0D7517B2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lastRenderedPageBreak/>
        <w:t>20.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Janke H, Pastore F, Schumacher D, et al. Activating FLT3 Mutants Show Distinct Gain-of-Function Phenotypes In Vitro and a Characteristic Signaling Pathway Profile Associated with Prognosis in Acute Myeloid Leukemia. Menendez P, ed. PLoS One. 2014;9(3):e89560.</w:t>
      </w:r>
    </w:p>
    <w:p w14:paraId="601AB91D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21.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Reindl C, Bagrintseva K, Vempati S, et al. Point mutations in the juxtamembrane domain of FLT3 define a new class of activating mutations in AML. Blood. 2006;107(9):3700-3707.</w:t>
      </w:r>
    </w:p>
    <w:p w14:paraId="7C3C893D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22.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Travaglini S, Gurnari C, Antonelli S, et al. Functional characterization and response to FLT3 inhibitors in acute myeloid leukaemia with a non‐canonical FLT3 mutation: A proof of concept. Br J Haematol. 2023;203(2):327-330.</w:t>
      </w:r>
    </w:p>
    <w:p w14:paraId="3969E518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23.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Andersson AK, Ma J, Wang J, et al. The landscape of somatic mutations in infant MLL-rearranged acute lymphoblastic leukemias. Nat Genet. 2015;47(4):330-337.</w:t>
      </w:r>
    </w:p>
    <w:p w14:paraId="2E868DFB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24.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Schittenhelm MM, Yee KWH, Tyner JW, et al. FLT3 K663Q is a novel AML-associated oncogenic kinase: determination of biochemical properties and sensitivity to Sunitinib (SU11248). Leukemia. 2006;20(11):2008-2014.</w:t>
      </w:r>
    </w:p>
    <w:p w14:paraId="7B019BDD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25.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Opatz S, Polzer H, Herold T, et al. Exome sequencing identifies recurring FLT3 N676K mutations in core-binding factor leukemia. Blood. 2013;122(10):1761-1769.</w:t>
      </w:r>
    </w:p>
    <w:p w14:paraId="07C56AA5" w14:textId="261724A6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26.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Smith CC, Lasater EA, Zhu X, et al. Activity of ponatinib against clinically-relevant AC220-resistant kinase domain mutants of FLT3-ITD. Blood. 2013;121(16):3165-3171.</w:t>
      </w:r>
    </w:p>
    <w:p w14:paraId="3B98EB12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27.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Cools J, Mentens N, Furet P, et al. Prediction of resistance to small molecule FLT3 inhibitors: implications for molecularly targeted therapy of acute leukemia. Cancer Res. 2004;64(18):6385-6389.</w:t>
      </w:r>
    </w:p>
    <w:p w14:paraId="747EF50A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28.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Pauwels D, Sweron B, Cools J. The N676D and G697R mutations in the kinase domain of FLT3 confer resistance to the inhibitor AC220. Haematologica. 2012;97(11):1773-1774.</w:t>
      </w:r>
    </w:p>
    <w:p w14:paraId="458B893A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29.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Jiang J, Paez JG, Lee JC, et al. Identifying and characterizing a novel activating mutation of the FLT3 tyrosine kinase in AML. Blood. 2004;104(6):1855-1858.</w:t>
      </w:r>
    </w:p>
    <w:p w14:paraId="151C5502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lastRenderedPageBreak/>
        <w:t>30.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Kindler T. Identification of a novel activating mutation (Y842C) within the activation loop of FLT3 in patients with acute myeloid leukemia (AML). Blood. 2005;105(1):335-340.</w:t>
      </w:r>
    </w:p>
    <w:p w14:paraId="7AF5E685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31.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Smith CC, Chin J, Wang Q, et al. Validation of FLT3-ITD As a Therapeutic Target in Human Acute Myeloid Leukemia. Blood. 2011;118(21):937-937.</w:t>
      </w:r>
    </w:p>
    <w:p w14:paraId="46997061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32.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de Smith AJ, Lavoie G, Walsh KM, et al. Predisposing germline mutations in high hyperdiploid acute lymphoblastic leukemia in children. Genes Chromosomes Cancer. 2019;58(10):723-730.</w:t>
      </w:r>
    </w:p>
    <w:p w14:paraId="07792105" w14:textId="60E5C3BA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33.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Katayama K, Noguchi K, Sugimoto Y. Heat shock protein 90 inhibitors overcome the resistance to Fms-like tyrosine kinase 3 inhibitors in acute myeloid leukemia. Oncotarget. 2018;9(76):34240-34258.</w:t>
      </w:r>
    </w:p>
    <w:p w14:paraId="4CF45FE2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34.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Bagrintseva K, Schwab R, Kohl TM, et al. Mutations in the tyrosine kinase domain of FLT3 define a new molecular mechanism of acquired drug resistance to PTK inhibitors in FLT3-ITD–transformed hematopoietic cells. Blood. 2004;103(6):2266-2275.</w:t>
      </w:r>
    </w:p>
    <w:p w14:paraId="560F3B3D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35.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 xml:space="preserve">Serizawa M, Kusuhara M, Ohnami S, et al. Novel Tumor-specific Mutations in Receptor Tyrosine Kinase Subdomain IX Significantly Reduce Extracellular Signal-regulated Kinase Activity. </w:t>
      </w:r>
      <w:r w:rsidRPr="007E7DB8">
        <w:rPr>
          <w:rFonts w:ascii="Times New Roman" w:hAnsi="Times New Roman" w:cs="Times New Roman"/>
          <w:sz w:val="24"/>
          <w:szCs w:val="24"/>
        </w:rPr>
        <w:t>Anticancer Res. 2016;36(6):2733-2744. http://www.ncbi.nlm.nih.gov/pubmed/27272783</w:t>
      </w:r>
    </w:p>
    <w:p w14:paraId="216080B5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</w:rPr>
        <w:t>36.</w:t>
      </w:r>
      <w:r w:rsidRPr="007E7DB8">
        <w:rPr>
          <w:rFonts w:ascii="Times New Roman" w:hAnsi="Times New Roman" w:cs="Times New Roman"/>
          <w:sz w:val="24"/>
          <w:szCs w:val="24"/>
        </w:rPr>
        <w:tab/>
        <w:t xml:space="preserve">Jahn N, Jahn E, Saadati M, et al. 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>Genomic landscape of patients with FLT3-mutated acute myeloid leukemia (AML) treated within the CALGB 10603/RATIFY trial. Leukemia. 2022;36(9):2218-2227.</w:t>
      </w:r>
    </w:p>
    <w:p w14:paraId="0E3668AA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37.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Fukushima K, Shibayama H, Chi S, et al. Clinical Significance of FLT3 Mutations in a Comprehensive NGS Multicenter Study of AML: HM-Screen-Japan 01. Blood. 2021;138(Supplement 1):2313-2313.</w:t>
      </w:r>
    </w:p>
    <w:p w14:paraId="5859EB1E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38.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Patel JP, Gönen M, Figueroa ME, et al. Prognostic Relevance of Integrated Genetic Profiling in Acute Myeloid Leukemia. New England Journal of Medicine. 2012;366(12):1079-1089.</w:t>
      </w:r>
    </w:p>
    <w:p w14:paraId="0C9DC1EE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lastRenderedPageBreak/>
        <w:t>39.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Borlenghi E, Cattaneo C, Bertoli D, et al. Prognostic Relevance of NPM1 and FLT3 Mutations in Acute Myeloid Leukaemia, Longterm Follow-Up—A Single Center Experience. Cancers (Basel). 2022;14(19):4716.</w:t>
      </w:r>
    </w:p>
    <w:p w14:paraId="1B258DBF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40.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Rivera D, Kim K, Kanagal‐Shamanna R, et al. Implications of RAS mutational status in subsets of patients with newly diagnosed acute myeloid leukemia across therapy subtypes. Am J Hematol. 2022;97(12):1599-1606.</w:t>
      </w:r>
    </w:p>
    <w:p w14:paraId="0ABB9A67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41.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Waanders E, Gu Z, Dobson SM, et al. Mutational Landscape and Patterns of Clonal Evolution in Relapsed Pediatric Acute Lymphoblastic Leukemia. Blood Cancer Discov. 2020;1(1):96-111.</w:t>
      </w:r>
    </w:p>
    <w:p w14:paraId="5A1F15DE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42.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Brady SW, Roberts KG, Gu Z, et al. The genomic landscape of pediatric acute lymphoblastic leukemia. Nat Genet. 2022;54(9):1376-1389.</w:t>
      </w:r>
    </w:p>
    <w:p w14:paraId="7596C52E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43.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de Smith AJ, Ojha J, Francis SS, et al. Clonal and microclonal mutational heterogeneity in high hyperdiploid acute lymphoblastic leukemia. Oncotarget. 2016;7(45):72733-72745.</w:t>
      </w:r>
    </w:p>
    <w:p w14:paraId="34176641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44.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Yoo JW, Ahn A, Lee JM, et al. Spectrum of Genetic Mutations in Korean Pediatric Acute Lymphoblastic Leukemia. J Clin Med. 2022;11(21):6298.</w:t>
      </w:r>
    </w:p>
    <w:p w14:paraId="00BA9EDD" w14:textId="39D43A20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45.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Gu Z, Churchman ML, Roberts KG, et al. PAX5-driven subtypes of B-progenitor acute lymphoblastic leukemia. Nat Genet. 2019;51(2):296-307.</w:t>
      </w:r>
    </w:p>
    <w:p w14:paraId="126D3032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46.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Zhao L, Chen H, Lan F, et al. Distinct FLT3 Pathways Gene Expression Profiles in Pediatric De Novo Acute Lymphoblastic and Myeloid Leukemia with FLT3 Mutations: Implications for Targeted Therapy. Int J Mol Sci. 2024;25(17):9581.</w:t>
      </w:r>
    </w:p>
    <w:p w14:paraId="01DEB294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47.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Barbosa TC, Andrade FG, Lopes BA, et al. Impact of mutations in FLT3, PTPN11 and RAS genes on the overall survival of pediatric B cell precursor acute lymphoblastic leukemia in Brazil. Leuk Lymphoma. 2014;55(7):1501-1509.</w:t>
      </w:r>
    </w:p>
    <w:p w14:paraId="57759086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48.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Zhang HH, Wang HS, Qian XW, et al. Genetic variants and clinical significance of pediatric acute lymphoblastic leukemia. Ann Transl Med. 2019;7(14):296-296.</w:t>
      </w:r>
    </w:p>
    <w:p w14:paraId="54364214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49.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Zhang J, Mullighan CG, Harvey RC, et al. Key pathways are frequently mutated in high-risk childhood acute lymphoblastic leukemia: a report from the Children’s Oncology Group. Blood. 2011;118(11):3080-3087.</w:t>
      </w:r>
    </w:p>
    <w:p w14:paraId="4091E6D0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lastRenderedPageBreak/>
        <w:t>50.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Paulsson K, Horvat A, Strömbeck B, et al. Mutations of FLT3 , NRAS , KRAS , and PTPN11 are frequent and possibly mutually exclusive in high hyperdiploid childhood acute lymphoblastic leukemia. Genes Chromosomes Cancer. 2008;47(1):26-33.</w:t>
      </w:r>
    </w:p>
    <w:p w14:paraId="38508278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51.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Messina M, Chiaretti S, Wang J, et al. Prognostic and therapeutic role of targetable lesions in B-lineage acute lymphoblastic leukemia without recurrent fusion genes. Oncotarget. 2016;7(12):13886-13901.</w:t>
      </w:r>
    </w:p>
    <w:p w14:paraId="03AA0552" w14:textId="77777777" w:rsidR="007E7DB8" w:rsidRPr="00003F81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52.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 xml:space="preserve">Rotta M, Ravandi F, Gandhi M, et al. Covalent-103: A Phase 1, Open-Label, Dose-Escalation, and Dose-Expansion Study of Bmf-500, an Oral Covalent FLT3 Inhibitor, in Adults with Acute Leukemia (AL). </w:t>
      </w:r>
      <w:r w:rsidRPr="00003F81">
        <w:rPr>
          <w:rFonts w:ascii="Times New Roman" w:hAnsi="Times New Roman" w:cs="Times New Roman"/>
          <w:sz w:val="24"/>
          <w:szCs w:val="24"/>
          <w:lang w:val="en-GB"/>
        </w:rPr>
        <w:t>Blood. 2023;142(Supplement 1):1546-1546.</w:t>
      </w:r>
    </w:p>
    <w:p w14:paraId="2C9AD875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53.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Galanis A, Ma H, Rajkhowa T, et al. Crenolanib is a potent inhibitor of flt3 with activity against resistance-Conferring point mutants. Blood. 2014;123(1):94-100.</w:t>
      </w:r>
    </w:p>
    <w:p w14:paraId="4B6EC6C9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54.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Aikawa T, Togashi N, Iwanaga K, et al. Quizartinib, a selective FLT3 inhibitor, maintains antileukemic activity in preclinical models of RAS-mediated midostaurin-resistant acute myeloid leukemia cells. Oncotarget. 2020;11(11):943-955.</w:t>
      </w:r>
    </w:p>
    <w:p w14:paraId="73CCF564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55.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Mori M, Kaneko N, Ueno Y, et al. Gilteritinib, a FLT3/AXL inhibitor, shows antileukemic activity in mouse models of FLT3 mutated acute myeloid leukemia. Invest New Drugs. 2017;35(5):556-565.</w:t>
      </w:r>
    </w:p>
    <w:p w14:paraId="18EEFE82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56.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Smith BD, Levis M, Beran M, et al. Single-agent CEP-701, a novel FLT3 inhibitor, shows biologic and clinical activity in patients with relapsed or refractory acute myeloid leukemia. Blood. 2004;103(10):3669-3676.</w:t>
      </w:r>
    </w:p>
    <w:p w14:paraId="23A67A66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57.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Miknyoczki SJ, Chang H, Klein-Szanto A, Dionne CA, Ruggeri BA. The Trk tyrosine kinase inhibitor CEP-701 (KT-5555) exhibits significant antitumor efficacy in preclinical xenograft models of human pancreatic ductal adenocarcinoma. Clin Cancer Res. 1999;5(8):2205-2212. http://www.ncbi.nlm.nih.gov/pubmed/10473107</w:t>
      </w:r>
    </w:p>
    <w:p w14:paraId="44B2653C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E7DB8">
        <w:rPr>
          <w:rFonts w:ascii="Times New Roman" w:hAnsi="Times New Roman" w:cs="Times New Roman"/>
          <w:sz w:val="24"/>
          <w:szCs w:val="24"/>
        </w:rPr>
        <w:t>58.</w:t>
      </w:r>
      <w:r w:rsidRPr="007E7DB8">
        <w:rPr>
          <w:rFonts w:ascii="Times New Roman" w:hAnsi="Times New Roman" w:cs="Times New Roman"/>
          <w:sz w:val="24"/>
          <w:szCs w:val="24"/>
        </w:rPr>
        <w:tab/>
        <w:t>Midostaurin. https://go.drugbank.com/drugs/DB06595</w:t>
      </w:r>
    </w:p>
    <w:p w14:paraId="0AE281E5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59.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Roskoski R. The role of small molecule Flt3 receptor protein-tyrosine kinase inhibitors in the treatment of Flt3-positive acute myelogenous leukemias. Pharmacol Res. 2020;155(February):104725.</w:t>
      </w:r>
    </w:p>
    <w:p w14:paraId="2E9DF287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lastRenderedPageBreak/>
        <w:t>60.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 xml:space="preserve">Stone RM, Manley PW, Larson RA, Capdeville R. Midostaurin: Its odyssey from discovery to approval for treating acute myeloid leukemia and advanced systemic mastocytosis. </w:t>
      </w:r>
      <w:r w:rsidRPr="007E7DB8">
        <w:rPr>
          <w:rFonts w:ascii="Times New Roman" w:hAnsi="Times New Roman" w:cs="Times New Roman"/>
          <w:sz w:val="24"/>
          <w:szCs w:val="24"/>
        </w:rPr>
        <w:t>Blood Adv. 2018;2(4):444-453.</w:t>
      </w:r>
    </w:p>
    <w:p w14:paraId="7C6DF1B1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</w:rPr>
        <w:t>61.</w:t>
      </w:r>
      <w:r w:rsidRPr="007E7DB8">
        <w:rPr>
          <w:rFonts w:ascii="Times New Roman" w:hAnsi="Times New Roman" w:cs="Times New Roman"/>
          <w:sz w:val="24"/>
          <w:szCs w:val="24"/>
        </w:rPr>
        <w:tab/>
        <w:t xml:space="preserve">DeNardo DG, Brennan DJ, Rexhepaj E, et al. 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>Leukocyte Complexity Predicts Breast Cancer Survival and Functionally Regulates Response to Chemotherapy. Cancer Discov. 2011;1(1):54-67.</w:t>
      </w:r>
    </w:p>
    <w:p w14:paraId="20DE0C89" w14:textId="573D991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62.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Smith CC, Zhang C, Lin KC, et al. Characterizing and Overriding the Structural Mechanism of the Quizartinib-Resistant FLT3 “Gatekeeper” F691L Mutation with PLX3397. Cancer Discov. 2015;5(6):668-679.</w:t>
      </w:r>
    </w:p>
    <w:p w14:paraId="0193B9B7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63.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Berman E. How I treat chronic-phase chronic myelogenous leukemia. Blood. 2022;139(21):3138-3147.</w:t>
      </w:r>
    </w:p>
    <w:p w14:paraId="1B486212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64.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Ponatinib. https://go.drugbank.com/drugs/DB08901</w:t>
      </w:r>
    </w:p>
    <w:p w14:paraId="42E7160C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65.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Levis M. Quizartinib for the treatment of FLT3/ITD acute myeloid leukemia. Future Oncology. 2014;10(9):1571–1579.</w:t>
      </w:r>
    </w:p>
    <w:p w14:paraId="3645909B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66.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Wilhelm SM, Adnane L, Newell P, Villanueva A, Llovet JM, Lynch M. Preclinical overview of sorafenib, a multikinase inhibitor that targets both Raf and VEGF and PDGF receptor tyrosine kinase signaling. Mol Cancer Ther. 2008;7(10):3129-3140.</w:t>
      </w:r>
    </w:p>
    <w:p w14:paraId="25C95BFB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67.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Papaetis GS, Syrigos KN. Sunitinib. BioDrugs. 2009;23(6):377-389.</w:t>
      </w:r>
    </w:p>
    <w:p w14:paraId="38DA8593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68.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Sunitinib. https://go.drugbank.com/drugs/DB01268</w:t>
      </w:r>
    </w:p>
    <w:p w14:paraId="324326A1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69.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Pratz KW, Kaplan J, Levy M, et al. A phase Ib trial of mivavotinib (TAK-659), a dual SYK/FLT3 inhibitor, in patients with relapsed/refractory acute myeloid leukemia. Haematologica. 2023;108(3):705-716.</w:t>
      </w:r>
    </w:p>
    <w:p w14:paraId="552DBA3D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70.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>Leo IR, Aswad L, Stahl M, et al. Integrative multi-omics and drug response profiling of childhood acute lymphoblastic leukemia cell lines. Nat Commun. 2022;13(1):1-19.</w:t>
      </w:r>
    </w:p>
    <w:p w14:paraId="564EA880" w14:textId="77777777" w:rsidR="007E7DB8" w:rsidRPr="007E7DB8" w:rsidRDefault="007E7DB8" w:rsidP="007E7DB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E7DB8">
        <w:rPr>
          <w:rFonts w:ascii="Times New Roman" w:hAnsi="Times New Roman" w:cs="Times New Roman"/>
          <w:sz w:val="24"/>
          <w:szCs w:val="24"/>
          <w:lang w:val="en-GB"/>
        </w:rPr>
        <w:t>71.</w:t>
      </w:r>
      <w:r w:rsidRPr="007E7DB8">
        <w:rPr>
          <w:rFonts w:ascii="Times New Roman" w:hAnsi="Times New Roman" w:cs="Times New Roman"/>
          <w:sz w:val="24"/>
          <w:szCs w:val="24"/>
          <w:lang w:val="en-GB"/>
        </w:rPr>
        <w:tab/>
        <w:t xml:space="preserve">Aswad L, Jafari R. FORALL: an interactive shiny/R web portal to navigate multi-omics high-throughput data of pediatric acute lymphoblastic leukemia. </w:t>
      </w:r>
      <w:r w:rsidRPr="007E7DB8">
        <w:rPr>
          <w:rFonts w:ascii="Times New Roman" w:hAnsi="Times New Roman" w:cs="Times New Roman"/>
          <w:sz w:val="24"/>
          <w:szCs w:val="24"/>
        </w:rPr>
        <w:t>Bioinformatics Advances. 2023;3(1).</w:t>
      </w:r>
    </w:p>
    <w:p w14:paraId="28D90EDC" w14:textId="77777777" w:rsidR="007E7DB8" w:rsidRPr="007E7DB8" w:rsidRDefault="007E7DB8" w:rsidP="0053703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7E7DB8" w:rsidRPr="007E7DB8" w:rsidSect="00B46CC6">
      <w:pgSz w:w="10773" w:h="1927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activeWritingStyle w:appName="MSWord" w:lang="it-IT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11C"/>
    <w:rsid w:val="00003F81"/>
    <w:rsid w:val="00025246"/>
    <w:rsid w:val="000310E0"/>
    <w:rsid w:val="00044E83"/>
    <w:rsid w:val="00115B2D"/>
    <w:rsid w:val="00142673"/>
    <w:rsid w:val="002102CB"/>
    <w:rsid w:val="00235867"/>
    <w:rsid w:val="00247CB5"/>
    <w:rsid w:val="00291BA2"/>
    <w:rsid w:val="002A7996"/>
    <w:rsid w:val="002E542B"/>
    <w:rsid w:val="002F0252"/>
    <w:rsid w:val="0037649D"/>
    <w:rsid w:val="003D7AA5"/>
    <w:rsid w:val="0041044A"/>
    <w:rsid w:val="00434E1E"/>
    <w:rsid w:val="00440EFF"/>
    <w:rsid w:val="004771E6"/>
    <w:rsid w:val="0049551F"/>
    <w:rsid w:val="004B089E"/>
    <w:rsid w:val="004C2E3C"/>
    <w:rsid w:val="004F1206"/>
    <w:rsid w:val="00513216"/>
    <w:rsid w:val="0051683C"/>
    <w:rsid w:val="0053703A"/>
    <w:rsid w:val="00540559"/>
    <w:rsid w:val="00557B13"/>
    <w:rsid w:val="005601BE"/>
    <w:rsid w:val="005852D5"/>
    <w:rsid w:val="005D2C60"/>
    <w:rsid w:val="005F3340"/>
    <w:rsid w:val="005F7881"/>
    <w:rsid w:val="00603A5B"/>
    <w:rsid w:val="00612021"/>
    <w:rsid w:val="00636AAB"/>
    <w:rsid w:val="00671F0F"/>
    <w:rsid w:val="006A12DF"/>
    <w:rsid w:val="006C31FA"/>
    <w:rsid w:val="00737EAE"/>
    <w:rsid w:val="007860B9"/>
    <w:rsid w:val="007A27A0"/>
    <w:rsid w:val="007D4650"/>
    <w:rsid w:val="007E7DB8"/>
    <w:rsid w:val="007F6A43"/>
    <w:rsid w:val="0083287F"/>
    <w:rsid w:val="0083311C"/>
    <w:rsid w:val="00862B0F"/>
    <w:rsid w:val="008800EA"/>
    <w:rsid w:val="0088241F"/>
    <w:rsid w:val="0089192E"/>
    <w:rsid w:val="0093569E"/>
    <w:rsid w:val="009D489A"/>
    <w:rsid w:val="00A1005F"/>
    <w:rsid w:val="00A30194"/>
    <w:rsid w:val="00A559A2"/>
    <w:rsid w:val="00A862DE"/>
    <w:rsid w:val="00AB4CE4"/>
    <w:rsid w:val="00B46CC6"/>
    <w:rsid w:val="00B71143"/>
    <w:rsid w:val="00B878A8"/>
    <w:rsid w:val="00B94100"/>
    <w:rsid w:val="00BA103B"/>
    <w:rsid w:val="00BA521C"/>
    <w:rsid w:val="00BE3D5E"/>
    <w:rsid w:val="00C65E0B"/>
    <w:rsid w:val="00C709EE"/>
    <w:rsid w:val="00C85120"/>
    <w:rsid w:val="00CA4D2E"/>
    <w:rsid w:val="00D67BD5"/>
    <w:rsid w:val="00DE7902"/>
    <w:rsid w:val="00DF4A87"/>
    <w:rsid w:val="00E31571"/>
    <w:rsid w:val="00E551B1"/>
    <w:rsid w:val="00ED5411"/>
    <w:rsid w:val="00FB7719"/>
    <w:rsid w:val="00FE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6A8CE4"/>
  <w15:chartTrackingRefBased/>
  <w15:docId w15:val="{9B183FC2-2469-4EDA-8871-83F8990F1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331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331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331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331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331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3311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3311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3311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3311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331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331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331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3311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3311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3311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3311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3311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3311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331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331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3311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331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3311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3311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3311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3311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331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3311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3311C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DF4A87"/>
    <w:rPr>
      <w:color w:val="467886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DF4A87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1202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12021"/>
    <w:rPr>
      <w:rFonts w:ascii="Segoe UI" w:hAnsi="Segoe UI" w:cs="Segoe UI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61202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1202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1202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1202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12021"/>
    <w:rPr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862B0F"/>
    <w:pPr>
      <w:spacing w:line="240" w:lineRule="auto"/>
      <w:jc w:val="left"/>
    </w:pPr>
  </w:style>
  <w:style w:type="character" w:styleId="Menzionenonrisolta">
    <w:name w:val="Unresolved Mention"/>
    <w:basedOn w:val="Carpredefinitoparagrafo"/>
    <w:uiPriority w:val="99"/>
    <w:semiHidden/>
    <w:unhideWhenUsed/>
    <w:rsid w:val="00B94100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unhideWhenUsed/>
    <w:rsid w:val="00434E1E"/>
    <w:pPr>
      <w:widowControl w:val="0"/>
      <w:suppressAutoHyphens/>
      <w:spacing w:after="160" w:line="480" w:lineRule="auto"/>
      <w:jc w:val="left"/>
      <w:textAlignment w:val="baseline"/>
    </w:pPr>
    <w:rPr>
      <w:rFonts w:ascii="Times New Roman" w:eastAsia="Calibri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5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nna.ferrari@irst.emr.it" TargetMode="External"/><Relationship Id="rId5" Type="http://schemas.openxmlformats.org/officeDocument/2006/relationships/hyperlink" Target="mailto:chiara.salvesi@irst.emr.i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B8BEC95-CC82-40F8-912D-CAA336C9E704}">
  <we:reference id="wa104382081" version="1.55.1.0" store="it-IT" storeType="OMEX"/>
  <we:alternateReferences>
    <we:reference id="wa104382081" version="1.55.1.0" store="" storeType="OMEX"/>
  </we:alternateReferences>
  <we:properties>
    <we:property name="MENDELEY_CITATIONS" value="[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1CAD6-D688-47F8-BA3C-2022C729C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11</Pages>
  <Words>2409</Words>
  <Characters>13733</Characters>
  <Application>Microsoft Office Word</Application>
  <DocSecurity>0</DocSecurity>
  <Lines>114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LO SCHIAVO</dc:creator>
  <cp:keywords/>
  <dc:description/>
  <cp:lastModifiedBy>annafe annafe</cp:lastModifiedBy>
  <cp:revision>34</cp:revision>
  <dcterms:created xsi:type="dcterms:W3CDTF">2025-07-15T14:15:00Z</dcterms:created>
  <dcterms:modified xsi:type="dcterms:W3CDTF">2025-07-30T14:25:00Z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http://csl.mendeley.com/styles/636355071/american-medical-association-2</vt:lpwstr>
  </property>
  <property fmtid="{D5CDD505-2E9C-101B-9397-08002B2CF9AE}" pid="3" name="Mendeley Recent Style Name 0_1">
    <vt:lpwstr>American Medical Association 11th edition - Federico Lo Schiavo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7th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 6th edition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http://www.zotero.org/styles/chicago-fullnote-bibliography</vt:lpwstr>
  </property>
  <property fmtid="{D5CDD505-2E9C-101B-9397-08002B2CF9AE}" pid="13" name="Mendeley Recent Style Name 5_1">
    <vt:lpwstr>Chicago Manual of Style 17th edition (full note)</vt:lpwstr>
  </property>
  <property fmtid="{D5CDD505-2E9C-101B-9397-08002B2CF9AE}" pid="14" name="Mendeley Recent Style Id 6_1">
    <vt:lpwstr>http://www.zotero.org/styles/harvard-cite-them-right</vt:lpwstr>
  </property>
  <property fmtid="{D5CDD505-2E9C-101B-9397-08002B2CF9AE}" pid="15" name="Mendeley Recent Style Name 6_1">
    <vt:lpwstr>Cite Them Right 10th edition - Harvard</vt:lpwstr>
  </property>
  <property fmtid="{D5CDD505-2E9C-101B-9397-08002B2CF9AE}" pid="16" name="Mendeley Recent Style Id 7_1">
    <vt:lpwstr>http://www.zotero.org/styles/harvard1</vt:lpwstr>
  </property>
  <property fmtid="{D5CDD505-2E9C-101B-9397-08002B2CF9AE}" pid="17" name="Mendeley Recent Style Name 7_1">
    <vt:lpwstr>Harvard reference format 1 (deprecated)</vt:lpwstr>
  </property>
  <property fmtid="{D5CDD505-2E9C-101B-9397-08002B2CF9AE}" pid="18" name="Mendeley Recent Style Id 8_1">
    <vt:lpwstr>http://www.zotero.org/styles/ieee</vt:lpwstr>
  </property>
  <property fmtid="{D5CDD505-2E9C-101B-9397-08002B2CF9AE}" pid="19" name="Mendeley Recent Style Name 8_1">
    <vt:lpwstr>IEEE</vt:lpwstr>
  </property>
  <property fmtid="{D5CDD505-2E9C-101B-9397-08002B2CF9AE}" pid="20" name="Mendeley Recent Style Id 9_1">
    <vt:lpwstr>http://www.zotero.org/styles/vancouver</vt:lpwstr>
  </property>
  <property fmtid="{D5CDD505-2E9C-101B-9397-08002B2CF9AE}" pid="21" name="Mendeley Recent Style Name 9_1">
    <vt:lpwstr>Vancouver</vt:lpwstr>
  </property>
  <property fmtid="{D5CDD505-2E9C-101B-9397-08002B2CF9AE}" pid="22" name="MSIP_Label_2ad0b24d-6422-44b0-b3de-abb3a9e8c81a_Enabled">
    <vt:lpwstr>true</vt:lpwstr>
  </property>
  <property fmtid="{D5CDD505-2E9C-101B-9397-08002B2CF9AE}" pid="23" name="MSIP_Label_2ad0b24d-6422-44b0-b3de-abb3a9e8c81a_SetDate">
    <vt:lpwstr>2025-07-09T13:54:43Z</vt:lpwstr>
  </property>
  <property fmtid="{D5CDD505-2E9C-101B-9397-08002B2CF9AE}" pid="24" name="MSIP_Label_2ad0b24d-6422-44b0-b3de-abb3a9e8c81a_Method">
    <vt:lpwstr>Standard</vt:lpwstr>
  </property>
  <property fmtid="{D5CDD505-2E9C-101B-9397-08002B2CF9AE}" pid="25" name="MSIP_Label_2ad0b24d-6422-44b0-b3de-abb3a9e8c81a_Name">
    <vt:lpwstr>defa4170-0d19-0005-0004-bc88714345d2</vt:lpwstr>
  </property>
  <property fmtid="{D5CDD505-2E9C-101B-9397-08002B2CF9AE}" pid="26" name="MSIP_Label_2ad0b24d-6422-44b0-b3de-abb3a9e8c81a_SiteId">
    <vt:lpwstr>2fcfe26a-bb62-46b0-b1e3-28f9da0c45fd</vt:lpwstr>
  </property>
  <property fmtid="{D5CDD505-2E9C-101B-9397-08002B2CF9AE}" pid="27" name="MSIP_Label_2ad0b24d-6422-44b0-b3de-abb3a9e8c81a_ActionId">
    <vt:lpwstr>5e813591-1477-47f1-9722-548b714981ab</vt:lpwstr>
  </property>
  <property fmtid="{D5CDD505-2E9C-101B-9397-08002B2CF9AE}" pid="28" name="MSIP_Label_2ad0b24d-6422-44b0-b3de-abb3a9e8c81a_ContentBits">
    <vt:lpwstr>0</vt:lpwstr>
  </property>
  <property fmtid="{D5CDD505-2E9C-101B-9397-08002B2CF9AE}" pid="29" name="MSIP_Label_2ad0b24d-6422-44b0-b3de-abb3a9e8c81a_Tag">
    <vt:lpwstr>10, 3, 0, 1</vt:lpwstr>
  </property>
  <property fmtid="{D5CDD505-2E9C-101B-9397-08002B2CF9AE}" pid="30" name="GrammarlyDocumentId">
    <vt:lpwstr>7b60db60-ed33-44c7-8748-63df35aa1081</vt:lpwstr>
  </property>
  <property fmtid="{D5CDD505-2E9C-101B-9397-08002B2CF9AE}" pid="31" name="Mendeley Document_1">
    <vt:lpwstr>True</vt:lpwstr>
  </property>
  <property fmtid="{D5CDD505-2E9C-101B-9397-08002B2CF9AE}" pid="32" name="Mendeley Unique User Id_1">
    <vt:lpwstr>4041f937-f939-3a83-ad6b-56b2a9e46229</vt:lpwstr>
  </property>
  <property fmtid="{D5CDD505-2E9C-101B-9397-08002B2CF9AE}" pid="33" name="Mendeley Citation Style_1">
    <vt:lpwstr>http://csl.mendeley.com/styles/636355071/american-medical-association-2</vt:lpwstr>
  </property>
</Properties>
</file>