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both"/>
        <w:rPr>
          <w:rFonts w:ascii="Times New Roman" w:hAnsi="Times New Roman" w:cs="Times New Roman"/>
          <w:b/>
          <w:bCs/>
          <w:lang w:val="en-US"/>
        </w:rPr>
      </w:pPr>
      <w:r>
        <w:rPr>
          <w:rFonts w:hint="eastAsia" w:ascii="Times New Roman" w:hAnsi="Times New Roman" w:cs="Times New Roman"/>
          <w:b/>
          <w:bCs/>
          <w:lang w:val="en-US"/>
        </w:rPr>
        <w:t>RNA extraction and detection</w:t>
      </w:r>
    </w:p>
    <w:p>
      <w:pPr>
        <w:spacing w:line="480" w:lineRule="auto"/>
        <w:jc w:val="both"/>
        <w:rPr>
          <w:rFonts w:ascii="Times New Roman" w:hAnsi="Times New Roman" w:cs="Times New Roman"/>
          <w:b/>
          <w:bCs/>
          <w:lang w:val="en-US"/>
        </w:rPr>
      </w:pPr>
      <w:r>
        <w:rPr>
          <w:rFonts w:ascii="Times New Roman" w:hAnsi="Times New Roman" w:cs="Times New Roman"/>
          <w:color w:val="auto"/>
          <w:lang w:val="en-US"/>
        </w:rPr>
        <w:t>RNA library preparation was performed as described in the Illumina TruSeq Stranded Total RNA LT sample prepa</w:t>
      </w:r>
      <w:bookmarkStart w:id="0" w:name="_GoBack"/>
      <w:bookmarkEnd w:id="0"/>
      <w:r>
        <w:rPr>
          <w:rFonts w:ascii="Times New Roman" w:hAnsi="Times New Roman" w:cs="Times New Roman"/>
          <w:color w:val="auto"/>
          <w:lang w:val="en-US"/>
        </w:rPr>
        <w:t>ration kit with Ribo-Zero Gold (Illumina Inc., San Diego, CA, USA). Briefly, ribosomal RNA was depleted from 0.3-1 μg of total RNA. Following depletion, the mRNA was fragmented to an average insert size of 200-400 bp at 94°C for 4 min. The cleaved RNA fragments were copied into first-strand cDNA using reverse transcriptase (Invitrogen, Carlsbad, CA, USA) and random primers. The first-strand cDNA was converted into double-stranded DNA in the presence of dUTP. The incorporation of dUTP in second-strand cDNA synthesis quenches the second strand during amplification, thus improving the strand specificity of the library. These cDNA fragments were subjected to the addition of a single 'A' base and subsequent ligation of the adapter. The products were purified and enriched via polymerase chain reaction (PCR) to generate the final library. After testing quality using an Agilent 2100 Bioanalyzer (Agilent Technologies) with the DNA chip and further quantification using a Qubit 3.0 fluorometer (Invitrogen, Carlsbad, CA, USA), the libraries were sequenced on the Illumina HiSeq platform (Illumina Inc., San Diego, CA, USA).</w:t>
      </w:r>
    </w:p>
    <w:p>
      <w:pPr>
        <w:spacing w:line="480" w:lineRule="auto"/>
        <w:jc w:val="both"/>
        <w:rPr>
          <w:rFonts w:ascii="Times New Roman" w:hAnsi="Times New Roman" w:cs="Times New Roman"/>
          <w:lang w:val="en-US"/>
        </w:rPr>
      </w:pPr>
      <w:r>
        <w:rPr>
          <w:rFonts w:ascii="Times New Roman" w:hAnsi="Times New Roman" w:cs="Times New Roman"/>
          <w:b/>
          <w:bCs/>
          <w:lang w:val="en-US"/>
        </w:rPr>
        <w:t>Statistical Analysis</w:t>
      </w:r>
    </w:p>
    <w:p>
      <w:pPr>
        <w:spacing w:line="480" w:lineRule="auto"/>
        <w:jc w:val="both"/>
        <w:rPr>
          <w:rFonts w:ascii="Times New Roman" w:hAnsi="Times New Roman" w:cs="Times New Roman"/>
          <w:lang w:val="en-US"/>
        </w:rPr>
      </w:pPr>
      <w:r>
        <w:rPr>
          <w:rFonts w:ascii="Times New Roman" w:hAnsi="Times New Roman" w:cs="Times New Roman"/>
          <w:lang w:val="en-US"/>
        </w:rPr>
        <w:t>This multi-cohort trial was designed using different hypothesis testing methods (Simon’s two-stage design for Cohorts A and C, and a Bayesian optimal phase 2 [BOP2]</w:t>
      </w:r>
      <w:r>
        <w:rPr>
          <w:rFonts w:ascii="Times New Roman" w:hAnsi="Times New Roman" w:cs="Times New Roman"/>
          <w:lang w:val="en-US"/>
        </w:rPr>
        <w:fldChar w:fldCharType="begin"/>
      </w:r>
      <w:r>
        <w:rPr>
          <w:rFonts w:ascii="Times New Roman" w:hAnsi="Times New Roman" w:cs="Times New Roman"/>
          <w:lang w:val="en-US"/>
        </w:rPr>
        <w:instrText xml:space="preserve"> ADDIN EN.CITE &lt;EndNote&gt;&lt;Cite&gt;&lt;Author&gt;Zhou&lt;/Author&gt;&lt;Year&gt;2017&lt;/Year&gt;&lt;RecNum&gt;27&lt;/RecNum&gt;&lt;DisplayText&gt;&lt;style face="superscript"&gt;73&lt;/style&gt;&lt;/DisplayText&gt;&lt;record&gt;&lt;rec-number&gt;27&lt;/rec-number&gt;&lt;foreign-keys&gt;&lt;key app="EN" db-id="pddvt9wf5se0r8erdtlppfwz2f0pxd99aevf" timestamp="1702285139"&gt;27&lt;/key&gt;&lt;/foreign-keys&gt;&lt;ref-type name="Journal Article"&gt;17&lt;/ref-type&gt;&lt;contributors&gt;&lt;authors&gt;&lt;author&gt;Zhou, H.&lt;/author&gt;&lt;author&gt;Lee, J. J.&lt;/author&gt;&lt;author&gt;Yuan, Y.&lt;/author&gt;&lt;/authors&gt;&lt;/contributors&gt;&lt;auth-address&gt;Department of Biostatistics, The University of Texas MD Anderson Cancer Center, Houston, 77030, Texas, U.S.A.&lt;/auth-address&gt;&lt;titles&gt;&lt;title&gt;BOP2: Bayesian optimal design for phase II clinical trials with simple and complex endpoints&lt;/title&gt;&lt;secondary-title&gt;Stat Med&lt;/secondary-title&gt;&lt;alt-title&gt;Statistics in medicine&lt;/alt-title&gt;&lt;/titles&gt;&lt;periodical&gt;&lt;full-title&gt;Stat Med&lt;/full-title&gt;&lt;abbr-1&gt;Statistics in medicine&lt;/abbr-1&gt;&lt;/periodical&gt;&lt;alt-periodical&gt;&lt;full-title&gt;Stat Med&lt;/full-title&gt;&lt;abbr-1&gt;Statistics in medicine&lt;/abbr-1&gt;&lt;/alt-periodical&gt;&lt;pages&gt;3302-3314&lt;/pages&gt;&lt;volume&gt;36&lt;/volume&gt;&lt;number&gt;21&lt;/number&gt;&lt;edition&gt;2017/06/08&lt;/edition&gt;&lt;keywords&gt;&lt;keyword&gt;*Bayes Theorem&lt;/keyword&gt;&lt;keyword&gt;Bias&lt;/keyword&gt;&lt;keyword&gt;Clinical Trials, Phase II as Topic/*methods&lt;/keyword&gt;&lt;keyword&gt;Computer Simulation&lt;/keyword&gt;&lt;keyword&gt;*Endpoint Determination&lt;/keyword&gt;&lt;keyword&gt;Humans&lt;/keyword&gt;&lt;keyword&gt;Multivariate Analysis&lt;/keyword&gt;&lt;keyword&gt;Research Design&lt;/keyword&gt;&lt;keyword&gt;Sample Size&lt;/keyword&gt;&lt;keyword&gt;Treatment Outcome&lt;/keyword&gt;&lt;keyword&gt;Bayesian adaptive design&lt;/keyword&gt;&lt;keyword&gt;co-primary endpoints&lt;/keyword&gt;&lt;keyword&gt;early stopping&lt;/keyword&gt;&lt;keyword&gt;immunotherapy&lt;/keyword&gt;&lt;keyword&gt;ordinal endpoint&lt;/keyword&gt;&lt;/keywords&gt;&lt;dates&gt;&lt;year&gt;2017&lt;/year&gt;&lt;pub-dates&gt;&lt;date&gt;Sep 20&lt;/date&gt;&lt;/pub-dates&gt;&lt;/dates&gt;&lt;isbn&gt;0277-6715&lt;/isbn&gt;&lt;accession-num&gt;28589563&lt;/accession-num&gt;&lt;urls&gt;&lt;/urls&gt;&lt;electronic-resource-num&gt;10.1002/sim.7338&lt;/electronic-resource-num&gt;&lt;remote-database-provider&gt;NLM&lt;/remote-database-provider&gt;&lt;language&gt;eng&lt;/language&gt;&lt;/record&gt;&lt;/Cite&gt;&lt;/EndNote&gt;</w:instrText>
      </w:r>
      <w:r>
        <w:rPr>
          <w:rFonts w:ascii="Times New Roman" w:hAnsi="Times New Roman" w:cs="Times New Roman"/>
          <w:lang w:val="en-US"/>
        </w:rPr>
        <w:fldChar w:fldCharType="separate"/>
      </w:r>
      <w:r>
        <w:rPr>
          <w:rFonts w:ascii="Times New Roman" w:hAnsi="Times New Roman" w:cs="Times New Roman"/>
          <w:vertAlign w:val="superscript"/>
          <w:lang w:val="en-US"/>
        </w:rPr>
        <w:t>73</w:t>
      </w:r>
      <w:r>
        <w:rPr>
          <w:rFonts w:ascii="Times New Roman" w:hAnsi="Times New Roman" w:cs="Times New Roman"/>
        </w:rPr>
        <w:fldChar w:fldCharType="end"/>
      </w:r>
      <w:r>
        <w:rPr>
          <w:rFonts w:ascii="Times New Roman" w:hAnsi="Times New Roman" w:cs="Times New Roman"/>
          <w:lang w:val="en-US"/>
        </w:rPr>
        <w:t xml:space="preserve"> design for Cohort B). For Cohort A, a sample size of 21 patients was planned. If one or more of the initial 12 patients exhibited a confirmed response during the first stage, an additional nine patients would be recruited for the second stage. The estimated historical ORR of tislelizumab monotherapy in a similar population is 8%. The statistical superiority of Cohort A would be determined if more than 3 out of 21 patients responded, with a one-sided alpha level of 0.1 and a power of 80%.</w:t>
      </w:r>
    </w:p>
    <w:p>
      <w:pPr>
        <w:spacing w:line="480" w:lineRule="auto"/>
        <w:ind w:firstLine="480" w:firstLineChars="200"/>
        <w:jc w:val="both"/>
        <w:rPr>
          <w:rFonts w:ascii="Times New Roman" w:hAnsi="Times New Roman" w:cs="Times New Roman"/>
          <w:lang w:val="en-US"/>
        </w:rPr>
      </w:pPr>
      <w:r>
        <w:rPr>
          <w:rFonts w:ascii="Times New Roman" w:hAnsi="Times New Roman" w:cs="Times New Roman"/>
          <w:lang w:val="en-US"/>
        </w:rPr>
        <w:t xml:space="preserve">For Cohort B, the aim was to enroll 40 patients to concurrently evaluate dual primary endpoints regarding efficacy and safety. Based on the BOP2 design, the probabilities of claiming the study treatment as acceptable were 82% for detecting a statistically significant difference in the ORR and incidents of grade ≥3 TRAEs in sitravatinib (100mg) plus tislelizumab group. The assumed ORR was 25% and the occurrence rate of grade ≥3 TRAEs was 47%, compared to a historical reference ORR of 8% and a 57% rate of grade ≥3 TRAEs. The probability of incorrectly claiming an inefficacious and toxic treatment was set to be less than 10%. An interim analysis was planned after the initial 20 patients completed the efficacy analysis. The predefined threshold for this interim analysis was either the number of patients achieving an objective response ≤1 or with grade ≥3 TRAEs occurring in ≥13 patients. If </w:t>
      </w:r>
      <w:r>
        <w:rPr>
          <w:rFonts w:ascii="Times New Roman" w:hAnsi="Times New Roman" w:cs="Times New Roman"/>
          <w:lang w:val="en-GB"/>
        </w:rPr>
        <w:t xml:space="preserve">within the final 40 patients in the efficacy analysis set, </w:t>
      </w:r>
      <w:r>
        <w:rPr>
          <w:rFonts w:ascii="Times New Roman" w:hAnsi="Times New Roman" w:cs="Times New Roman"/>
          <w:lang w:val="en-US"/>
        </w:rPr>
        <w:t>more than three</w:t>
      </w:r>
      <w:r>
        <w:rPr>
          <w:rFonts w:ascii="Times New Roman" w:hAnsi="Times New Roman" w:cs="Times New Roman"/>
          <w:lang w:val="en-GB"/>
        </w:rPr>
        <w:t xml:space="preserve"> responders and fewer than 23 instances of grade ≥3 TRAEs occurred, statistically superior to a historical control would be claimed.</w:t>
      </w:r>
    </w:p>
    <w:p>
      <w:pPr>
        <w:spacing w:line="480" w:lineRule="auto"/>
        <w:ind w:firstLine="480" w:firstLineChars="200"/>
        <w:jc w:val="both"/>
        <w:rPr>
          <w:rFonts w:ascii="Times New Roman" w:hAnsi="Times New Roman" w:cs="Times New Roman"/>
          <w:lang w:val="en-US"/>
        </w:rPr>
      </w:pPr>
      <w:r>
        <w:rPr>
          <w:rFonts w:ascii="Times New Roman" w:hAnsi="Times New Roman" w:cs="Times New Roman"/>
          <w:lang w:val="en-US"/>
        </w:rPr>
        <w:t>Safety analysis set (SAS) of Cohorts A and B included all participants who received at least one dose of any study drugs. Efficacy was assessed within the efficacy analysis set (EAS) in both cohorts. For Cohort A, the EAS consisted of SAS patients who had at least one post-treatment tumor assessment, unless treatment was discontinued due to clinical progression or death prior to their initial tumor assessment. In contrast, the patients who discontinued treatment due to grade ≥3 TRAEs before the first post-treatment tumor assessment were included in EAS of cohort B. Descriptive statistics were used to summarize the data. ORR and DCR were reported with 95% confidence intervals (CIs) estimated by the Clopper-Pearson method. The median DOR, PFS, and OS were estimated using the Kaplan-Meier method, with their 95% CIs determined through the Brookmeyer-Crowley method. All statistical analyses were performed using SAS version 9.4 (SAS Institute, Cary, NC).</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旗黑 Lenovo 60S">
    <w:panose1 w:val="00000500000000000000"/>
    <w:charset w:val="86"/>
    <w:family w:val="auto"/>
    <w:pitch w:val="default"/>
    <w:sig w:usb0="00000013" w:usb1="080F1810" w:usb2="00000016" w:usb3="00000000" w:csb0="0004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0F562B"/>
    <w:rsid w:val="639673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zh-CN" w:eastAsia="zh-CN" w:bidi="ar-SA"/>
      <w14:ligatures w14:val="standardContextual"/>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5</TotalTime>
  <ScaleCrop>false</ScaleCrop>
  <LinksUpToDate>false</LinksUpToDate>
  <CharactersWithSpaces>0</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2025-04-04T01:48:00Z</dcterms:created>
  <dc:creator>Administrator</dc:creator>
  <cp:lastModifiedBy>suixi</cp:lastModifiedBy>
  <dcterms:modified xsi:type="dcterms:W3CDTF">2025-10-25T14:07:48Z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KSOTemplateDocerSaveRecord">
    <vt:lpwstr>eyJoZGlkIjoiNzc3MWY3ZDg5MDBmNDI4NTBmNmU3OTc3M2RkMzcxMDMiLCJ1c2VySWQiOiI0MTI4NDgxMTYifQ==</vt:lpwstr>
  </property>
  <property fmtid="{D5CDD505-2E9C-101B-9397-08002B2CF9AE}" pid="4" name="ICV">
    <vt:lpwstr>43767D44001048E0BD9728EF5650C429_12</vt:lpwstr>
  </property>
</Properties>
</file>