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71" w:rsidRPr="00264338" w:rsidRDefault="007B3271" w:rsidP="007B3271">
      <w:pPr>
        <w:spacing w:line="480" w:lineRule="auto"/>
        <w:rPr>
          <w:rFonts w:ascii="Arial" w:hAnsi="Arial" w:cs="Arial"/>
          <w:b/>
          <w:u w:val="single"/>
          <w:lang w:val="en-US"/>
        </w:rPr>
      </w:pPr>
      <w:r w:rsidRPr="00264338">
        <w:rPr>
          <w:rFonts w:ascii="Arial" w:hAnsi="Arial" w:cs="Arial"/>
          <w:b/>
          <w:u w:val="single"/>
          <w:lang w:val="en-US"/>
        </w:rPr>
        <w:t>Supplementary Figures</w:t>
      </w:r>
    </w:p>
    <w:p w:rsidR="007B3271" w:rsidRDefault="007B3271" w:rsidP="007B3271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eastAsia="de-DE"/>
        </w:rPr>
        <w:drawing>
          <wp:inline distT="0" distB="0" distL="0" distR="0">
            <wp:extent cx="5760720" cy="59118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53"/>
                    <a:stretch/>
                  </pic:blipFill>
                  <pic:spPr bwMode="auto">
                    <a:xfrm>
                      <a:off x="0" y="0"/>
                      <a:ext cx="5760720" cy="591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271" w:rsidRPr="007B3271" w:rsidRDefault="007B3271" w:rsidP="007B3271">
      <w:pPr>
        <w:spacing w:line="480" w:lineRule="auto"/>
        <w:jc w:val="both"/>
        <w:rPr>
          <w:rFonts w:ascii="Arial" w:hAnsi="Arial" w:cs="Arial"/>
          <w:sz w:val="20"/>
          <w:lang w:val="en-US"/>
        </w:rPr>
      </w:pPr>
      <w:r w:rsidRPr="007B3271">
        <w:rPr>
          <w:rFonts w:ascii="Arial" w:hAnsi="Arial" w:cs="Arial"/>
          <w:b/>
          <w:sz w:val="20"/>
          <w:lang w:val="en-US"/>
        </w:rPr>
        <w:t xml:space="preserve">Figure S1: Evaluation of HGP in primMICs and secMICs in experimental models of brain metastasis with infiltrative vs. non-infiltrative HGPs. </w:t>
      </w:r>
      <w:r w:rsidRPr="007B3271">
        <w:rPr>
          <w:rFonts w:ascii="Arial" w:hAnsi="Arial" w:cs="Arial"/>
          <w:sz w:val="20"/>
          <w:lang w:val="en-US"/>
        </w:rPr>
        <w:t>HGP of primMICs (parenchymal metastasis at the ipsilateral site) and secMICs (parenchymal metastasis at the contralateral site and meningeal growth) in</w:t>
      </w:r>
      <w:r w:rsidRPr="007B3271">
        <w:rPr>
          <w:rFonts w:ascii="Arial" w:hAnsi="Arial" w:cs="Arial"/>
          <w:b/>
          <w:sz w:val="20"/>
          <w:lang w:val="en-US"/>
        </w:rPr>
        <w:t xml:space="preserve"> (A) </w:t>
      </w:r>
      <w:r w:rsidRPr="007B3271">
        <w:rPr>
          <w:rFonts w:ascii="Arial" w:hAnsi="Arial" w:cs="Arial"/>
          <w:sz w:val="20"/>
          <w:lang w:val="en-US"/>
        </w:rPr>
        <w:t xml:space="preserve">TUBO-BM and </w:t>
      </w:r>
      <w:r w:rsidRPr="007B3271">
        <w:rPr>
          <w:rFonts w:ascii="Arial" w:hAnsi="Arial" w:cs="Arial"/>
          <w:b/>
          <w:sz w:val="20"/>
          <w:lang w:val="en-US"/>
        </w:rPr>
        <w:t>(B)</w:t>
      </w:r>
      <w:r w:rsidRPr="007B3271">
        <w:rPr>
          <w:rFonts w:ascii="Arial" w:hAnsi="Arial" w:cs="Arial"/>
          <w:sz w:val="20"/>
          <w:lang w:val="en-US"/>
        </w:rPr>
        <w:t xml:space="preserve"> E0771-LG-BM. Representative pictures are shown. Tumor cells in tissue sections of TUBO-BM and E0771-LG-BM were stained with E-cadherin (Ecad) or vimentin (Vim), respectively. </w:t>
      </w:r>
    </w:p>
    <w:p w:rsidR="007B3271" w:rsidRDefault="007B3271" w:rsidP="007B3271">
      <w:pPr>
        <w:spacing w:line="480" w:lineRule="auto"/>
        <w:jc w:val="both"/>
        <w:rPr>
          <w:rFonts w:ascii="Arial" w:hAnsi="Arial" w:cs="Arial"/>
          <w:lang w:val="en-US"/>
        </w:rPr>
      </w:pPr>
    </w:p>
    <w:p w:rsidR="007B3271" w:rsidRDefault="007B3271" w:rsidP="007B3271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eastAsia="de-DE"/>
        </w:rPr>
        <w:lastRenderedPageBreak/>
        <w:drawing>
          <wp:inline distT="0" distB="0" distL="0" distR="0">
            <wp:extent cx="5760720" cy="15811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8"/>
                    <a:stretch/>
                  </pic:blipFill>
                  <pic:spPr bwMode="auto">
                    <a:xfrm>
                      <a:off x="0" y="0"/>
                      <a:ext cx="5760720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271" w:rsidRPr="007B3271" w:rsidRDefault="007B3271" w:rsidP="007B3271">
      <w:pPr>
        <w:spacing w:line="480" w:lineRule="auto"/>
        <w:jc w:val="both"/>
        <w:rPr>
          <w:rFonts w:ascii="Arial" w:hAnsi="Arial" w:cs="Arial"/>
          <w:sz w:val="20"/>
          <w:lang w:val="en-US"/>
        </w:rPr>
      </w:pPr>
      <w:r w:rsidRPr="007B3271">
        <w:rPr>
          <w:rFonts w:ascii="Arial" w:hAnsi="Arial" w:cs="Arial"/>
          <w:b/>
          <w:sz w:val="20"/>
          <w:lang w:val="en-US"/>
        </w:rPr>
        <w:t xml:space="preserve">Figure S2: Retrospective histological evaluation of tumor growth in experimental models of brain metastasis with infiltrative vs. non-infiltrative HGPs. </w:t>
      </w:r>
      <w:r w:rsidRPr="007B3271">
        <w:rPr>
          <w:rFonts w:ascii="Arial" w:hAnsi="Arial" w:cs="Arial"/>
          <w:sz w:val="20"/>
          <w:lang w:val="en-US"/>
        </w:rPr>
        <w:t>Quantification of hemisphere size in control mice (CTL), TUBO-BM and E0771-LG-BM. Representative pictures are shown. One-way ANOVA followed by Tukey's multiple comparisons test (</w:t>
      </w:r>
      <w:r w:rsidRPr="007B3271">
        <w:rPr>
          <w:rFonts w:ascii="Arial" w:hAnsi="Arial" w:cs="Arial"/>
          <w:i/>
          <w:sz w:val="20"/>
          <w:lang w:val="en-US"/>
        </w:rPr>
        <w:t>P</w:t>
      </w:r>
      <w:r w:rsidRPr="007B3271">
        <w:rPr>
          <w:rFonts w:ascii="Arial" w:hAnsi="Arial" w:cs="Arial"/>
          <w:sz w:val="20"/>
          <w:lang w:val="en-US"/>
        </w:rPr>
        <w:t xml:space="preserve"> &lt; 0.001). </w:t>
      </w:r>
    </w:p>
    <w:p w:rsidR="007B3271" w:rsidRDefault="007B3271" w:rsidP="007B3271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:rsidR="007B3271" w:rsidRDefault="007B3271" w:rsidP="007B3271">
      <w:pPr>
        <w:spacing w:line="480" w:lineRule="auto"/>
        <w:jc w:val="both"/>
        <w:rPr>
          <w:rFonts w:ascii="Arial" w:hAnsi="Arial" w:cs="Arial"/>
          <w:b/>
          <w:lang w:val="en-US"/>
        </w:rPr>
      </w:pPr>
      <w:bookmarkStart w:id="0" w:name="_GoBack"/>
      <w:r>
        <w:rPr>
          <w:rFonts w:ascii="Arial" w:hAnsi="Arial" w:cs="Arial"/>
          <w:b/>
          <w:noProof/>
          <w:lang w:eastAsia="de-DE"/>
        </w:rPr>
        <w:lastRenderedPageBreak/>
        <w:drawing>
          <wp:inline distT="0" distB="0" distL="0" distR="0">
            <wp:extent cx="5760720" cy="7918450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38"/>
                    <a:stretch/>
                  </pic:blipFill>
                  <pic:spPr bwMode="auto">
                    <a:xfrm>
                      <a:off x="0" y="0"/>
                      <a:ext cx="5760720" cy="791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7B3271" w:rsidRPr="007B3271" w:rsidRDefault="007B3271" w:rsidP="007B3271">
      <w:pPr>
        <w:spacing w:line="480" w:lineRule="auto"/>
        <w:jc w:val="both"/>
        <w:rPr>
          <w:rFonts w:ascii="Arial" w:hAnsi="Arial" w:cs="Arial"/>
          <w:sz w:val="20"/>
          <w:lang w:val="en-US"/>
        </w:rPr>
      </w:pPr>
      <w:r w:rsidRPr="007B3271">
        <w:rPr>
          <w:rFonts w:ascii="Arial" w:hAnsi="Arial" w:cs="Arial"/>
          <w:b/>
          <w:sz w:val="20"/>
          <w:lang w:val="en-US"/>
        </w:rPr>
        <w:t xml:space="preserve">Figure S3: Prospective MRI evaluation of growth dynamics in experimental models of brain metastasis with infiltrative vs. non-infiltrative HGPs. (A) </w:t>
      </w:r>
      <w:r w:rsidRPr="007B3271">
        <w:rPr>
          <w:rFonts w:ascii="Arial" w:hAnsi="Arial" w:cs="Arial"/>
          <w:sz w:val="20"/>
          <w:lang w:val="en-US"/>
        </w:rPr>
        <w:t xml:space="preserve">Horizontal T2-weighted MR images and 3D reconstructions of control mice (CTL) at day 14 (MRI#1), 20 (MRI#2) and 22 (MRI#3) after stereotactic </w:t>
      </w:r>
      <w:r w:rsidRPr="007B3271">
        <w:rPr>
          <w:rFonts w:ascii="Arial" w:hAnsi="Arial" w:cs="Arial"/>
          <w:sz w:val="20"/>
          <w:lang w:val="en-US"/>
        </w:rPr>
        <w:lastRenderedPageBreak/>
        <w:t xml:space="preserve">injection. </w:t>
      </w:r>
      <w:r w:rsidRPr="007B3271">
        <w:rPr>
          <w:rFonts w:ascii="Arial" w:hAnsi="Arial" w:cs="Arial"/>
          <w:b/>
          <w:sz w:val="20"/>
          <w:lang w:val="en-US"/>
        </w:rPr>
        <w:t>(B)</w:t>
      </w:r>
      <w:r w:rsidRPr="007B3271">
        <w:rPr>
          <w:rFonts w:ascii="Arial" w:hAnsi="Arial" w:cs="Arial"/>
          <w:sz w:val="20"/>
          <w:lang w:val="en-US"/>
        </w:rPr>
        <w:t xml:space="preserve"> Coronal T1-weighted MR images of mouse brains of control (CTL), TUBO-BM and E0771-LG-BM at day 14 (MRI#1), 20 (MRI#2) and 22 (MRI#3) after tumor cell inoculation. The arrows indicate the metastatic lesions. The dashed lines show the brain midline.</w:t>
      </w:r>
    </w:p>
    <w:p w:rsidR="007307C5" w:rsidRDefault="00566BCC"/>
    <w:sectPr w:rsidR="007307C5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BCC" w:rsidRDefault="00566BCC" w:rsidP="007B3271">
      <w:pPr>
        <w:spacing w:after="0" w:line="240" w:lineRule="auto"/>
      </w:pPr>
      <w:r>
        <w:separator/>
      </w:r>
    </w:p>
  </w:endnote>
  <w:endnote w:type="continuationSeparator" w:id="0">
    <w:p w:rsidR="00566BCC" w:rsidRDefault="00566BCC" w:rsidP="007B3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5355867"/>
      <w:docPartObj>
        <w:docPartGallery w:val="Page Numbers (Bottom of Page)"/>
        <w:docPartUnique/>
      </w:docPartObj>
    </w:sdtPr>
    <w:sdtContent>
      <w:p w:rsidR="007B3271" w:rsidRDefault="007B327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B3271" w:rsidRDefault="007B32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BCC" w:rsidRDefault="00566BCC" w:rsidP="007B3271">
      <w:pPr>
        <w:spacing w:after="0" w:line="240" w:lineRule="auto"/>
      </w:pPr>
      <w:r>
        <w:separator/>
      </w:r>
    </w:p>
  </w:footnote>
  <w:footnote w:type="continuationSeparator" w:id="0">
    <w:p w:rsidR="00566BCC" w:rsidRDefault="00566BCC" w:rsidP="007B3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271" w:rsidRPr="007B3271" w:rsidRDefault="007B3271" w:rsidP="007B3271">
    <w:pPr>
      <w:pStyle w:val="Kopfzeile"/>
      <w:jc w:val="right"/>
      <w:rPr>
        <w:sz w:val="20"/>
      </w:rPr>
    </w:pPr>
    <w:r w:rsidRPr="007B3271">
      <w:rPr>
        <w:rFonts w:ascii="Arial" w:hAnsi="Arial" w:cs="Arial"/>
        <w:sz w:val="20"/>
        <w:lang w:val="en-US"/>
      </w:rPr>
      <w:t>Komljenovic</w:t>
    </w:r>
    <w:r w:rsidRPr="007B3271">
      <w:rPr>
        <w:rFonts w:ascii="Arial" w:hAnsi="Arial" w:cs="Arial"/>
        <w:sz w:val="20"/>
        <w:lang w:val="en-US"/>
      </w:rPr>
      <w:t xml:space="preserve"> </w:t>
    </w:r>
    <w:r w:rsidRPr="007B3271">
      <w:rPr>
        <w:rFonts w:ascii="Arial" w:hAnsi="Arial" w:cs="Arial"/>
        <w:i/>
        <w:sz w:val="20"/>
        <w:lang w:val="en-US"/>
      </w:rPr>
      <w:t>et al.</w:t>
    </w:r>
  </w:p>
  <w:p w:rsidR="007B3271" w:rsidRDefault="007B327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71"/>
    <w:rsid w:val="00566BCC"/>
    <w:rsid w:val="007B3271"/>
    <w:rsid w:val="008B6635"/>
    <w:rsid w:val="00C9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3425"/>
  <w15:chartTrackingRefBased/>
  <w15:docId w15:val="{B0E844DA-AC52-4AC4-B003-E8254731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B3271"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3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3271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7B3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327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10"/>
    <w:rsid w:val="006E2A10"/>
    <w:rsid w:val="00E0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C52DB75DD1C4A9ABB85DFE5B1075727">
    <w:name w:val="3C52DB75DD1C4A9ABB85DFE5B1075727"/>
    <w:rsid w:val="006E2A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Regensburg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Blazquez</dc:creator>
  <cp:keywords/>
  <dc:description/>
  <cp:lastModifiedBy>Raquel Blazquez</cp:lastModifiedBy>
  <cp:revision>1</cp:revision>
  <dcterms:created xsi:type="dcterms:W3CDTF">2025-07-31T08:02:00Z</dcterms:created>
  <dcterms:modified xsi:type="dcterms:W3CDTF">2025-07-31T08:04:00Z</dcterms:modified>
</cp:coreProperties>
</file>