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851D4" w14:textId="77777777" w:rsidR="00C80C05" w:rsidRDefault="00C80C05">
      <w:pPr>
        <w:spacing w:line="360" w:lineRule="auto"/>
        <w:rPr>
          <w:rFonts w:ascii="Times New Roman" w:hAnsi="Times New Roman" w:cs="Times New Roman"/>
          <w:b/>
          <w:bCs/>
          <w:sz w:val="24"/>
        </w:rPr>
      </w:pPr>
    </w:p>
    <w:p w14:paraId="0F07F574" w14:textId="77777777" w:rsidR="00C80C05" w:rsidRDefault="00C80C05">
      <w:pPr>
        <w:spacing w:line="360" w:lineRule="auto"/>
        <w:rPr>
          <w:rFonts w:ascii="Times New Roman" w:hAnsi="Times New Roman" w:cs="Times New Roman"/>
          <w:b/>
          <w:bCs/>
          <w:sz w:val="24"/>
        </w:rPr>
      </w:pPr>
    </w:p>
    <w:p w14:paraId="3F6028E6" w14:textId="77777777" w:rsidR="00C80C05" w:rsidRDefault="00000000">
      <w:pPr>
        <w:spacing w:line="360" w:lineRule="auto"/>
        <w:jc w:val="center"/>
        <w:rPr>
          <w:rFonts w:ascii="Times New Roman" w:hAnsi="Times New Roman" w:cs="Times New Roman"/>
          <w:b/>
          <w:bCs/>
          <w:sz w:val="24"/>
        </w:rPr>
      </w:pPr>
      <w:r>
        <w:rPr>
          <w:rFonts w:ascii="Times New Roman" w:hAnsi="Times New Roman" w:cs="Times New Roman" w:hint="eastAsia"/>
          <w:b/>
          <w:bCs/>
          <w:sz w:val="24"/>
        </w:rPr>
        <w:t xml:space="preserve">Supplementary file for </w:t>
      </w:r>
      <w:r>
        <w:rPr>
          <w:rFonts w:ascii="Times New Roman" w:hAnsi="Times New Roman" w:cs="Times New Roman"/>
          <w:b/>
          <w:bCs/>
          <w:sz w:val="24"/>
        </w:rPr>
        <w:t>“Integrated Single-cell and Spatial Transcriptomic Profiling Decodes Lineage Plasticity and Immune Microenvironment Remodeling in Prostate Cancer Progression”</w:t>
      </w:r>
    </w:p>
    <w:p w14:paraId="670DDD83" w14:textId="77777777" w:rsidR="00C80C05" w:rsidRDefault="00C80C05">
      <w:pPr>
        <w:spacing w:line="360" w:lineRule="auto"/>
        <w:jc w:val="center"/>
        <w:rPr>
          <w:rFonts w:ascii="Times New Roman" w:hAnsi="Times New Roman" w:cs="Times New Roman"/>
          <w:b/>
          <w:bCs/>
          <w:sz w:val="24"/>
        </w:rPr>
      </w:pPr>
    </w:p>
    <w:p w14:paraId="19F7E241" w14:textId="77777777" w:rsidR="00C80C05" w:rsidRDefault="00C80C05">
      <w:pPr>
        <w:spacing w:line="360" w:lineRule="auto"/>
        <w:jc w:val="center"/>
        <w:rPr>
          <w:rFonts w:ascii="Times New Roman" w:hAnsi="Times New Roman" w:cs="Times New Roman"/>
          <w:b/>
          <w:bCs/>
          <w:sz w:val="24"/>
        </w:rPr>
      </w:pPr>
    </w:p>
    <w:p w14:paraId="55AF8E29" w14:textId="77777777" w:rsidR="00C80C05" w:rsidRDefault="00000000">
      <w:pPr>
        <w:spacing w:line="360" w:lineRule="auto"/>
        <w:jc w:val="center"/>
        <w:rPr>
          <w:rFonts w:ascii="Times New Roman" w:hAnsi="Times New Roman" w:cs="Times New Roman"/>
          <w:sz w:val="24"/>
        </w:rPr>
      </w:pPr>
      <w:proofErr w:type="spellStart"/>
      <w:r>
        <w:rPr>
          <w:rFonts w:ascii="Times New Roman" w:hAnsi="Times New Roman" w:cs="Times New Roman"/>
          <w:sz w:val="24"/>
        </w:rPr>
        <w:t>Hongyuan</w:t>
      </w:r>
      <w:proofErr w:type="spellEnd"/>
      <w:r>
        <w:rPr>
          <w:rFonts w:ascii="Times New Roman" w:hAnsi="Times New Roman" w:cs="Times New Roman"/>
          <w:sz w:val="24"/>
        </w:rPr>
        <w:t xml:space="preserve"> Yu</w:t>
      </w:r>
      <w:r>
        <w:rPr>
          <w:rFonts w:ascii="Times New Roman" w:hAnsi="Times New Roman" w:cs="Times New Roman" w:hint="eastAsia"/>
          <w:sz w:val="24"/>
          <w:vertAlign w:val="superscript"/>
        </w:rPr>
        <w:t>1*</w:t>
      </w:r>
      <w:r>
        <w:rPr>
          <w:rFonts w:ascii="Times New Roman" w:hAnsi="Times New Roman" w:cs="Times New Roman"/>
          <w:sz w:val="24"/>
        </w:rPr>
        <w:t xml:space="preserve">, </w:t>
      </w:r>
      <w:proofErr w:type="spellStart"/>
      <w:r>
        <w:rPr>
          <w:rFonts w:ascii="Times New Roman" w:hAnsi="Times New Roman" w:cs="Times New Roman"/>
          <w:sz w:val="24"/>
        </w:rPr>
        <w:t>Yusong</w:t>
      </w:r>
      <w:proofErr w:type="spellEnd"/>
      <w:r>
        <w:rPr>
          <w:rFonts w:ascii="Times New Roman" w:hAnsi="Times New Roman" w:cs="Times New Roman"/>
          <w:sz w:val="24"/>
        </w:rPr>
        <w:t xml:space="preserve"> Wang</w:t>
      </w:r>
      <w:r>
        <w:rPr>
          <w:rFonts w:ascii="Times New Roman" w:hAnsi="Times New Roman" w:cs="Times New Roman" w:hint="eastAsia"/>
          <w:sz w:val="24"/>
          <w:vertAlign w:val="superscript"/>
        </w:rPr>
        <w:t>2*</w:t>
      </w:r>
      <w:r>
        <w:rPr>
          <w:rFonts w:ascii="Times New Roman" w:hAnsi="Times New Roman" w:cs="Times New Roman"/>
          <w:sz w:val="24"/>
        </w:rPr>
        <w:t xml:space="preserve">, </w:t>
      </w:r>
      <w:proofErr w:type="spellStart"/>
      <w:r>
        <w:rPr>
          <w:rFonts w:ascii="Times New Roman" w:hAnsi="Times New Roman" w:cs="Times New Roman"/>
          <w:sz w:val="24"/>
        </w:rPr>
        <w:t>Mingcong</w:t>
      </w:r>
      <w:proofErr w:type="spellEnd"/>
      <w:r>
        <w:rPr>
          <w:rFonts w:ascii="Times New Roman" w:hAnsi="Times New Roman" w:cs="Times New Roman"/>
          <w:sz w:val="24"/>
        </w:rPr>
        <w:t xml:space="preserve"> He</w:t>
      </w:r>
      <w:r>
        <w:rPr>
          <w:rFonts w:ascii="Times New Roman" w:hAnsi="Times New Roman" w:cs="Times New Roman" w:hint="eastAsia"/>
          <w:sz w:val="24"/>
          <w:vertAlign w:val="superscript"/>
        </w:rPr>
        <w:t>3*</w:t>
      </w:r>
      <w:r>
        <w:rPr>
          <w:rFonts w:ascii="Times New Roman" w:hAnsi="Times New Roman" w:cs="Times New Roman"/>
          <w:sz w:val="24"/>
        </w:rPr>
        <w:t>, Yiming Chen</w:t>
      </w:r>
      <w:r>
        <w:rPr>
          <w:rFonts w:ascii="Times New Roman" w:hAnsi="Times New Roman" w:cs="Times New Roman" w:hint="eastAsia"/>
          <w:sz w:val="24"/>
          <w:vertAlign w:val="superscript"/>
        </w:rPr>
        <w:t>1</w:t>
      </w:r>
      <w:r>
        <w:rPr>
          <w:rFonts w:ascii="Times New Roman" w:hAnsi="Times New Roman" w:cs="Times New Roman"/>
          <w:sz w:val="24"/>
        </w:rPr>
        <w:t xml:space="preserve">, </w:t>
      </w:r>
      <w:proofErr w:type="spellStart"/>
      <w:r>
        <w:rPr>
          <w:rFonts w:ascii="Times New Roman" w:hAnsi="Times New Roman" w:cs="Times New Roman"/>
          <w:sz w:val="24"/>
        </w:rPr>
        <w:t>Jianbin</w:t>
      </w:r>
      <w:proofErr w:type="spellEnd"/>
      <w:r>
        <w:rPr>
          <w:rFonts w:ascii="Times New Roman" w:hAnsi="Times New Roman" w:cs="Times New Roman"/>
          <w:sz w:val="24"/>
        </w:rPr>
        <w:t xml:space="preserve"> Bi</w:t>
      </w:r>
      <w:r>
        <w:rPr>
          <w:rFonts w:ascii="Times New Roman" w:hAnsi="Times New Roman" w:cs="Times New Roman" w:hint="eastAsia"/>
          <w:sz w:val="24"/>
          <w:vertAlign w:val="superscript"/>
        </w:rPr>
        <w:t>1#</w:t>
      </w:r>
      <w:r>
        <w:rPr>
          <w:rFonts w:ascii="Times New Roman" w:hAnsi="Times New Roman" w:cs="Times New Roman"/>
          <w:sz w:val="24"/>
        </w:rPr>
        <w:t xml:space="preserve">, </w:t>
      </w:r>
      <w:proofErr w:type="spellStart"/>
      <w:r>
        <w:rPr>
          <w:rFonts w:ascii="Times New Roman" w:hAnsi="Times New Roman" w:cs="Times New Roman"/>
          <w:sz w:val="24"/>
        </w:rPr>
        <w:t>Xuyong</w:t>
      </w:r>
      <w:proofErr w:type="spellEnd"/>
      <w:r>
        <w:rPr>
          <w:rFonts w:ascii="Times New Roman" w:hAnsi="Times New Roman" w:cs="Times New Roman"/>
          <w:sz w:val="24"/>
        </w:rPr>
        <w:t xml:space="preserve"> Lin</w:t>
      </w:r>
      <w:r>
        <w:rPr>
          <w:rFonts w:ascii="Times New Roman" w:hAnsi="Times New Roman" w:cs="Times New Roman" w:hint="eastAsia"/>
          <w:sz w:val="24"/>
          <w:vertAlign w:val="superscript"/>
        </w:rPr>
        <w:t>4#</w:t>
      </w:r>
      <w:r>
        <w:rPr>
          <w:rFonts w:ascii="Times New Roman" w:hAnsi="Times New Roman" w:cs="Times New Roman"/>
          <w:sz w:val="24"/>
        </w:rPr>
        <w:t>, Xiaolu Cui</w:t>
      </w:r>
      <w:r>
        <w:rPr>
          <w:rFonts w:ascii="Times New Roman" w:hAnsi="Times New Roman" w:cs="Times New Roman" w:hint="eastAsia"/>
          <w:sz w:val="24"/>
          <w:vertAlign w:val="superscript"/>
        </w:rPr>
        <w:t>1#</w:t>
      </w:r>
    </w:p>
    <w:p w14:paraId="4AED9DB9" w14:textId="77777777" w:rsidR="00C80C05" w:rsidRDefault="00C80C05">
      <w:pPr>
        <w:spacing w:line="360" w:lineRule="auto"/>
        <w:rPr>
          <w:rFonts w:ascii="Times New Roman" w:hAnsi="Times New Roman" w:cs="Times New Roman"/>
          <w:sz w:val="24"/>
        </w:rPr>
      </w:pPr>
    </w:p>
    <w:p w14:paraId="18C8B274" w14:textId="77777777" w:rsidR="00C80C05"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Department of Urology, First Hospital of China Medical University, Shenyang, Liaoning Province 110001, China.</w:t>
      </w:r>
    </w:p>
    <w:p w14:paraId="6672C35C" w14:textId="77777777" w:rsidR="00C80C05" w:rsidRDefault="00000000">
      <w:pPr>
        <w:numPr>
          <w:ilvl w:val="0"/>
          <w:numId w:val="1"/>
        </w:numPr>
        <w:spacing w:line="360" w:lineRule="auto"/>
        <w:rPr>
          <w:rFonts w:ascii="Times New Roman" w:hAnsi="Times New Roman" w:cs="Times New Roman"/>
          <w:sz w:val="24"/>
        </w:rPr>
      </w:pPr>
      <w:r>
        <w:rPr>
          <w:rFonts w:ascii="Times New Roman" w:hAnsi="Times New Roman" w:cs="Times New Roman" w:hint="eastAsia"/>
          <w:sz w:val="24"/>
        </w:rPr>
        <w:t xml:space="preserve">Department of Breast Surgery, The First Hospital of China Medical University, Shenyang 110001, China </w:t>
      </w:r>
    </w:p>
    <w:p w14:paraId="5BBD9B9A" w14:textId="77777777" w:rsidR="00C80C05"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Department of Cell Biology, Key Laboratory of Medical Cell Biology, Ministry of Education, School of Life Sciences, China Medical University, Shenyang City, Liaoning Province, 110122, China</w:t>
      </w:r>
    </w:p>
    <w:p w14:paraId="14075477" w14:textId="77777777" w:rsidR="00C80C05"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 xml:space="preserve">Department of Pathology, The First Hospital, College of Basic Medical Sciences, China Medical University, Shenyang, </w:t>
      </w:r>
      <w:r>
        <w:rPr>
          <w:rFonts w:ascii="Times New Roman" w:hAnsi="Times New Roman" w:cs="Times New Roman" w:hint="eastAsia"/>
          <w:sz w:val="24"/>
        </w:rPr>
        <w:t xml:space="preserve">110122, </w:t>
      </w:r>
      <w:r>
        <w:rPr>
          <w:rFonts w:ascii="Times New Roman" w:hAnsi="Times New Roman" w:cs="Times New Roman"/>
          <w:sz w:val="24"/>
        </w:rPr>
        <w:t>China.</w:t>
      </w:r>
    </w:p>
    <w:p w14:paraId="784013D2" w14:textId="77777777" w:rsidR="00C80C05" w:rsidRDefault="00C80C05">
      <w:pPr>
        <w:spacing w:line="360" w:lineRule="auto"/>
        <w:jc w:val="center"/>
        <w:rPr>
          <w:rFonts w:ascii="Times New Roman" w:hAnsi="Times New Roman" w:cs="Times New Roman"/>
          <w:b/>
          <w:bCs/>
          <w:sz w:val="24"/>
        </w:rPr>
      </w:pPr>
    </w:p>
    <w:p w14:paraId="4D456124" w14:textId="77777777" w:rsidR="00C80C05" w:rsidRDefault="00C80C05">
      <w:pPr>
        <w:spacing w:line="360" w:lineRule="auto"/>
        <w:jc w:val="center"/>
        <w:rPr>
          <w:rFonts w:ascii="Times New Roman" w:hAnsi="Times New Roman" w:cs="Times New Roman"/>
          <w:b/>
          <w:bCs/>
          <w:sz w:val="24"/>
        </w:rPr>
      </w:pPr>
    </w:p>
    <w:p w14:paraId="79AC73AC" w14:textId="77777777" w:rsidR="00C80C05" w:rsidRDefault="00000000">
      <w:pPr>
        <w:spacing w:line="360" w:lineRule="auto"/>
        <w:jc w:val="center"/>
        <w:rPr>
          <w:rFonts w:ascii="Times New Roman" w:hAnsi="Times New Roman" w:cs="Times New Roman"/>
          <w:sz w:val="24"/>
        </w:rPr>
      </w:pPr>
      <w:r>
        <w:rPr>
          <w:rFonts w:ascii="Times New Roman" w:hAnsi="Times New Roman" w:cs="Times New Roman" w:hint="eastAsia"/>
          <w:sz w:val="24"/>
        </w:rPr>
        <w:t xml:space="preserve">This file contains: </w:t>
      </w:r>
    </w:p>
    <w:p w14:paraId="67DE8644" w14:textId="77777777" w:rsidR="00C80C05" w:rsidRDefault="00000000">
      <w:pPr>
        <w:spacing w:line="360" w:lineRule="auto"/>
        <w:jc w:val="center"/>
        <w:rPr>
          <w:rFonts w:ascii="Times New Roman" w:hAnsi="Times New Roman" w:cs="Times New Roman"/>
          <w:sz w:val="24"/>
        </w:rPr>
      </w:pPr>
      <w:r>
        <w:rPr>
          <w:rFonts w:ascii="Times New Roman" w:hAnsi="Times New Roman" w:cs="Times New Roman" w:hint="eastAsia"/>
          <w:sz w:val="24"/>
        </w:rPr>
        <w:t>Supplementary Figure 1-9</w:t>
      </w:r>
    </w:p>
    <w:p w14:paraId="5ED1D769" w14:textId="77777777" w:rsidR="00C80C05" w:rsidRDefault="00000000">
      <w:pPr>
        <w:spacing w:line="360" w:lineRule="auto"/>
        <w:jc w:val="center"/>
        <w:rPr>
          <w:rFonts w:ascii="Times New Roman" w:hAnsi="Times New Roman" w:cs="Times New Roman"/>
          <w:sz w:val="24"/>
        </w:rPr>
      </w:pPr>
      <w:r>
        <w:rPr>
          <w:rFonts w:ascii="Times New Roman" w:hAnsi="Times New Roman" w:cs="Times New Roman" w:hint="eastAsia"/>
          <w:sz w:val="24"/>
        </w:rPr>
        <w:t>Figure legends for Supplementary Figure 1-9</w:t>
      </w:r>
    </w:p>
    <w:p w14:paraId="3341C8E3" w14:textId="77777777" w:rsidR="00C80C05" w:rsidRDefault="00C80C05">
      <w:pPr>
        <w:spacing w:line="360" w:lineRule="auto"/>
        <w:rPr>
          <w:rFonts w:ascii="Times New Roman" w:hAnsi="Times New Roman" w:cs="Times New Roman"/>
          <w:b/>
          <w:bCs/>
          <w:sz w:val="24"/>
        </w:rPr>
      </w:pPr>
    </w:p>
    <w:p w14:paraId="7DC47BF6" w14:textId="77777777" w:rsidR="00C80C05" w:rsidRDefault="00C80C05">
      <w:pPr>
        <w:spacing w:line="360" w:lineRule="auto"/>
        <w:rPr>
          <w:rFonts w:ascii="Times New Roman" w:hAnsi="Times New Roman" w:cs="Times New Roman"/>
          <w:b/>
          <w:bCs/>
          <w:sz w:val="24"/>
        </w:rPr>
      </w:pPr>
    </w:p>
    <w:p w14:paraId="75D481DA" w14:textId="77777777" w:rsidR="00C80C05" w:rsidRDefault="00C80C05">
      <w:pPr>
        <w:spacing w:line="360" w:lineRule="auto"/>
        <w:rPr>
          <w:rFonts w:ascii="Times New Roman" w:hAnsi="Times New Roman" w:cs="Times New Roman"/>
          <w:b/>
          <w:bCs/>
          <w:sz w:val="24"/>
        </w:rPr>
      </w:pPr>
    </w:p>
    <w:p w14:paraId="74868134" w14:textId="77777777" w:rsidR="00C80C05" w:rsidRDefault="00C80C05">
      <w:pPr>
        <w:spacing w:line="360" w:lineRule="auto"/>
        <w:rPr>
          <w:rFonts w:ascii="Times New Roman" w:hAnsi="Times New Roman" w:cs="Times New Roman"/>
          <w:b/>
          <w:bCs/>
          <w:sz w:val="24"/>
        </w:rPr>
      </w:pPr>
    </w:p>
    <w:p w14:paraId="67178F37" w14:textId="77777777" w:rsidR="00C80C05" w:rsidRDefault="00C80C05">
      <w:pPr>
        <w:spacing w:line="360" w:lineRule="auto"/>
        <w:rPr>
          <w:rFonts w:ascii="Times New Roman" w:hAnsi="Times New Roman" w:cs="Times New Roman"/>
          <w:b/>
          <w:bCs/>
          <w:sz w:val="24"/>
        </w:rPr>
      </w:pPr>
    </w:p>
    <w:p w14:paraId="0DDE1D68" w14:textId="77777777" w:rsidR="00C80C05" w:rsidRDefault="00000000">
      <w:pPr>
        <w:spacing w:line="360" w:lineRule="auto"/>
        <w:rPr>
          <w:rFonts w:ascii="Times New Roman" w:hAnsi="Times New Roman" w:cs="Times New Roman"/>
          <w:b/>
          <w:bCs/>
          <w:sz w:val="24"/>
        </w:rPr>
      </w:pPr>
      <w:r>
        <w:rPr>
          <w:rFonts w:ascii="Times New Roman" w:hAnsi="Times New Roman" w:cs="Times New Roman" w:hint="eastAsia"/>
          <w:b/>
          <w:bCs/>
          <w:noProof/>
          <w:sz w:val="24"/>
        </w:rPr>
        <w:lastRenderedPageBreak/>
        <w:drawing>
          <wp:inline distT="0" distB="0" distL="114300" distR="114300" wp14:anchorId="678E0541" wp14:editId="4E6C71F8">
            <wp:extent cx="5040630" cy="6720840"/>
            <wp:effectExtent l="0" t="0" r="7620" b="3810"/>
            <wp:docPr id="2" name="图片 2" descr="D:/2025前列腺癌单细胞项目/稿件/Revision/Figures/Figures 1-10/S Figure 1.JPGS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2025前列腺癌单细胞项目/稿件/Revision/Figures/Figures 1-10/S Figure 1.JPGS Figure 1"/>
                    <pic:cNvPicPr>
                      <a:picLocks noChangeAspect="1"/>
                    </pic:cNvPicPr>
                  </pic:nvPicPr>
                  <pic:blipFill>
                    <a:blip r:embed="rId7"/>
                    <a:srcRect/>
                    <a:stretch>
                      <a:fillRect/>
                    </a:stretch>
                  </pic:blipFill>
                  <pic:spPr>
                    <a:xfrm>
                      <a:off x="0" y="0"/>
                      <a:ext cx="5040669" cy="6720893"/>
                    </a:xfrm>
                    <a:prstGeom prst="rect">
                      <a:avLst/>
                    </a:prstGeom>
                  </pic:spPr>
                </pic:pic>
              </a:graphicData>
            </a:graphic>
          </wp:inline>
        </w:drawing>
      </w:r>
    </w:p>
    <w:p w14:paraId="1D1ACBE4" w14:textId="77777777" w:rsidR="00C80C05" w:rsidRDefault="00000000">
      <w:pPr>
        <w:spacing w:line="360" w:lineRule="auto"/>
        <w:rPr>
          <w:rFonts w:ascii="Times New Roman" w:hAnsi="Times New Roman" w:cs="Times New Roman"/>
          <w:sz w:val="24"/>
        </w:rPr>
      </w:pPr>
      <w:r>
        <w:rPr>
          <w:rFonts w:ascii="Times New Roman" w:hAnsi="Times New Roman" w:cs="Times New Roman"/>
          <w:b/>
          <w:bCs/>
          <w:sz w:val="24"/>
        </w:rPr>
        <w:t>Supplementary Figure 1. Quality control and basic characterization of single-cell and spatial transcriptomic data</w:t>
      </w:r>
      <w:r>
        <w:rPr>
          <w:rFonts w:ascii="Times New Roman" w:hAnsi="Times New Roman" w:cs="Times New Roman" w:hint="eastAsia"/>
          <w:b/>
          <w:bCs/>
          <w:sz w:val="24"/>
        </w:rPr>
        <w:t>.</w:t>
      </w:r>
    </w:p>
    <w:p w14:paraId="280CAAA5" w14:textId="77777777" w:rsidR="00C80C05" w:rsidRDefault="00000000">
      <w:pPr>
        <w:numPr>
          <w:ilvl w:val="0"/>
          <w:numId w:val="2"/>
        </w:numPr>
        <w:spacing w:line="360" w:lineRule="auto"/>
        <w:rPr>
          <w:rFonts w:ascii="Times New Roman" w:hAnsi="Times New Roman" w:cs="Times New Roman"/>
          <w:sz w:val="24"/>
        </w:rPr>
      </w:pPr>
      <w:r>
        <w:rPr>
          <w:rFonts w:ascii="Times New Roman" w:hAnsi="Times New Roman" w:cs="Times New Roman"/>
          <w:sz w:val="24"/>
        </w:rPr>
        <w:t>UMAP visualization showing the distribution of all cells, colored by sample origin. Each distinct color represents cells derived from a different individual sample, demonstrating the integration of multiple datasets.</w:t>
      </w:r>
      <w:r>
        <w:rPr>
          <w:rFonts w:ascii="Times New Roman" w:hAnsi="Times New Roman" w:cs="Times New Roman" w:hint="eastAsia"/>
          <w:sz w:val="24"/>
        </w:rPr>
        <w:t xml:space="preserve"> </w:t>
      </w:r>
      <w:r>
        <w:rPr>
          <w:rFonts w:ascii="Times New Roman" w:hAnsi="Times New Roman" w:cs="Times New Roman"/>
          <w:b/>
          <w:bCs/>
          <w:sz w:val="24"/>
        </w:rPr>
        <w:t>B</w:t>
      </w:r>
      <w:r>
        <w:rPr>
          <w:rFonts w:ascii="Times New Roman" w:hAnsi="Times New Roman" w:cs="Times New Roman" w:hint="eastAsia"/>
          <w:sz w:val="24"/>
        </w:rPr>
        <w:t>.</w:t>
      </w:r>
      <w:r>
        <w:rPr>
          <w:rFonts w:ascii="Times New Roman" w:hAnsi="Times New Roman" w:cs="Times New Roman"/>
          <w:sz w:val="24"/>
        </w:rPr>
        <w:t xml:space="preserve"> Immunohistochemical validation of spatial transcriptomics. Representative images of immunohistochemistry (IHC) staining performed on serial sections of the same prostate samples used for </w:t>
      </w:r>
      <w:r>
        <w:rPr>
          <w:rFonts w:ascii="Times New Roman" w:hAnsi="Times New Roman" w:cs="Times New Roman"/>
          <w:sz w:val="24"/>
        </w:rPr>
        <w:lastRenderedPageBreak/>
        <w:t xml:space="preserve">spatial transcriptomics (Patient 01-08). (Left panels) Staining for the androgen receptor (AR) across all eight samples. (Right panels) Staining for neuroendocrine markers Chromogranin A (CGA) and Synaptophysin (SYN) in </w:t>
      </w:r>
      <w:proofErr w:type="gramStart"/>
      <w:r>
        <w:rPr>
          <w:rFonts w:ascii="Times New Roman" w:hAnsi="Times New Roman" w:cs="Times New Roman"/>
          <w:sz w:val="24"/>
        </w:rPr>
        <w:t>Patient</w:t>
      </w:r>
      <w:proofErr w:type="gramEnd"/>
      <w:r>
        <w:rPr>
          <w:rFonts w:ascii="Times New Roman" w:hAnsi="Times New Roman" w:cs="Times New Roman"/>
          <w:sz w:val="24"/>
        </w:rPr>
        <w:t xml:space="preserve"> 07 and Patient 08. Scale bar = 200 µm.</w:t>
      </w:r>
      <w:r>
        <w:rPr>
          <w:rFonts w:ascii="Times New Roman" w:hAnsi="Times New Roman" w:cs="Times New Roman" w:hint="eastAsia"/>
          <w:sz w:val="24"/>
        </w:rPr>
        <w:t xml:space="preserve"> </w:t>
      </w:r>
      <w:r>
        <w:rPr>
          <w:rFonts w:ascii="Times New Roman" w:hAnsi="Times New Roman" w:cs="Times New Roman"/>
          <w:b/>
          <w:bCs/>
          <w:sz w:val="24"/>
        </w:rPr>
        <w:t>C</w:t>
      </w:r>
      <w:r>
        <w:rPr>
          <w:rFonts w:ascii="Times New Roman" w:hAnsi="Times New Roman" w:cs="Times New Roman"/>
          <w:sz w:val="24"/>
        </w:rPr>
        <w:t>. UMAP visualization displaying the distribution of UMI counts per spot across the 8 spatial transcriptomics samples. Color gradient from blue (low UMI counts) to red (high UMI counts) represents sequencing depth variation across tissue spots.</w:t>
      </w:r>
      <w:r>
        <w:rPr>
          <w:rFonts w:ascii="Times New Roman" w:hAnsi="Times New Roman" w:cs="Times New Roman" w:hint="eastAsia"/>
          <w:sz w:val="24"/>
        </w:rPr>
        <w:t xml:space="preserve"> </w:t>
      </w:r>
      <w:r>
        <w:rPr>
          <w:rFonts w:ascii="Times New Roman" w:hAnsi="Times New Roman" w:cs="Times New Roman"/>
          <w:b/>
          <w:bCs/>
          <w:sz w:val="24"/>
        </w:rPr>
        <w:t>D</w:t>
      </w:r>
      <w:r>
        <w:rPr>
          <w:rFonts w:ascii="Times New Roman" w:hAnsi="Times New Roman" w:cs="Times New Roman"/>
          <w:sz w:val="24"/>
        </w:rPr>
        <w:t>. UMAP projection showing the clustering results of all spots from the 8 spatial transcriptomics samples, identified as 16 distinct clusters (labeled 0-15). Each cluster is represented by a distinct color.</w:t>
      </w:r>
      <w:r>
        <w:rPr>
          <w:rFonts w:ascii="Times New Roman" w:hAnsi="Times New Roman" w:cs="Times New Roman" w:hint="eastAsia"/>
          <w:sz w:val="24"/>
        </w:rPr>
        <w:t xml:space="preserve"> </w:t>
      </w:r>
      <w:r>
        <w:rPr>
          <w:rFonts w:ascii="Times New Roman" w:hAnsi="Times New Roman" w:cs="Times New Roman"/>
          <w:b/>
          <w:bCs/>
          <w:sz w:val="24"/>
        </w:rPr>
        <w:t>E</w:t>
      </w:r>
      <w:r>
        <w:rPr>
          <w:rFonts w:ascii="Times New Roman" w:hAnsi="Times New Roman" w:cs="Times New Roman"/>
          <w:sz w:val="24"/>
        </w:rPr>
        <w:t>. Stacked bar plot demonstrating the distribution of spatial clusters across different samples. Each bar represents one spatial transcriptomics sample, with colored segments indicating the proportion of spots belonging to each cluster.</w:t>
      </w:r>
      <w:r>
        <w:rPr>
          <w:rFonts w:ascii="Times New Roman" w:hAnsi="Times New Roman" w:cs="Times New Roman" w:hint="eastAsia"/>
          <w:sz w:val="24"/>
        </w:rPr>
        <w:t xml:space="preserve"> </w:t>
      </w:r>
      <w:r>
        <w:rPr>
          <w:rFonts w:ascii="Times New Roman" w:hAnsi="Times New Roman" w:cs="Times New Roman"/>
          <w:b/>
          <w:bCs/>
          <w:sz w:val="24"/>
        </w:rPr>
        <w:t>F</w:t>
      </w:r>
      <w:r>
        <w:rPr>
          <w:rFonts w:ascii="Times New Roman" w:hAnsi="Times New Roman" w:cs="Times New Roman"/>
          <w:sz w:val="24"/>
        </w:rPr>
        <w:t>. Spatial mapping of the 16 identified clusters across the 8 samples, paired with corresponding H&amp;E staining of the original tissue sections. Left panels show cluster assignments mapped onto spatial coordinates, right panels display histological morphology of the sequenced regions.</w:t>
      </w:r>
    </w:p>
    <w:p w14:paraId="08FB33FE" w14:textId="77777777" w:rsidR="00C80C05" w:rsidRDefault="00C80C05">
      <w:pPr>
        <w:spacing w:line="360" w:lineRule="auto"/>
        <w:rPr>
          <w:rFonts w:ascii="Times New Roman" w:hAnsi="Times New Roman" w:cs="Times New Roman"/>
          <w:sz w:val="24"/>
        </w:rPr>
      </w:pPr>
    </w:p>
    <w:p w14:paraId="280645A8" w14:textId="77777777" w:rsidR="00C80C05" w:rsidRDefault="00000000">
      <w:pPr>
        <w:spacing w:line="360" w:lineRule="auto"/>
        <w:rPr>
          <w:rFonts w:ascii="Times New Roman" w:hAnsi="Times New Roman" w:cs="Times New Roman"/>
          <w:sz w:val="24"/>
        </w:rPr>
      </w:pPr>
      <w:r>
        <w:rPr>
          <w:rFonts w:ascii="Times New Roman" w:hAnsi="Times New Roman" w:cs="Times New Roman" w:hint="eastAsia"/>
          <w:noProof/>
          <w:sz w:val="24"/>
        </w:rPr>
        <w:lastRenderedPageBreak/>
        <w:drawing>
          <wp:inline distT="0" distB="0" distL="114300" distR="114300" wp14:anchorId="315D0B64" wp14:editId="598ABC11">
            <wp:extent cx="5266055" cy="6342380"/>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rcRect l="217" r="217"/>
                    <a:stretch>
                      <a:fillRect/>
                    </a:stretch>
                  </pic:blipFill>
                  <pic:spPr>
                    <a:xfrm>
                      <a:off x="0" y="0"/>
                      <a:ext cx="5266689" cy="6342380"/>
                    </a:xfrm>
                    <a:prstGeom prst="rect">
                      <a:avLst/>
                    </a:prstGeom>
                  </pic:spPr>
                </pic:pic>
              </a:graphicData>
            </a:graphic>
          </wp:inline>
        </w:drawing>
      </w:r>
    </w:p>
    <w:p w14:paraId="13AB0238" w14:textId="77777777" w:rsidR="00C80C05" w:rsidRDefault="00000000">
      <w:pPr>
        <w:spacing w:line="360" w:lineRule="auto"/>
        <w:rPr>
          <w:rFonts w:ascii="Times New Roman" w:hAnsi="Times New Roman" w:cs="Times New Roman"/>
          <w:b/>
          <w:bCs/>
          <w:sz w:val="24"/>
        </w:rPr>
      </w:pPr>
      <w:r>
        <w:rPr>
          <w:rFonts w:ascii="Times New Roman" w:hAnsi="Times New Roman" w:cs="Times New Roman"/>
          <w:b/>
          <w:bCs/>
          <w:sz w:val="24"/>
        </w:rPr>
        <w:t>Supplementary Figure 2. Genomic and functional heterogeneity in benign and malignant epithelial cells across subtypes.</w:t>
      </w:r>
    </w:p>
    <w:p w14:paraId="2280DD10" w14:textId="77777777" w:rsidR="00C80C05" w:rsidRDefault="00000000">
      <w:pPr>
        <w:spacing w:line="360" w:lineRule="auto"/>
        <w:rPr>
          <w:rFonts w:ascii="Times New Roman" w:hAnsi="Times New Roman" w:cs="Times New Roman"/>
          <w:sz w:val="24"/>
        </w:rPr>
      </w:pPr>
      <w:r>
        <w:rPr>
          <w:rFonts w:ascii="Times New Roman" w:hAnsi="Times New Roman" w:cs="Times New Roman"/>
          <w:b/>
          <w:bCs/>
          <w:sz w:val="24"/>
        </w:rPr>
        <w:t>A</w:t>
      </w:r>
      <w:r>
        <w:rPr>
          <w:rFonts w:ascii="Times New Roman" w:hAnsi="Times New Roman" w:cs="Times New Roman" w:hint="eastAsia"/>
          <w:sz w:val="24"/>
        </w:rPr>
        <w:t>.</w:t>
      </w:r>
      <w:r>
        <w:rPr>
          <w:rFonts w:ascii="Times New Roman" w:hAnsi="Times New Roman" w:cs="Times New Roman"/>
          <w:sz w:val="24"/>
        </w:rPr>
        <w:t xml:space="preserve"> Differentiation potential of epithelial subtypes. Box plots showing the differentiation potency scores (derived from </w:t>
      </w:r>
      <w:proofErr w:type="spellStart"/>
      <w:r>
        <w:rPr>
          <w:rFonts w:ascii="Times New Roman" w:hAnsi="Times New Roman" w:cs="Times New Roman"/>
          <w:sz w:val="24"/>
        </w:rPr>
        <w:t>CytoTRACE</w:t>
      </w:r>
      <w:proofErr w:type="spellEnd"/>
      <w:r>
        <w:rPr>
          <w:rFonts w:ascii="Times New Roman" w:hAnsi="Times New Roman" w:cs="Times New Roman"/>
          <w:sz w:val="24"/>
        </w:rPr>
        <w:t xml:space="preserve"> analysis) across major epithelial cell types (Basal, Hillock, LPC, NE, Luminal, Club). The y-axis (</w:t>
      </w:r>
      <w:proofErr w:type="spellStart"/>
      <w:r>
        <w:rPr>
          <w:rFonts w:ascii="Times New Roman" w:hAnsi="Times New Roman" w:cs="Times New Roman"/>
          <w:sz w:val="24"/>
        </w:rPr>
        <w:t>Cytotrace</w:t>
      </w:r>
      <w:proofErr w:type="spellEnd"/>
      <w:r>
        <w:rPr>
          <w:rFonts w:ascii="Times New Roman" w:hAnsi="Times New Roman" w:cs="Times New Roman"/>
          <w:sz w:val="24"/>
        </w:rPr>
        <w:t xml:space="preserve"> Score) indicates differentiation potential.</w:t>
      </w:r>
      <w:r>
        <w:rPr>
          <w:rFonts w:ascii="Times New Roman" w:hAnsi="Times New Roman" w:cs="Times New Roman" w:hint="eastAsia"/>
          <w:sz w:val="24"/>
        </w:rPr>
        <w:t xml:space="preserve"> </w:t>
      </w:r>
      <w:r>
        <w:rPr>
          <w:rFonts w:ascii="Times New Roman" w:hAnsi="Times New Roman" w:cs="Times New Roman"/>
          <w:sz w:val="24"/>
        </w:rPr>
        <w:t xml:space="preserve">Statistical significance was assessed using the Wilcoxon rank-sum test. In this and subsequent panels, significance levels are denoted as follows: ns, not significant; *P &lt; 0.05; **P &lt; 0.01; ***P &lt; 0.001; ****P &lt; </w:t>
      </w:r>
      <w:r>
        <w:rPr>
          <w:rFonts w:ascii="Times New Roman" w:hAnsi="Times New Roman" w:cs="Times New Roman"/>
          <w:sz w:val="24"/>
        </w:rPr>
        <w:lastRenderedPageBreak/>
        <w:t>0.0001.</w:t>
      </w:r>
      <w:r>
        <w:rPr>
          <w:rFonts w:ascii="Times New Roman" w:hAnsi="Times New Roman" w:cs="Times New Roman" w:hint="eastAsia"/>
          <w:sz w:val="24"/>
        </w:rPr>
        <w:t xml:space="preserve"> </w:t>
      </w:r>
      <w:r>
        <w:rPr>
          <w:rFonts w:ascii="Times New Roman" w:hAnsi="Times New Roman" w:cs="Times New Roman"/>
          <w:b/>
          <w:bCs/>
          <w:sz w:val="24"/>
        </w:rPr>
        <w:t>B</w:t>
      </w:r>
      <w:r>
        <w:rPr>
          <w:rFonts w:ascii="Times New Roman" w:hAnsi="Times New Roman" w:cs="Times New Roman" w:hint="eastAsia"/>
          <w:sz w:val="24"/>
        </w:rPr>
        <w:t>.</w:t>
      </w:r>
      <w:r>
        <w:rPr>
          <w:rFonts w:ascii="Times New Roman" w:hAnsi="Times New Roman" w:cs="Times New Roman"/>
          <w:sz w:val="24"/>
        </w:rPr>
        <w:t xml:space="preserve"> Copy number variation (CNV) landscape of malignant epithelial subtypes. Heatmap depicting inferred CNV profiles of malignant epithelial cells from each epithelia</w:t>
      </w:r>
      <w:r>
        <w:rPr>
          <w:rFonts w:ascii="Times New Roman" w:hAnsi="Times New Roman" w:cs="Times New Roman" w:hint="eastAsia"/>
          <w:sz w:val="24"/>
        </w:rPr>
        <w:t xml:space="preserve">l </w:t>
      </w:r>
      <w:r>
        <w:rPr>
          <w:rFonts w:ascii="Times New Roman" w:hAnsi="Times New Roman" w:cs="Times New Roman"/>
          <w:sz w:val="24"/>
        </w:rPr>
        <w:t xml:space="preserve">subtype (columns), using healthy prostate epithelial cells as a reference. Copy number loss is shown in blue and gain in red. The </w:t>
      </w:r>
      <w:r>
        <w:rPr>
          <w:rFonts w:ascii="Times New Roman" w:hAnsi="Times New Roman" w:cs="Times New Roman" w:hint="eastAsia"/>
          <w:sz w:val="24"/>
        </w:rPr>
        <w:t>left</w:t>
      </w:r>
      <w:r>
        <w:rPr>
          <w:rFonts w:ascii="Times New Roman" w:hAnsi="Times New Roman" w:cs="Times New Roman"/>
          <w:sz w:val="24"/>
        </w:rPr>
        <w:t xml:space="preserve"> color bar indicates the corresponding epithelial cell type for each column of cells.</w:t>
      </w:r>
      <w:r>
        <w:rPr>
          <w:rFonts w:ascii="Times New Roman" w:hAnsi="Times New Roman" w:cs="Times New Roman" w:hint="eastAsia"/>
          <w:sz w:val="24"/>
        </w:rPr>
        <w:t xml:space="preserve"> </w:t>
      </w:r>
      <w:r>
        <w:rPr>
          <w:rFonts w:ascii="Times New Roman" w:hAnsi="Times New Roman" w:cs="Times New Roman"/>
          <w:b/>
          <w:bCs/>
          <w:sz w:val="24"/>
        </w:rPr>
        <w:t>C</w:t>
      </w:r>
      <w:r>
        <w:rPr>
          <w:rFonts w:ascii="Times New Roman" w:hAnsi="Times New Roman" w:cs="Times New Roman" w:hint="eastAsia"/>
          <w:sz w:val="24"/>
        </w:rPr>
        <w:t>.</w:t>
      </w:r>
      <w:r>
        <w:rPr>
          <w:rFonts w:ascii="Times New Roman" w:hAnsi="Times New Roman" w:cs="Times New Roman"/>
          <w:sz w:val="24"/>
        </w:rPr>
        <w:t xml:space="preserve"> CNV profiles of benign versus malignant epithelial cells. Heatmap comparing the inferred CNV profiles of benign and malignant epithelial cells, with healthy epithelial cells as the reference. Blue indicates copy number loss, red indicates gain.</w:t>
      </w:r>
      <w:r>
        <w:rPr>
          <w:rFonts w:ascii="Times New Roman" w:hAnsi="Times New Roman" w:cs="Times New Roman" w:hint="eastAsia"/>
          <w:sz w:val="24"/>
        </w:rPr>
        <w:t xml:space="preserve"> </w:t>
      </w:r>
      <w:r>
        <w:rPr>
          <w:rFonts w:ascii="Times New Roman" w:hAnsi="Times New Roman" w:cs="Times New Roman"/>
          <w:b/>
          <w:bCs/>
          <w:sz w:val="24"/>
        </w:rPr>
        <w:t>D</w:t>
      </w:r>
      <w:r>
        <w:rPr>
          <w:rFonts w:ascii="Times New Roman" w:hAnsi="Times New Roman" w:cs="Times New Roman" w:hint="eastAsia"/>
          <w:sz w:val="24"/>
        </w:rPr>
        <w:t>.</w:t>
      </w:r>
      <w:r>
        <w:rPr>
          <w:rFonts w:ascii="Times New Roman" w:hAnsi="Times New Roman" w:cs="Times New Roman"/>
          <w:sz w:val="24"/>
        </w:rPr>
        <w:t xml:space="preserve"> CNV burden comparison (benign vs. malignant). Violin plots comparing the global CNV scores between benign and malignant epithelial cells (as grouped in C). Points are colored by their cell type annotation.</w:t>
      </w:r>
      <w:r>
        <w:rPr>
          <w:rFonts w:ascii="Times New Roman" w:hAnsi="Times New Roman" w:cs="Times New Roman" w:hint="eastAsia"/>
          <w:sz w:val="24"/>
        </w:rPr>
        <w:t xml:space="preserve"> </w:t>
      </w:r>
      <w:r>
        <w:rPr>
          <w:rFonts w:ascii="Times New Roman" w:hAnsi="Times New Roman" w:cs="Times New Roman"/>
          <w:b/>
          <w:bCs/>
          <w:sz w:val="24"/>
        </w:rPr>
        <w:t>E-H</w:t>
      </w:r>
      <w:r>
        <w:rPr>
          <w:rFonts w:ascii="Times New Roman" w:hAnsi="Times New Roman" w:cs="Times New Roman" w:hint="eastAsia"/>
          <w:sz w:val="24"/>
        </w:rPr>
        <w:t>.</w:t>
      </w:r>
      <w:r>
        <w:rPr>
          <w:rFonts w:ascii="Times New Roman" w:hAnsi="Times New Roman" w:cs="Times New Roman"/>
          <w:sz w:val="24"/>
        </w:rPr>
        <w:t xml:space="preserve"> Subtype-specific CNV analysis for Hillock and Club cells. (E, G) CNV heatmaps and (F, H) corresponding violin plots of CNV scores, comparing benign versus malignant cells within the (E, F) Hillock and (G, H) Club epithelial subtypes. Healthy epithelial cells serve as the reference for inference.</w:t>
      </w:r>
      <w:r>
        <w:rPr>
          <w:rFonts w:ascii="Times New Roman" w:hAnsi="Times New Roman" w:cs="Times New Roman" w:hint="eastAsia"/>
          <w:sz w:val="24"/>
        </w:rPr>
        <w:t xml:space="preserve"> </w:t>
      </w:r>
      <w:r>
        <w:rPr>
          <w:rFonts w:ascii="Times New Roman" w:hAnsi="Times New Roman" w:cs="Times New Roman"/>
          <w:b/>
          <w:bCs/>
          <w:sz w:val="24"/>
        </w:rPr>
        <w:t>I-J</w:t>
      </w:r>
      <w:r>
        <w:rPr>
          <w:rFonts w:ascii="Times New Roman" w:hAnsi="Times New Roman" w:cs="Times New Roman" w:hint="eastAsia"/>
          <w:sz w:val="24"/>
        </w:rPr>
        <w:t>.</w:t>
      </w:r>
      <w:r>
        <w:rPr>
          <w:rFonts w:ascii="Times New Roman" w:hAnsi="Times New Roman" w:cs="Times New Roman"/>
          <w:sz w:val="24"/>
        </w:rPr>
        <w:t xml:space="preserve"> CNV analysis for Basal epithelial cells. (I) Heatmap and (J) violin plot comparing the CNV profiles and global scores of benign versus malignant Basal epithelial cells.</w:t>
      </w:r>
      <w:r>
        <w:rPr>
          <w:rFonts w:ascii="Times New Roman" w:hAnsi="Times New Roman" w:cs="Times New Roman" w:hint="eastAsia"/>
          <w:sz w:val="24"/>
        </w:rPr>
        <w:t xml:space="preserve"> </w:t>
      </w:r>
      <w:r>
        <w:rPr>
          <w:rFonts w:ascii="Times New Roman" w:hAnsi="Times New Roman" w:cs="Times New Roman" w:hint="eastAsia"/>
          <w:b/>
          <w:bCs/>
          <w:sz w:val="24"/>
        </w:rPr>
        <w:t>K</w:t>
      </w:r>
      <w:r>
        <w:rPr>
          <w:rFonts w:ascii="Times New Roman" w:hAnsi="Times New Roman" w:cs="Times New Roman" w:hint="eastAsia"/>
          <w:sz w:val="24"/>
        </w:rPr>
        <w:t>.</w:t>
      </w:r>
      <w:r>
        <w:rPr>
          <w:rFonts w:ascii="Times New Roman" w:hAnsi="Times New Roman" w:cs="Times New Roman"/>
          <w:sz w:val="24"/>
        </w:rPr>
        <w:t xml:space="preserve"> Pathway activity in Hillock and Club cell states. GSVA heatmap showing the enrichment scores of Hallmark pathways in benign Hillock, malignant Hillock, benign Club, and malignant Club epithelial cells. The color scale represents pathway activity from low (blue) to high (red).</w:t>
      </w:r>
      <w:r>
        <w:rPr>
          <w:rFonts w:ascii="Times New Roman" w:hAnsi="Times New Roman" w:cs="Times New Roman" w:hint="eastAsia"/>
          <w:sz w:val="24"/>
        </w:rPr>
        <w:t xml:space="preserve"> </w:t>
      </w:r>
      <w:r>
        <w:rPr>
          <w:rFonts w:ascii="Times New Roman" w:hAnsi="Times New Roman" w:cs="Times New Roman"/>
          <w:b/>
          <w:bCs/>
          <w:sz w:val="24"/>
        </w:rPr>
        <w:t>L</w:t>
      </w:r>
      <w:r>
        <w:rPr>
          <w:rFonts w:ascii="Times New Roman" w:hAnsi="Times New Roman" w:cs="Times New Roman" w:hint="eastAsia"/>
          <w:sz w:val="24"/>
        </w:rPr>
        <w:t>.</w:t>
      </w:r>
      <w:r>
        <w:rPr>
          <w:rFonts w:ascii="Times New Roman" w:hAnsi="Times New Roman" w:cs="Times New Roman"/>
          <w:sz w:val="24"/>
        </w:rPr>
        <w:t xml:space="preserve"> Heatmap displaying the expression levels of the 23 key transcription factors (associated with CRPC plasticity) in benign versus malignant Club epithelial cells. Expression is scaled from low (blue) to high (red).</w:t>
      </w:r>
      <w:r>
        <w:rPr>
          <w:rFonts w:ascii="Times New Roman" w:hAnsi="Times New Roman" w:cs="Times New Roman" w:hint="eastAsia"/>
          <w:sz w:val="24"/>
        </w:rPr>
        <w:t xml:space="preserve"> </w:t>
      </w:r>
      <w:r>
        <w:rPr>
          <w:rFonts w:ascii="Times New Roman" w:hAnsi="Times New Roman" w:cs="Times New Roman"/>
          <w:b/>
          <w:bCs/>
          <w:sz w:val="24"/>
        </w:rPr>
        <w:t>M</w:t>
      </w:r>
      <w:r>
        <w:rPr>
          <w:rFonts w:ascii="Times New Roman" w:hAnsi="Times New Roman" w:cs="Times New Roman" w:hint="eastAsia"/>
          <w:sz w:val="24"/>
        </w:rPr>
        <w:t>.</w:t>
      </w:r>
      <w:r>
        <w:rPr>
          <w:rFonts w:ascii="Times New Roman" w:hAnsi="Times New Roman" w:cs="Times New Roman"/>
          <w:sz w:val="24"/>
        </w:rPr>
        <w:t xml:space="preserve"> Heatmap showing the expression of the 23 key transcription factors across all major benign and malignant epithelial cell types. Expression is scaled from low (blue) to high (red).</w:t>
      </w:r>
    </w:p>
    <w:p w14:paraId="44AD6390" w14:textId="77777777" w:rsidR="00C80C05" w:rsidRDefault="00C80C05">
      <w:pPr>
        <w:spacing w:line="360" w:lineRule="auto"/>
        <w:rPr>
          <w:rFonts w:ascii="Times New Roman" w:hAnsi="Times New Roman" w:cs="Times New Roman"/>
          <w:sz w:val="24"/>
        </w:rPr>
      </w:pPr>
    </w:p>
    <w:p w14:paraId="4AD1605B" w14:textId="77777777" w:rsidR="00C80C05" w:rsidRDefault="00000000">
      <w:pPr>
        <w:spacing w:line="360" w:lineRule="auto"/>
        <w:rPr>
          <w:rFonts w:ascii="Times New Roman" w:hAnsi="Times New Roman" w:cs="Times New Roman"/>
          <w:sz w:val="24"/>
        </w:rPr>
      </w:pPr>
      <w:r>
        <w:rPr>
          <w:rFonts w:ascii="Times New Roman" w:hAnsi="Times New Roman" w:cs="Times New Roman" w:hint="eastAsia"/>
          <w:noProof/>
          <w:sz w:val="24"/>
        </w:rPr>
        <w:lastRenderedPageBreak/>
        <w:drawing>
          <wp:inline distT="0" distB="0" distL="114300" distR="114300" wp14:anchorId="3A5DAF9E" wp14:editId="6B28BBE4">
            <wp:extent cx="5227264" cy="696912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rcRect l="1" r="1"/>
                    <a:stretch>
                      <a:fillRect/>
                    </a:stretch>
                  </pic:blipFill>
                  <pic:spPr>
                    <a:xfrm>
                      <a:off x="0" y="0"/>
                      <a:ext cx="5227264" cy="6969125"/>
                    </a:xfrm>
                    <a:prstGeom prst="rect">
                      <a:avLst/>
                    </a:prstGeom>
                  </pic:spPr>
                </pic:pic>
              </a:graphicData>
            </a:graphic>
          </wp:inline>
        </w:drawing>
      </w:r>
    </w:p>
    <w:p w14:paraId="5D6A631D" w14:textId="77777777" w:rsidR="00C80C05" w:rsidRDefault="00000000">
      <w:pPr>
        <w:spacing w:line="360" w:lineRule="auto"/>
        <w:rPr>
          <w:rFonts w:ascii="Times New Roman" w:hAnsi="Times New Roman" w:cs="Times New Roman"/>
          <w:b/>
          <w:bCs/>
          <w:sz w:val="24"/>
        </w:rPr>
      </w:pPr>
      <w:r>
        <w:rPr>
          <w:rFonts w:ascii="Times New Roman" w:hAnsi="Times New Roman" w:cs="Times New Roman"/>
          <w:b/>
          <w:bCs/>
          <w:sz w:val="24"/>
        </w:rPr>
        <w:t>Supplementary Figure 3. Clinical association, genomic landscape, and differentiation trajectories of malignant epithelial subtypes.</w:t>
      </w:r>
    </w:p>
    <w:p w14:paraId="55694A7E" w14:textId="77777777" w:rsidR="00C80C05" w:rsidRDefault="00000000">
      <w:pPr>
        <w:spacing w:line="360" w:lineRule="auto"/>
        <w:rPr>
          <w:rFonts w:ascii="Times New Roman" w:hAnsi="Times New Roman" w:cs="Times New Roman"/>
          <w:sz w:val="24"/>
        </w:rPr>
      </w:pPr>
      <w:r>
        <w:rPr>
          <w:rFonts w:ascii="Times New Roman" w:hAnsi="Times New Roman" w:cs="Times New Roman"/>
          <w:b/>
          <w:bCs/>
          <w:sz w:val="24"/>
        </w:rPr>
        <w:t>A</w:t>
      </w:r>
      <w:r>
        <w:rPr>
          <w:rFonts w:ascii="Times New Roman" w:hAnsi="Times New Roman" w:cs="Times New Roman" w:hint="eastAsia"/>
          <w:sz w:val="24"/>
        </w:rPr>
        <w:t>.</w:t>
      </w:r>
      <w:r>
        <w:rPr>
          <w:rFonts w:ascii="Times New Roman" w:hAnsi="Times New Roman" w:cs="Times New Roman"/>
          <w:sz w:val="24"/>
        </w:rPr>
        <w:t xml:space="preserve"> Clinical origin of cells in each subtype. Box plot showing the distribution of cells derived from different clinical states (Primary </w:t>
      </w:r>
      <w:proofErr w:type="spellStart"/>
      <w:r>
        <w:rPr>
          <w:rFonts w:ascii="Times New Roman" w:hAnsi="Times New Roman" w:cs="Times New Roman"/>
          <w:sz w:val="24"/>
        </w:rPr>
        <w:t>PCa</w:t>
      </w:r>
      <w:proofErr w:type="spellEnd"/>
      <w:r>
        <w:rPr>
          <w:rFonts w:ascii="Times New Roman" w:hAnsi="Times New Roman" w:cs="Times New Roman"/>
          <w:sz w:val="24"/>
        </w:rPr>
        <w:t>, On-ADT, CRPC, NEPC) within each of the four malignant epithelial subtypes (Subtype 1-4).</w:t>
      </w:r>
      <w:r>
        <w:rPr>
          <w:rFonts w:ascii="Times New Roman" w:hAnsi="Times New Roman" w:cs="Times New Roman" w:hint="eastAsia"/>
          <w:sz w:val="24"/>
        </w:rPr>
        <w:t xml:space="preserve"> </w:t>
      </w:r>
      <w:r>
        <w:rPr>
          <w:rFonts w:ascii="Times New Roman" w:hAnsi="Times New Roman" w:cs="Times New Roman"/>
          <w:b/>
          <w:bCs/>
          <w:sz w:val="24"/>
        </w:rPr>
        <w:t>B</w:t>
      </w:r>
      <w:r>
        <w:rPr>
          <w:rFonts w:ascii="Times New Roman" w:hAnsi="Times New Roman" w:cs="Times New Roman" w:hint="eastAsia"/>
          <w:sz w:val="24"/>
        </w:rPr>
        <w:t>.</w:t>
      </w:r>
      <w:r>
        <w:rPr>
          <w:rFonts w:ascii="Times New Roman" w:hAnsi="Times New Roman" w:cs="Times New Roman"/>
          <w:sz w:val="24"/>
        </w:rPr>
        <w:t xml:space="preserve"> Subtype composition across clinical groups. Stacked bar chart illustrating the relative proportion of cells </w:t>
      </w:r>
      <w:r>
        <w:rPr>
          <w:rFonts w:ascii="Times New Roman" w:hAnsi="Times New Roman" w:cs="Times New Roman"/>
          <w:sz w:val="24"/>
        </w:rPr>
        <w:lastRenderedPageBreak/>
        <w:t xml:space="preserve">from each clinical group (Primary </w:t>
      </w:r>
      <w:proofErr w:type="spellStart"/>
      <w:r>
        <w:rPr>
          <w:rFonts w:ascii="Times New Roman" w:hAnsi="Times New Roman" w:cs="Times New Roman"/>
          <w:sz w:val="24"/>
        </w:rPr>
        <w:t>PCa</w:t>
      </w:r>
      <w:proofErr w:type="spellEnd"/>
      <w:r>
        <w:rPr>
          <w:rFonts w:ascii="Times New Roman" w:hAnsi="Times New Roman" w:cs="Times New Roman"/>
          <w:sz w:val="24"/>
        </w:rPr>
        <w:t>, On-ADT, CRPC, NEPC) within the four malignant subtypes (Subtype 1-4).</w:t>
      </w:r>
      <w:r>
        <w:rPr>
          <w:rFonts w:ascii="Times New Roman" w:hAnsi="Times New Roman" w:cs="Times New Roman" w:hint="eastAsia"/>
          <w:sz w:val="24"/>
        </w:rPr>
        <w:t xml:space="preserve"> </w:t>
      </w:r>
      <w:r>
        <w:rPr>
          <w:rFonts w:ascii="Times New Roman" w:hAnsi="Times New Roman" w:cs="Times New Roman"/>
          <w:b/>
          <w:bCs/>
          <w:sz w:val="24"/>
        </w:rPr>
        <w:t>C</w:t>
      </w:r>
      <w:r>
        <w:rPr>
          <w:rFonts w:ascii="Times New Roman" w:hAnsi="Times New Roman" w:cs="Times New Roman" w:hint="eastAsia"/>
          <w:sz w:val="24"/>
        </w:rPr>
        <w:t>.</w:t>
      </w:r>
      <w:r>
        <w:rPr>
          <w:rFonts w:ascii="Times New Roman" w:hAnsi="Times New Roman" w:cs="Times New Roman"/>
          <w:sz w:val="24"/>
        </w:rPr>
        <w:t xml:space="preserve"> Epithelial cell type composition across subtypes. Stacked bar chart showing the contribution of major epithelial cell types (e.g., Luminal, Basal, Hillock) to each malignant subtype.</w:t>
      </w:r>
      <w:r>
        <w:rPr>
          <w:rFonts w:ascii="Times New Roman" w:hAnsi="Times New Roman" w:cs="Times New Roman" w:hint="eastAsia"/>
          <w:sz w:val="24"/>
        </w:rPr>
        <w:t xml:space="preserve"> </w:t>
      </w:r>
      <w:r>
        <w:rPr>
          <w:rFonts w:ascii="Times New Roman" w:hAnsi="Times New Roman" w:cs="Times New Roman"/>
          <w:b/>
          <w:bCs/>
          <w:sz w:val="24"/>
        </w:rPr>
        <w:t>D</w:t>
      </w:r>
      <w:r>
        <w:rPr>
          <w:rFonts w:ascii="Times New Roman" w:hAnsi="Times New Roman" w:cs="Times New Roman" w:hint="eastAsia"/>
          <w:sz w:val="24"/>
        </w:rPr>
        <w:t>.</w:t>
      </w:r>
      <w:r>
        <w:rPr>
          <w:rFonts w:ascii="Times New Roman" w:hAnsi="Times New Roman" w:cs="Times New Roman"/>
          <w:sz w:val="24"/>
        </w:rPr>
        <w:t xml:space="preserve"> Enrichment of subtypes in clinical groups. Ro/e index heatmap quantifying the over- (red) or under-representation (blue) of each malignant subtype within the four clinical groups.</w:t>
      </w:r>
      <w:r>
        <w:rPr>
          <w:rFonts w:ascii="Times New Roman" w:hAnsi="Times New Roman" w:cs="Times New Roman" w:hint="eastAsia"/>
          <w:sz w:val="24"/>
        </w:rPr>
        <w:t xml:space="preserve"> </w:t>
      </w:r>
      <w:r>
        <w:rPr>
          <w:rFonts w:ascii="Times New Roman" w:hAnsi="Times New Roman" w:cs="Times New Roman"/>
          <w:b/>
          <w:bCs/>
          <w:sz w:val="24"/>
        </w:rPr>
        <w:t>E</w:t>
      </w:r>
      <w:r>
        <w:rPr>
          <w:rFonts w:ascii="Times New Roman" w:hAnsi="Times New Roman" w:cs="Times New Roman" w:hint="eastAsia"/>
          <w:sz w:val="24"/>
        </w:rPr>
        <w:t>.</w:t>
      </w:r>
      <w:r>
        <w:rPr>
          <w:rFonts w:ascii="Times New Roman" w:hAnsi="Times New Roman" w:cs="Times New Roman"/>
          <w:sz w:val="24"/>
        </w:rPr>
        <w:t xml:space="preserve"> Subtype dominance defines patient groups. (Top) Bar plot showing the percentage of each malignant subtype within individual patient samples. (Bottom) Classification of patient samples into four dominant-subtype groups (Subtype1- to Subtype4-dominant) and a mixed group based on the subtype composition shown above.</w:t>
      </w:r>
      <w:r>
        <w:rPr>
          <w:rFonts w:ascii="Times New Roman" w:hAnsi="Times New Roman" w:cs="Times New Roman" w:hint="eastAsia"/>
          <w:sz w:val="24"/>
        </w:rPr>
        <w:t xml:space="preserve"> </w:t>
      </w:r>
      <w:r>
        <w:rPr>
          <w:rFonts w:ascii="Times New Roman" w:hAnsi="Times New Roman" w:cs="Times New Roman"/>
          <w:b/>
          <w:bCs/>
          <w:sz w:val="24"/>
        </w:rPr>
        <w:t>F-G</w:t>
      </w:r>
      <w:r>
        <w:rPr>
          <w:rFonts w:ascii="Times New Roman" w:hAnsi="Times New Roman" w:cs="Times New Roman" w:hint="eastAsia"/>
          <w:sz w:val="24"/>
        </w:rPr>
        <w:t>.</w:t>
      </w:r>
      <w:r>
        <w:rPr>
          <w:rFonts w:ascii="Times New Roman" w:hAnsi="Times New Roman" w:cs="Times New Roman"/>
          <w:sz w:val="24"/>
        </w:rPr>
        <w:t xml:space="preserve"> Differentiation potential of malignant subtypes. (F) UMAP visualization of all malignant epithelial cells, colored by their </w:t>
      </w:r>
      <w:proofErr w:type="spellStart"/>
      <w:r>
        <w:rPr>
          <w:rFonts w:ascii="Times New Roman" w:hAnsi="Times New Roman" w:cs="Times New Roman"/>
          <w:sz w:val="24"/>
        </w:rPr>
        <w:t>CytoTRACE</w:t>
      </w:r>
      <w:proofErr w:type="spellEnd"/>
      <w:r>
        <w:rPr>
          <w:rFonts w:ascii="Times New Roman" w:hAnsi="Times New Roman" w:cs="Times New Roman"/>
          <w:sz w:val="24"/>
        </w:rPr>
        <w:t xml:space="preserve">-predicted differentiation potency score. (G) Box plots comparing the </w:t>
      </w:r>
      <w:proofErr w:type="spellStart"/>
      <w:r>
        <w:rPr>
          <w:rFonts w:ascii="Times New Roman" w:hAnsi="Times New Roman" w:cs="Times New Roman"/>
          <w:sz w:val="24"/>
        </w:rPr>
        <w:t>CytoTRACE</w:t>
      </w:r>
      <w:proofErr w:type="spellEnd"/>
      <w:r>
        <w:rPr>
          <w:rFonts w:ascii="Times New Roman" w:hAnsi="Times New Roman" w:cs="Times New Roman"/>
          <w:sz w:val="24"/>
        </w:rPr>
        <w:t xml:space="preserve"> scores among the four malignant subtypes.</w:t>
      </w:r>
      <w:r>
        <w:rPr>
          <w:rFonts w:ascii="Times New Roman" w:hAnsi="Times New Roman" w:cs="Times New Roman" w:hint="eastAsia"/>
          <w:sz w:val="24"/>
        </w:rPr>
        <w:t xml:space="preserve"> </w:t>
      </w:r>
      <w:r>
        <w:rPr>
          <w:rFonts w:ascii="Times New Roman" w:hAnsi="Times New Roman" w:cs="Times New Roman"/>
          <w:sz w:val="24"/>
        </w:rPr>
        <w:t>Statistical significance was assessed using the Wilcoxon rank-sum test. In this and subsequent panels, significance levels are denoted as follows: ns, not significant; *P &lt; 0.05; **P &lt; 0.01; ***P &lt; 0.001; ****P &lt; 0.0001.</w:t>
      </w:r>
      <w:r>
        <w:rPr>
          <w:rFonts w:ascii="Times New Roman" w:hAnsi="Times New Roman" w:cs="Times New Roman" w:hint="eastAsia"/>
          <w:sz w:val="24"/>
        </w:rPr>
        <w:t xml:space="preserve"> </w:t>
      </w:r>
      <w:r>
        <w:rPr>
          <w:rFonts w:ascii="Times New Roman" w:hAnsi="Times New Roman" w:cs="Times New Roman"/>
          <w:b/>
          <w:bCs/>
          <w:sz w:val="24"/>
        </w:rPr>
        <w:t>H-I</w:t>
      </w:r>
      <w:r>
        <w:rPr>
          <w:rFonts w:ascii="Times New Roman" w:hAnsi="Times New Roman" w:cs="Times New Roman" w:hint="eastAsia"/>
          <w:sz w:val="24"/>
        </w:rPr>
        <w:t>.</w:t>
      </w:r>
      <w:r>
        <w:rPr>
          <w:rFonts w:ascii="Times New Roman" w:hAnsi="Times New Roman" w:cs="Times New Roman"/>
          <w:sz w:val="24"/>
        </w:rPr>
        <w:t xml:space="preserve"> Copy number variation (CNV) landscape across subtypes. (H) Heatmap depicting the inferred CNV profiles of cells from the four malignant subtypes, using healthy prostate epithelial cells as a reference. Copy number loss is shown in blue and gain in red. (I) Violin plots comparing the global CNV scores among the four subtypes</w:t>
      </w:r>
      <w:r>
        <w:rPr>
          <w:rFonts w:ascii="Times New Roman" w:hAnsi="Times New Roman" w:cs="Times New Roman" w:hint="eastAsia"/>
          <w:sz w:val="24"/>
        </w:rPr>
        <w:t xml:space="preserve"> and reference cells</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b/>
          <w:bCs/>
          <w:sz w:val="24"/>
        </w:rPr>
        <w:t>J</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Spatial mapping of subtypes onto epithelial cell landscape. UMAP projection of all epithelial cells (as shown in Figure 2A), with points colored to indicate the re-mapped identity of cells into five distinct categories: normal epithelial cells and the four malignant subtypes (Subtype 1</w:t>
      </w:r>
      <w:r>
        <w:rPr>
          <w:rFonts w:ascii="Times New Roman" w:hAnsi="Times New Roman" w:cs="Times New Roman" w:hint="eastAsia"/>
          <w:sz w:val="24"/>
        </w:rPr>
        <w:t>–</w:t>
      </w:r>
      <w:r>
        <w:rPr>
          <w:rFonts w:ascii="Times New Roman" w:hAnsi="Times New Roman" w:cs="Times New Roman" w:hint="eastAsia"/>
          <w:sz w:val="24"/>
        </w:rPr>
        <w:t xml:space="preserve">4). </w:t>
      </w:r>
      <w:r>
        <w:rPr>
          <w:rFonts w:ascii="Times New Roman" w:hAnsi="Times New Roman" w:cs="Times New Roman"/>
          <w:b/>
          <w:bCs/>
          <w:sz w:val="24"/>
        </w:rPr>
        <w:t>K-M</w:t>
      </w:r>
      <w:r>
        <w:rPr>
          <w:rFonts w:ascii="Times New Roman" w:hAnsi="Times New Roman" w:cs="Times New Roman" w:hint="eastAsia"/>
          <w:sz w:val="24"/>
        </w:rPr>
        <w:t>.</w:t>
      </w:r>
      <w:r>
        <w:rPr>
          <w:rFonts w:ascii="Times New Roman" w:hAnsi="Times New Roman" w:cs="Times New Roman"/>
          <w:sz w:val="24"/>
        </w:rPr>
        <w:t xml:space="preserve"> Differentiation trajectories including all subtypes. </w:t>
      </w:r>
      <w:proofErr w:type="spellStart"/>
      <w:r>
        <w:rPr>
          <w:rFonts w:ascii="Times New Roman" w:hAnsi="Times New Roman" w:cs="Times New Roman"/>
          <w:sz w:val="24"/>
        </w:rPr>
        <w:t>Pseudotime</w:t>
      </w:r>
      <w:proofErr w:type="spellEnd"/>
      <w:r>
        <w:rPr>
          <w:rFonts w:ascii="Times New Roman" w:hAnsi="Times New Roman" w:cs="Times New Roman"/>
          <w:sz w:val="24"/>
        </w:rPr>
        <w:t xml:space="preserve"> trajectories inferred using (K) Monocle3, (L) Slingshot, and (M) </w:t>
      </w:r>
      <w:proofErr w:type="spellStart"/>
      <w:r>
        <w:rPr>
          <w:rFonts w:ascii="Times New Roman" w:hAnsi="Times New Roman" w:cs="Times New Roman"/>
          <w:sz w:val="24"/>
        </w:rPr>
        <w:t>scTour</w:t>
      </w:r>
      <w:proofErr w:type="spellEnd"/>
      <w:r>
        <w:rPr>
          <w:rFonts w:ascii="Times New Roman" w:hAnsi="Times New Roman" w:cs="Times New Roman"/>
          <w:sz w:val="24"/>
        </w:rPr>
        <w:t xml:space="preserve"> analysis on all malignant epithelial cells. In (K) and (M), colors indicate </w:t>
      </w:r>
      <w:proofErr w:type="spellStart"/>
      <w:r>
        <w:rPr>
          <w:rFonts w:ascii="Times New Roman" w:hAnsi="Times New Roman" w:cs="Times New Roman"/>
          <w:sz w:val="24"/>
        </w:rPr>
        <w:t>pseudotime</w:t>
      </w:r>
      <w:proofErr w:type="spellEnd"/>
      <w:r>
        <w:rPr>
          <w:rFonts w:ascii="Times New Roman" w:hAnsi="Times New Roman" w:cs="Times New Roman"/>
          <w:sz w:val="24"/>
        </w:rPr>
        <w:t xml:space="preserve"> from early (purple) to late (yellow). The trajectory curve in (L) is shown in red. The gray shaded area in (K) and (L) highlights that Subtype 3 (NEPC) cells largely fall outside the main differentiation continuum.</w:t>
      </w:r>
      <w:r>
        <w:rPr>
          <w:rFonts w:ascii="Times New Roman" w:hAnsi="Times New Roman" w:cs="Times New Roman" w:hint="eastAsia"/>
          <w:sz w:val="24"/>
        </w:rPr>
        <w:t xml:space="preserve"> </w:t>
      </w:r>
      <w:r>
        <w:rPr>
          <w:rFonts w:ascii="Times New Roman" w:hAnsi="Times New Roman" w:cs="Times New Roman"/>
          <w:b/>
          <w:bCs/>
          <w:sz w:val="24"/>
        </w:rPr>
        <w:t>N-O</w:t>
      </w:r>
      <w:r>
        <w:rPr>
          <w:rFonts w:ascii="Times New Roman" w:hAnsi="Times New Roman" w:cs="Times New Roman" w:hint="eastAsia"/>
          <w:sz w:val="24"/>
        </w:rPr>
        <w:t>.</w:t>
      </w:r>
      <w:r>
        <w:rPr>
          <w:rFonts w:ascii="Times New Roman" w:hAnsi="Times New Roman" w:cs="Times New Roman"/>
          <w:sz w:val="24"/>
        </w:rPr>
        <w:t xml:space="preserve"> Differentiation trajectories for the luminal-basal continuum. </w:t>
      </w:r>
      <w:proofErr w:type="spellStart"/>
      <w:r>
        <w:rPr>
          <w:rFonts w:ascii="Times New Roman" w:hAnsi="Times New Roman" w:cs="Times New Roman"/>
          <w:sz w:val="24"/>
        </w:rPr>
        <w:lastRenderedPageBreak/>
        <w:t>Pseudotime</w:t>
      </w:r>
      <w:proofErr w:type="spellEnd"/>
      <w:r>
        <w:rPr>
          <w:rFonts w:ascii="Times New Roman" w:hAnsi="Times New Roman" w:cs="Times New Roman"/>
          <w:sz w:val="24"/>
        </w:rPr>
        <w:t xml:space="preserve"> analysis focused on Subtype 1, 2, and 4 cells using (N) Monocle3 and (O) </w:t>
      </w:r>
      <w:proofErr w:type="spellStart"/>
      <w:r>
        <w:rPr>
          <w:rFonts w:ascii="Times New Roman" w:hAnsi="Times New Roman" w:cs="Times New Roman"/>
          <w:sz w:val="24"/>
        </w:rPr>
        <w:t>scTour</w:t>
      </w:r>
      <w:proofErr w:type="spellEnd"/>
      <w:r>
        <w:rPr>
          <w:rFonts w:ascii="Times New Roman" w:hAnsi="Times New Roman" w:cs="Times New Roman"/>
          <w:sz w:val="24"/>
        </w:rPr>
        <w:t xml:space="preserve">. In (O), the left panel shows cells colored by subtype, the middle panel shows </w:t>
      </w:r>
      <w:proofErr w:type="spellStart"/>
      <w:r>
        <w:rPr>
          <w:rFonts w:ascii="Times New Roman" w:hAnsi="Times New Roman" w:cs="Times New Roman"/>
          <w:sz w:val="24"/>
        </w:rPr>
        <w:t>pseudotime</w:t>
      </w:r>
      <w:proofErr w:type="spellEnd"/>
      <w:r>
        <w:rPr>
          <w:rFonts w:ascii="Times New Roman" w:hAnsi="Times New Roman" w:cs="Times New Roman"/>
          <w:sz w:val="24"/>
        </w:rPr>
        <w:t xml:space="preserve"> (purple to yellow), and the right panel shows the inferred trajectory with arrows indicating direction.</w:t>
      </w:r>
      <w:r>
        <w:rPr>
          <w:rFonts w:ascii="Times New Roman" w:hAnsi="Times New Roman" w:cs="Times New Roman" w:hint="eastAsia"/>
          <w:sz w:val="24"/>
        </w:rPr>
        <w:t xml:space="preserve"> </w:t>
      </w:r>
      <w:r>
        <w:rPr>
          <w:rFonts w:ascii="Times New Roman" w:hAnsi="Times New Roman" w:cs="Times New Roman"/>
          <w:b/>
          <w:bCs/>
          <w:sz w:val="24"/>
        </w:rPr>
        <w:t>P</w:t>
      </w:r>
      <w:r>
        <w:rPr>
          <w:rFonts w:ascii="Times New Roman" w:hAnsi="Times New Roman" w:cs="Times New Roman" w:hint="eastAsia"/>
          <w:sz w:val="24"/>
        </w:rPr>
        <w:t>.</w:t>
      </w:r>
      <w:r>
        <w:rPr>
          <w:rFonts w:ascii="Times New Roman" w:hAnsi="Times New Roman" w:cs="Times New Roman"/>
          <w:sz w:val="24"/>
        </w:rPr>
        <w:t xml:space="preserve"> Proposed model of prostate cancer cellular differentiation. Schematic summarizing the inferred differentiation pathways of prostate cancer cells, integrating subtype identities and meta-program (MP) activities. The model posits a starting point in primary disease, with branching differentiation towards Subtype 4 (characterized by DNPC/EMT features) and Subtype 3 (NEPC). Black numbers annotate key transitional states and their associated meta-programs.</w:t>
      </w:r>
    </w:p>
    <w:p w14:paraId="435BA063" w14:textId="77777777" w:rsidR="00C80C05" w:rsidRDefault="00000000">
      <w:pPr>
        <w:spacing w:line="360" w:lineRule="auto"/>
        <w:rPr>
          <w:rFonts w:ascii="Times New Roman" w:hAnsi="Times New Roman" w:cs="Times New Roman"/>
          <w:sz w:val="24"/>
        </w:rPr>
      </w:pPr>
      <w:r>
        <w:rPr>
          <w:noProof/>
        </w:rPr>
        <w:lastRenderedPageBreak/>
        <w:drawing>
          <wp:inline distT="0" distB="0" distL="0" distR="0" wp14:anchorId="72010983" wp14:editId="2CD6CF31">
            <wp:extent cx="5274310" cy="6715125"/>
            <wp:effectExtent l="0" t="0" r="2540" b="9525"/>
            <wp:docPr id="9414004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00463"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t="2179" b="2179"/>
                    <a:stretch>
                      <a:fillRect/>
                    </a:stretch>
                  </pic:blipFill>
                  <pic:spPr>
                    <a:xfrm>
                      <a:off x="0" y="0"/>
                      <a:ext cx="5274310" cy="6715125"/>
                    </a:xfrm>
                    <a:prstGeom prst="rect">
                      <a:avLst/>
                    </a:prstGeom>
                    <a:noFill/>
                    <a:ln>
                      <a:noFill/>
                    </a:ln>
                  </pic:spPr>
                </pic:pic>
              </a:graphicData>
            </a:graphic>
          </wp:inline>
        </w:drawing>
      </w:r>
    </w:p>
    <w:p w14:paraId="2D24BCEC" w14:textId="77777777" w:rsidR="00C80C05"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Supplementary Figure </w:t>
      </w:r>
      <w:r>
        <w:rPr>
          <w:rFonts w:ascii="Times New Roman" w:hAnsi="Times New Roman" w:cs="Times New Roman" w:hint="eastAsia"/>
          <w:b/>
          <w:bCs/>
          <w:sz w:val="24"/>
        </w:rPr>
        <w:t>4</w:t>
      </w:r>
      <w:r>
        <w:rPr>
          <w:rFonts w:ascii="Times New Roman" w:hAnsi="Times New Roman" w:cs="Times New Roman"/>
          <w:b/>
          <w:bCs/>
          <w:sz w:val="24"/>
        </w:rPr>
        <w:t xml:space="preserve">. Molecular and prognostic characterization of </w:t>
      </w:r>
      <w:r>
        <w:rPr>
          <w:rFonts w:ascii="Times New Roman" w:hAnsi="Times New Roman" w:cs="Times New Roman" w:hint="eastAsia"/>
          <w:b/>
          <w:bCs/>
          <w:sz w:val="24"/>
        </w:rPr>
        <w:t>molecular</w:t>
      </w:r>
      <w:r>
        <w:rPr>
          <w:rFonts w:ascii="Times New Roman" w:hAnsi="Times New Roman" w:cs="Times New Roman"/>
          <w:b/>
          <w:bCs/>
          <w:sz w:val="24"/>
        </w:rPr>
        <w:t xml:space="preserve"> subtypes in prostate cancer.</w:t>
      </w:r>
    </w:p>
    <w:p w14:paraId="75708418" w14:textId="77777777" w:rsidR="00C80C05" w:rsidRDefault="00000000">
      <w:pPr>
        <w:spacing w:line="360" w:lineRule="auto"/>
        <w:rPr>
          <w:rFonts w:ascii="Times New Roman" w:hAnsi="Times New Roman" w:cs="Times New Roman"/>
          <w:sz w:val="24"/>
        </w:rPr>
      </w:pPr>
      <w:r>
        <w:rPr>
          <w:rFonts w:ascii="Times New Roman" w:hAnsi="Times New Roman" w:cs="Times New Roman" w:hint="eastAsia"/>
          <w:b/>
          <w:bCs/>
          <w:sz w:val="24"/>
        </w:rPr>
        <w:t>A</w:t>
      </w:r>
      <w:r>
        <w:rPr>
          <w:rFonts w:ascii="Times New Roman" w:hAnsi="Times New Roman" w:cs="Times New Roman"/>
          <w:sz w:val="24"/>
        </w:rPr>
        <w:t xml:space="preserve">. Heatmap displaying expression patterns of the top 20 marker genes for each molecular subtype. Color gradient from blue (low expression) to red (high expression) represents z-score normalized expression levels. </w:t>
      </w:r>
      <w:r>
        <w:rPr>
          <w:rFonts w:ascii="Times New Roman" w:hAnsi="Times New Roman" w:cs="Times New Roman" w:hint="eastAsia"/>
          <w:b/>
          <w:bCs/>
          <w:sz w:val="24"/>
        </w:rPr>
        <w:t>B</w:t>
      </w:r>
      <w:r>
        <w:rPr>
          <w:rFonts w:ascii="Times New Roman" w:hAnsi="Times New Roman" w:cs="Times New Roman"/>
          <w:sz w:val="24"/>
        </w:rPr>
        <w:t xml:space="preserve">. GSVA heatmap showing Hallmark pathway activities across the four molecular subtypes. Color gradient from blue (low pathway activity) to red (high pathway activity) represents enrichment scores. </w:t>
      </w:r>
      <w:r>
        <w:rPr>
          <w:rFonts w:ascii="Times New Roman" w:hAnsi="Times New Roman" w:cs="Times New Roman" w:hint="eastAsia"/>
          <w:b/>
          <w:bCs/>
          <w:sz w:val="24"/>
        </w:rPr>
        <w:t>C</w:t>
      </w:r>
      <w:r>
        <w:rPr>
          <w:rFonts w:ascii="Times New Roman" w:hAnsi="Times New Roman" w:cs="Times New Roman"/>
          <w:sz w:val="24"/>
        </w:rPr>
        <w:t xml:space="preserve">. </w:t>
      </w:r>
      <w:r>
        <w:rPr>
          <w:rFonts w:ascii="Times New Roman" w:hAnsi="Times New Roman" w:cs="Times New Roman"/>
          <w:sz w:val="24"/>
        </w:rPr>
        <w:lastRenderedPageBreak/>
        <w:t xml:space="preserve">GSVA heatmap displaying prostate cancer-related pathway activities across the four molecular subtypes. Visualization parameters consistent with panel L. </w:t>
      </w:r>
      <w:r>
        <w:rPr>
          <w:rFonts w:ascii="Times New Roman" w:hAnsi="Times New Roman" w:cs="Times New Roman" w:hint="eastAsia"/>
          <w:b/>
          <w:bCs/>
          <w:sz w:val="24"/>
        </w:rPr>
        <w:t>D</w:t>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UMAP projection showing the distribution of Scissors-positive (red), Scissors-negative (blue), and background (gray) cells across four bulk RNA-seq datasets (GSE70769, GSE107299, MSKCC, TCGA).</w:t>
      </w:r>
      <w:r>
        <w:rPr>
          <w:rFonts w:ascii="Times New Roman" w:hAnsi="Times New Roman" w:cs="Times New Roman" w:hint="eastAsia"/>
          <w:sz w:val="24"/>
        </w:rPr>
        <w:t xml:space="preserve"> </w:t>
      </w:r>
      <w:r>
        <w:rPr>
          <w:rFonts w:ascii="Times New Roman" w:hAnsi="Times New Roman" w:cs="Times New Roman" w:hint="eastAsia"/>
          <w:b/>
          <w:bCs/>
          <w:sz w:val="24"/>
        </w:rPr>
        <w:t>E</w:t>
      </w:r>
      <w:r>
        <w:rPr>
          <w:rFonts w:ascii="Times New Roman" w:hAnsi="Times New Roman" w:cs="Times New Roman"/>
          <w:sz w:val="24"/>
        </w:rPr>
        <w:t>. Venn diagram displaying the intersection of biochemical recurrence (BCR)-associated genes across five datasets, resulting in 73 consensus genes defined as the BCR signature.</w:t>
      </w:r>
      <w:r>
        <w:rPr>
          <w:rFonts w:ascii="Times New Roman" w:hAnsi="Times New Roman" w:cs="Times New Roman" w:hint="eastAsia"/>
          <w:sz w:val="24"/>
        </w:rPr>
        <w:t xml:space="preserve"> </w:t>
      </w:r>
      <w:r>
        <w:rPr>
          <w:rFonts w:ascii="Times New Roman" w:hAnsi="Times New Roman" w:cs="Times New Roman" w:hint="eastAsia"/>
          <w:b/>
          <w:bCs/>
          <w:sz w:val="24"/>
        </w:rPr>
        <w:t>F</w:t>
      </w:r>
      <w:r>
        <w:rPr>
          <w:rFonts w:ascii="Times New Roman" w:hAnsi="Times New Roman" w:cs="Times New Roman"/>
          <w:sz w:val="24"/>
        </w:rPr>
        <w:t>. Violin plots comparing BCR signature scores across the four molecular subtypes. The width of each violin represents the density distribution of signature scores.</w:t>
      </w:r>
      <w:r>
        <w:rPr>
          <w:rFonts w:ascii="Times New Roman" w:hAnsi="Times New Roman" w:cs="Times New Roman" w:hint="eastAsia"/>
          <w:sz w:val="24"/>
        </w:rPr>
        <w:t xml:space="preserve"> </w:t>
      </w:r>
      <w:r>
        <w:rPr>
          <w:rFonts w:ascii="Times New Roman" w:hAnsi="Times New Roman" w:cs="Times New Roman"/>
          <w:sz w:val="24"/>
        </w:rPr>
        <w:t>Statistical significance was assessed using the Wilcoxon rank-sum test. In this and subsequent panels, significance levels are denoted as follows: ns, not significant; *P &lt; 0.05; **P &lt; 0.01; ***P &lt; 0.001; ****P &lt; 0.0001.</w:t>
      </w:r>
      <w:r>
        <w:rPr>
          <w:rFonts w:ascii="Times New Roman" w:hAnsi="Times New Roman" w:cs="Times New Roman" w:hint="eastAsia"/>
          <w:sz w:val="24"/>
        </w:rPr>
        <w:t xml:space="preserve"> </w:t>
      </w:r>
      <w:r>
        <w:rPr>
          <w:rFonts w:ascii="Times New Roman" w:hAnsi="Times New Roman" w:cs="Times New Roman" w:hint="eastAsia"/>
          <w:b/>
          <w:bCs/>
          <w:sz w:val="24"/>
        </w:rPr>
        <w:t>G</w:t>
      </w:r>
      <w:r>
        <w:rPr>
          <w:rFonts w:ascii="Times New Roman" w:hAnsi="Times New Roman" w:cs="Times New Roman"/>
          <w:sz w:val="24"/>
        </w:rPr>
        <w:t>. Heatmap showing expression patterns of the 73 BCR signature genes across the four molecular subtypes. Color gradient from blue (low expression) to red (high expression) represents z-score normalized expression levels.</w:t>
      </w:r>
      <w:r>
        <w:rPr>
          <w:rFonts w:ascii="Times New Roman" w:hAnsi="Times New Roman" w:cs="Times New Roman" w:hint="eastAsia"/>
          <w:sz w:val="24"/>
        </w:rPr>
        <w:t xml:space="preserve"> </w:t>
      </w:r>
      <w:r>
        <w:rPr>
          <w:rFonts w:ascii="Times New Roman" w:hAnsi="Times New Roman" w:cs="Times New Roman" w:hint="eastAsia"/>
          <w:b/>
          <w:bCs/>
          <w:sz w:val="24"/>
        </w:rPr>
        <w:t>H</w:t>
      </w:r>
      <w:r>
        <w:rPr>
          <w:rFonts w:ascii="Times New Roman" w:hAnsi="Times New Roman" w:cs="Times New Roman"/>
          <w:sz w:val="24"/>
        </w:rPr>
        <w:t>. Kaplan-Meier curve comparing biochemical recurrence-free survival among patients classified into the four molecular subtypes in the TCGA-PRAD dataset. Log-rank test demonstrates significantly worse prognosis for sub3 patients.</w:t>
      </w:r>
      <w:r>
        <w:rPr>
          <w:rFonts w:ascii="Times New Roman" w:hAnsi="Times New Roman" w:cs="Times New Roman" w:hint="eastAsia"/>
          <w:sz w:val="24"/>
        </w:rPr>
        <w:t xml:space="preserve"> </w:t>
      </w:r>
      <w:r>
        <w:rPr>
          <w:rFonts w:ascii="Times New Roman" w:hAnsi="Times New Roman" w:cs="Times New Roman" w:hint="eastAsia"/>
          <w:b/>
          <w:bCs/>
          <w:sz w:val="24"/>
        </w:rPr>
        <w:t>I</w:t>
      </w:r>
      <w:r>
        <w:rPr>
          <w:rFonts w:ascii="Times New Roman" w:hAnsi="Times New Roman" w:cs="Times New Roman"/>
          <w:sz w:val="24"/>
        </w:rPr>
        <w:t>. Kaplan-Meier curve comparing biochemical recurrence-free survival between patients with high versus low sub3 signature abundance in the TCGA-PRAD dataset. Patients with high sub3 ratio show significantly poorer outcomes.</w:t>
      </w:r>
    </w:p>
    <w:p w14:paraId="78888F2A" w14:textId="77777777" w:rsidR="00C80C05" w:rsidRDefault="00000000">
      <w:pPr>
        <w:spacing w:line="360" w:lineRule="auto"/>
        <w:rPr>
          <w:rFonts w:ascii="Times New Roman" w:hAnsi="Times New Roman" w:cs="Times New Roman"/>
          <w:sz w:val="24"/>
        </w:rPr>
      </w:pPr>
      <w:r>
        <w:rPr>
          <w:rFonts w:ascii="Times New Roman" w:hAnsi="Times New Roman" w:cs="Times New Roman" w:hint="eastAsia"/>
          <w:noProof/>
          <w:sz w:val="24"/>
        </w:rPr>
        <w:lastRenderedPageBreak/>
        <w:drawing>
          <wp:inline distT="0" distB="0" distL="114300" distR="114300" wp14:anchorId="47D75428" wp14:editId="2AC455B4">
            <wp:extent cx="5233670" cy="6978650"/>
            <wp:effectExtent l="0" t="0" r="5080" b="3175"/>
            <wp:docPr id="5" name="图片 5" descr="D:/2025前列腺癌单细胞项目/稿件/Revision/Figures/Figures 1-10/S Figure 5.JPGS 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2025前列腺癌单细胞项目/稿件/Revision/Figures/Figures 1-10/S Figure 5.JPGS Figure 5"/>
                    <pic:cNvPicPr>
                      <a:picLocks noChangeAspect="1"/>
                    </pic:cNvPicPr>
                  </pic:nvPicPr>
                  <pic:blipFill>
                    <a:blip r:embed="rId11"/>
                    <a:srcRect l="5" r="5"/>
                    <a:stretch>
                      <a:fillRect/>
                    </a:stretch>
                  </pic:blipFill>
                  <pic:spPr>
                    <a:xfrm>
                      <a:off x="0" y="0"/>
                      <a:ext cx="5234108" cy="6978650"/>
                    </a:xfrm>
                    <a:prstGeom prst="rect">
                      <a:avLst/>
                    </a:prstGeom>
                  </pic:spPr>
                </pic:pic>
              </a:graphicData>
            </a:graphic>
          </wp:inline>
        </w:drawing>
      </w:r>
    </w:p>
    <w:p w14:paraId="29E9479A" w14:textId="77777777" w:rsidR="00C80C05"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Supplementary Figure </w:t>
      </w:r>
      <w:r>
        <w:rPr>
          <w:rFonts w:ascii="Times New Roman" w:hAnsi="Times New Roman" w:cs="Times New Roman" w:hint="eastAsia"/>
          <w:b/>
          <w:bCs/>
          <w:sz w:val="24"/>
        </w:rPr>
        <w:t>5</w:t>
      </w:r>
      <w:r>
        <w:rPr>
          <w:rFonts w:ascii="Times New Roman" w:hAnsi="Times New Roman" w:cs="Times New Roman"/>
          <w:b/>
          <w:bCs/>
          <w:sz w:val="24"/>
        </w:rPr>
        <w:t>. Lineage trajectory analysis and molecular dynamics of subtype transitions.</w:t>
      </w:r>
    </w:p>
    <w:p w14:paraId="756CB6D5" w14:textId="77777777" w:rsidR="00C80C05" w:rsidRDefault="00000000">
      <w:pPr>
        <w:spacing w:line="360" w:lineRule="auto"/>
        <w:rPr>
          <w:rFonts w:ascii="Times New Roman" w:hAnsi="Times New Roman" w:cs="Times New Roman"/>
          <w:sz w:val="24"/>
        </w:rPr>
      </w:pPr>
      <w:r>
        <w:rPr>
          <w:rFonts w:ascii="Times New Roman" w:hAnsi="Times New Roman" w:cs="Times New Roman"/>
          <w:b/>
          <w:bCs/>
          <w:sz w:val="24"/>
        </w:rPr>
        <w:t>A</w:t>
      </w:r>
      <w:r>
        <w:rPr>
          <w:rFonts w:ascii="Times New Roman" w:hAnsi="Times New Roman" w:cs="Times New Roman" w:hint="eastAsia"/>
          <w:sz w:val="24"/>
        </w:rPr>
        <w:t>.</w:t>
      </w:r>
      <w:r>
        <w:rPr>
          <w:rFonts w:ascii="Times New Roman" w:hAnsi="Times New Roman" w:cs="Times New Roman"/>
          <w:sz w:val="24"/>
        </w:rPr>
        <w:t xml:space="preserve"> Re-clustering of Subtype 1, 2, and 3 cells. UMAP visualization of cells from Subtype 1, 2, and 3 following independent dimensionality reduction and clustering, resulting in 27 transcriptional clusters.</w:t>
      </w:r>
      <w:r>
        <w:rPr>
          <w:rFonts w:ascii="Times New Roman" w:hAnsi="Times New Roman" w:cs="Times New Roman" w:hint="eastAsia"/>
          <w:sz w:val="24"/>
        </w:rPr>
        <w:t xml:space="preserve"> </w:t>
      </w:r>
      <w:r>
        <w:rPr>
          <w:rFonts w:ascii="Times New Roman" w:hAnsi="Times New Roman" w:cs="Times New Roman"/>
          <w:b/>
          <w:bCs/>
          <w:sz w:val="24"/>
        </w:rPr>
        <w:t>B</w:t>
      </w:r>
      <w:r>
        <w:rPr>
          <w:rFonts w:ascii="Times New Roman" w:hAnsi="Times New Roman" w:cs="Times New Roman" w:hint="eastAsia"/>
          <w:sz w:val="24"/>
        </w:rPr>
        <w:t>.</w:t>
      </w:r>
      <w:r>
        <w:rPr>
          <w:rFonts w:ascii="Times New Roman" w:hAnsi="Times New Roman" w:cs="Times New Roman"/>
          <w:sz w:val="24"/>
        </w:rPr>
        <w:t xml:space="preserve"> Re-annotation of Subtype identities. UMAP from panel A, with cells colored by their re-assigned subtype identity (Subtype 1, 2, </w:t>
      </w:r>
      <w:r>
        <w:rPr>
          <w:rFonts w:ascii="Times New Roman" w:hAnsi="Times New Roman" w:cs="Times New Roman"/>
          <w:sz w:val="24"/>
        </w:rPr>
        <w:lastRenderedPageBreak/>
        <w:t>or 3), confirming the coherence of these populations within the refined clustering.</w:t>
      </w:r>
      <w:r>
        <w:rPr>
          <w:rFonts w:ascii="Times New Roman" w:hAnsi="Times New Roman" w:cs="Times New Roman" w:hint="eastAsia"/>
          <w:sz w:val="24"/>
        </w:rPr>
        <w:t xml:space="preserve"> </w:t>
      </w:r>
      <w:r>
        <w:rPr>
          <w:rFonts w:ascii="Times New Roman" w:hAnsi="Times New Roman" w:cs="Times New Roman"/>
          <w:b/>
          <w:bCs/>
          <w:sz w:val="24"/>
        </w:rPr>
        <w:t>C</w:t>
      </w:r>
      <w:r>
        <w:rPr>
          <w:rFonts w:ascii="Times New Roman" w:hAnsi="Times New Roman" w:cs="Times New Roman" w:hint="eastAsia"/>
          <w:sz w:val="24"/>
        </w:rPr>
        <w:t>.</w:t>
      </w:r>
      <w:r>
        <w:rPr>
          <w:rFonts w:ascii="Times New Roman" w:hAnsi="Times New Roman" w:cs="Times New Roman"/>
          <w:sz w:val="24"/>
        </w:rPr>
        <w:t xml:space="preserve"> </w:t>
      </w:r>
      <w:proofErr w:type="spellStart"/>
      <w:r>
        <w:rPr>
          <w:rFonts w:ascii="Times New Roman" w:hAnsi="Times New Roman" w:cs="Times New Roman"/>
          <w:sz w:val="24"/>
        </w:rPr>
        <w:t>Pseudotime</w:t>
      </w:r>
      <w:proofErr w:type="spellEnd"/>
      <w:r>
        <w:rPr>
          <w:rFonts w:ascii="Times New Roman" w:hAnsi="Times New Roman" w:cs="Times New Roman"/>
          <w:sz w:val="24"/>
        </w:rPr>
        <w:t xml:space="preserve"> trajectory from Subtype 1 to Subtype 3. Monocle3-inferred </w:t>
      </w:r>
      <w:proofErr w:type="spellStart"/>
      <w:r>
        <w:rPr>
          <w:rFonts w:ascii="Times New Roman" w:hAnsi="Times New Roman" w:cs="Times New Roman"/>
          <w:sz w:val="24"/>
        </w:rPr>
        <w:t>pseudotime</w:t>
      </w:r>
      <w:proofErr w:type="spellEnd"/>
      <w:r>
        <w:rPr>
          <w:rFonts w:ascii="Times New Roman" w:hAnsi="Times New Roman" w:cs="Times New Roman"/>
          <w:sz w:val="24"/>
        </w:rPr>
        <w:t xml:space="preserve"> trajectory overlaid on the UMAP, showing a continuous transition from Subtype 1 (early, purple) to Subtype 3 (late, yellow).</w:t>
      </w:r>
      <w:r>
        <w:rPr>
          <w:rFonts w:ascii="Times New Roman" w:hAnsi="Times New Roman" w:cs="Times New Roman" w:hint="eastAsia"/>
          <w:sz w:val="24"/>
        </w:rPr>
        <w:t xml:space="preserve"> </w:t>
      </w:r>
      <w:r>
        <w:rPr>
          <w:rFonts w:ascii="Times New Roman" w:hAnsi="Times New Roman" w:cs="Times New Roman"/>
          <w:b/>
          <w:bCs/>
          <w:sz w:val="24"/>
        </w:rPr>
        <w:t>D</w:t>
      </w:r>
      <w:r>
        <w:rPr>
          <w:rFonts w:ascii="Times New Roman" w:hAnsi="Times New Roman" w:cs="Times New Roman" w:hint="eastAsia"/>
          <w:sz w:val="24"/>
        </w:rPr>
        <w:t>.</w:t>
      </w:r>
      <w:r>
        <w:rPr>
          <w:rFonts w:ascii="Times New Roman" w:hAnsi="Times New Roman" w:cs="Times New Roman"/>
          <w:sz w:val="24"/>
        </w:rPr>
        <w:t xml:space="preserve"> Bifurcating differentiation paths. Slingshot analysis identifies two distinct differentiation lineages overlaid on the UMAP: Lineage 1 (red curve, upper) from Subtype 1 to Subtype 2, and Lineage 2 (blue curve, lower) from Subtype 1 to Subtype 3.</w:t>
      </w:r>
      <w:r>
        <w:rPr>
          <w:rFonts w:ascii="Times New Roman" w:hAnsi="Times New Roman" w:cs="Times New Roman" w:hint="eastAsia"/>
          <w:sz w:val="24"/>
        </w:rPr>
        <w:t xml:space="preserve"> </w:t>
      </w:r>
      <w:r>
        <w:rPr>
          <w:rFonts w:ascii="Times New Roman" w:hAnsi="Times New Roman" w:cs="Times New Roman" w:hint="eastAsia"/>
          <w:b/>
          <w:bCs/>
          <w:sz w:val="24"/>
        </w:rPr>
        <w:t>E</w:t>
      </w:r>
      <w:r>
        <w:rPr>
          <w:rFonts w:ascii="Times New Roman" w:hAnsi="Times New Roman" w:cs="Times New Roman" w:hint="eastAsia"/>
          <w:sz w:val="24"/>
        </w:rPr>
        <w:t xml:space="preserve">. </w:t>
      </w:r>
      <w:r>
        <w:rPr>
          <w:rFonts w:ascii="Times New Roman" w:hAnsi="Times New Roman" w:cs="Times New Roman"/>
          <w:sz w:val="24"/>
        </w:rPr>
        <w:t>Heatmap displaying the expression dynamics of all genes that vary significantly along the differentiation trajectory. The central pre-branch region represents the starting point, with genes showing increased expression toward the sub3 differentiation branch (red block) or sub2/sub4 differentiation branch (blue block).</w:t>
      </w:r>
      <w:r>
        <w:rPr>
          <w:rFonts w:ascii="Times New Roman" w:hAnsi="Times New Roman" w:cs="Times New Roman" w:hint="eastAsia"/>
          <w:sz w:val="24"/>
        </w:rPr>
        <w:t xml:space="preserve"> </w:t>
      </w:r>
      <w:r>
        <w:rPr>
          <w:rFonts w:ascii="Times New Roman" w:hAnsi="Times New Roman" w:cs="Times New Roman" w:hint="eastAsia"/>
          <w:b/>
          <w:bCs/>
          <w:sz w:val="24"/>
        </w:rPr>
        <w:t>F</w:t>
      </w:r>
      <w:r>
        <w:rPr>
          <w:rFonts w:ascii="Times New Roman" w:hAnsi="Times New Roman" w:cs="Times New Roman"/>
          <w:sz w:val="24"/>
        </w:rPr>
        <w:t>. Dot plot showing expression patterns of all 67 trajectory-associated genes across the four molecular subtypes. Dot size represents the percentage of cells expressing each gene within each subtype, while color intensity indicates average expression level from light yellow (low) to dark red (high).</w:t>
      </w:r>
      <w:r>
        <w:rPr>
          <w:rFonts w:ascii="Times New Roman" w:hAnsi="Times New Roman" w:cs="Times New Roman" w:hint="eastAsia"/>
          <w:sz w:val="24"/>
        </w:rPr>
        <w:t xml:space="preserve"> </w:t>
      </w:r>
      <w:r>
        <w:rPr>
          <w:rFonts w:ascii="Times New Roman" w:hAnsi="Times New Roman" w:cs="Times New Roman"/>
          <w:b/>
          <w:bCs/>
          <w:sz w:val="24"/>
        </w:rPr>
        <w:t>G</w:t>
      </w:r>
      <w:r>
        <w:rPr>
          <w:rFonts w:ascii="Times New Roman" w:hAnsi="Times New Roman" w:cs="Times New Roman" w:hint="eastAsia"/>
          <w:sz w:val="24"/>
        </w:rPr>
        <w:t>.</w:t>
      </w:r>
      <w:r>
        <w:rPr>
          <w:rFonts w:ascii="Times New Roman" w:hAnsi="Times New Roman" w:cs="Times New Roman"/>
          <w:sz w:val="24"/>
        </w:rPr>
        <w:t xml:space="preserve"> Meta-program dynamics along </w:t>
      </w:r>
      <w:proofErr w:type="spellStart"/>
      <w:r>
        <w:rPr>
          <w:rFonts w:ascii="Times New Roman" w:hAnsi="Times New Roman" w:cs="Times New Roman"/>
          <w:sz w:val="24"/>
        </w:rPr>
        <w:t>pseudotime</w:t>
      </w:r>
      <w:proofErr w:type="spellEnd"/>
      <w:r>
        <w:rPr>
          <w:rFonts w:ascii="Times New Roman" w:hAnsi="Times New Roman" w:cs="Times New Roman"/>
          <w:sz w:val="24"/>
        </w:rPr>
        <w:t xml:space="preserve">. Line plots showing the changes in activity scores for MP1 (Luminal Epithelial, top) and MP6 (Basal/EMT Transition, bottom) along the Monocle2-inferred </w:t>
      </w:r>
      <w:proofErr w:type="spellStart"/>
      <w:r>
        <w:rPr>
          <w:rFonts w:ascii="Times New Roman" w:hAnsi="Times New Roman" w:cs="Times New Roman"/>
          <w:sz w:val="24"/>
        </w:rPr>
        <w:t>pseudotime</w:t>
      </w:r>
      <w:proofErr w:type="spellEnd"/>
      <w:r>
        <w:rPr>
          <w:rFonts w:ascii="Times New Roman" w:hAnsi="Times New Roman" w:cs="Times New Roman"/>
          <w:sz w:val="24"/>
        </w:rPr>
        <w:t>. MP1 activity is highest at the trajectory start (Subtype 1-rich), while MP6 activity increases specifically along the branch leading towards Subtype 4-like states.</w:t>
      </w:r>
      <w:r>
        <w:rPr>
          <w:rFonts w:ascii="Times New Roman" w:hAnsi="Times New Roman" w:cs="Times New Roman" w:hint="eastAsia"/>
          <w:sz w:val="24"/>
        </w:rPr>
        <w:t xml:space="preserve"> </w:t>
      </w:r>
      <w:r>
        <w:rPr>
          <w:rFonts w:ascii="Times New Roman" w:hAnsi="Times New Roman" w:cs="Times New Roman" w:hint="eastAsia"/>
          <w:b/>
          <w:bCs/>
          <w:sz w:val="24"/>
        </w:rPr>
        <w:t>H</w:t>
      </w:r>
      <w:r>
        <w:rPr>
          <w:rFonts w:ascii="Times New Roman" w:hAnsi="Times New Roman" w:cs="Times New Roman"/>
          <w:sz w:val="24"/>
        </w:rPr>
        <w:t>. Heatmap displaying the expression dynamics of genes that vary significantly during sub1-sub2-sub4 differentiation. The central pre-branch region represents the starting point, with genes showing increased expression toward the sub2 differentiation branch (red block) or sub4 differentiation branch (blue block).</w:t>
      </w:r>
      <w:r>
        <w:rPr>
          <w:rFonts w:ascii="Times New Roman" w:hAnsi="Times New Roman" w:cs="Times New Roman" w:hint="eastAsia"/>
          <w:sz w:val="24"/>
        </w:rPr>
        <w:t xml:space="preserve"> </w:t>
      </w:r>
      <w:r>
        <w:rPr>
          <w:rFonts w:ascii="Times New Roman" w:hAnsi="Times New Roman" w:cs="Times New Roman" w:hint="eastAsia"/>
          <w:b/>
          <w:bCs/>
          <w:sz w:val="24"/>
        </w:rPr>
        <w:t>I</w:t>
      </w:r>
      <w:r>
        <w:rPr>
          <w:rFonts w:ascii="Times New Roman" w:hAnsi="Times New Roman" w:cs="Times New Roman"/>
          <w:sz w:val="24"/>
        </w:rPr>
        <w:t xml:space="preserve">. Spatial mapping of DNPC signature activity across 9 spatial transcriptomics samples using </w:t>
      </w:r>
      <w:proofErr w:type="spellStart"/>
      <w:r>
        <w:rPr>
          <w:rFonts w:ascii="Times New Roman" w:hAnsi="Times New Roman" w:cs="Times New Roman"/>
          <w:sz w:val="24"/>
        </w:rPr>
        <w:t>AddModuleScore</w:t>
      </w:r>
      <w:proofErr w:type="spellEnd"/>
      <w:r>
        <w:rPr>
          <w:rFonts w:ascii="Times New Roman" w:hAnsi="Times New Roman" w:cs="Times New Roman"/>
          <w:sz w:val="24"/>
        </w:rPr>
        <w:t>. Color gradient from blue (low signature activity) to red (high signature activity) represents the computed signature scores for each spatial spot.</w:t>
      </w:r>
    </w:p>
    <w:p w14:paraId="66AF0C0D" w14:textId="77777777" w:rsidR="00C80C05" w:rsidRDefault="00C80C05">
      <w:pPr>
        <w:spacing w:line="360" w:lineRule="auto"/>
        <w:rPr>
          <w:rFonts w:ascii="Times New Roman" w:hAnsi="Times New Roman" w:cs="Times New Roman"/>
          <w:sz w:val="24"/>
        </w:rPr>
      </w:pPr>
    </w:p>
    <w:p w14:paraId="646E4688" w14:textId="77777777" w:rsidR="00C80C05" w:rsidRDefault="00C80C05">
      <w:pPr>
        <w:spacing w:line="360" w:lineRule="auto"/>
        <w:rPr>
          <w:rFonts w:ascii="Times New Roman" w:hAnsi="Times New Roman" w:cs="Times New Roman"/>
          <w:sz w:val="24"/>
        </w:rPr>
      </w:pPr>
    </w:p>
    <w:p w14:paraId="7594BA40" w14:textId="77777777" w:rsidR="00C80C05" w:rsidRDefault="00C80C05">
      <w:pPr>
        <w:spacing w:line="360" w:lineRule="auto"/>
        <w:rPr>
          <w:rFonts w:ascii="Times New Roman" w:hAnsi="Times New Roman" w:cs="Times New Roman"/>
          <w:sz w:val="24"/>
        </w:rPr>
      </w:pPr>
    </w:p>
    <w:p w14:paraId="65BA2A33" w14:textId="77777777" w:rsidR="00C80C05" w:rsidRDefault="00C80C05">
      <w:pPr>
        <w:spacing w:line="360" w:lineRule="auto"/>
        <w:rPr>
          <w:rFonts w:ascii="Times New Roman" w:hAnsi="Times New Roman" w:cs="Times New Roman"/>
          <w:sz w:val="24"/>
        </w:rPr>
      </w:pPr>
    </w:p>
    <w:p w14:paraId="31F1D798" w14:textId="77777777" w:rsidR="00C80C05" w:rsidRDefault="00000000">
      <w:pPr>
        <w:spacing w:line="360" w:lineRule="auto"/>
        <w:rPr>
          <w:rFonts w:ascii="Times New Roman" w:hAnsi="Times New Roman" w:cs="Times New Roman"/>
          <w:sz w:val="24"/>
        </w:rPr>
      </w:pPr>
      <w:r>
        <w:rPr>
          <w:noProof/>
        </w:rPr>
        <w:lastRenderedPageBreak/>
        <w:drawing>
          <wp:inline distT="0" distB="0" distL="0" distR="0" wp14:anchorId="4918A5B1" wp14:editId="51996632">
            <wp:extent cx="5274310" cy="6389370"/>
            <wp:effectExtent l="0" t="0" r="2540" b="0"/>
            <wp:docPr id="18086601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60107"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l="9" r="9"/>
                    <a:stretch>
                      <a:fillRect/>
                    </a:stretch>
                  </pic:blipFill>
                  <pic:spPr>
                    <a:xfrm>
                      <a:off x="0" y="0"/>
                      <a:ext cx="5274310" cy="6389370"/>
                    </a:xfrm>
                    <a:prstGeom prst="rect">
                      <a:avLst/>
                    </a:prstGeom>
                    <a:noFill/>
                    <a:ln>
                      <a:noFill/>
                    </a:ln>
                  </pic:spPr>
                </pic:pic>
              </a:graphicData>
            </a:graphic>
          </wp:inline>
        </w:drawing>
      </w:r>
    </w:p>
    <w:p w14:paraId="25E8BFBB" w14:textId="77777777" w:rsidR="00C80C05" w:rsidRDefault="00000000">
      <w:pPr>
        <w:spacing w:line="360" w:lineRule="auto"/>
        <w:rPr>
          <w:rFonts w:ascii="Times New Roman" w:hAnsi="Times New Roman" w:cs="Times New Roman"/>
          <w:b/>
          <w:bCs/>
          <w:sz w:val="24"/>
        </w:rPr>
      </w:pPr>
      <w:r>
        <w:rPr>
          <w:rFonts w:ascii="Times New Roman" w:hAnsi="Times New Roman" w:cs="Times New Roman" w:hint="eastAsia"/>
          <w:b/>
          <w:bCs/>
          <w:sz w:val="24"/>
        </w:rPr>
        <w:t xml:space="preserve">Supplementary </w:t>
      </w:r>
      <w:r>
        <w:rPr>
          <w:rFonts w:ascii="Times New Roman" w:hAnsi="Times New Roman" w:cs="Times New Roman"/>
          <w:b/>
          <w:bCs/>
          <w:sz w:val="24"/>
        </w:rPr>
        <w:t>Fig</w:t>
      </w:r>
      <w:r>
        <w:rPr>
          <w:rFonts w:ascii="Times New Roman" w:hAnsi="Times New Roman" w:cs="Times New Roman" w:hint="eastAsia"/>
          <w:b/>
          <w:bCs/>
          <w:sz w:val="24"/>
        </w:rPr>
        <w:t>ure</w:t>
      </w:r>
      <w:r>
        <w:rPr>
          <w:rFonts w:ascii="Times New Roman" w:hAnsi="Times New Roman" w:cs="Times New Roman"/>
          <w:b/>
          <w:bCs/>
          <w:sz w:val="24"/>
        </w:rPr>
        <w:t xml:space="preserve"> 6. Validation of FOSL1 expression patterns and functional analysis in prostate cancer cell lines.</w:t>
      </w:r>
    </w:p>
    <w:p w14:paraId="6D1036C8" w14:textId="77777777" w:rsidR="00C80C05" w:rsidRDefault="00000000">
      <w:pPr>
        <w:spacing w:line="360" w:lineRule="auto"/>
        <w:rPr>
          <w:rFonts w:ascii="Times New Roman" w:hAnsi="Times New Roman" w:cs="Times New Roman"/>
          <w:sz w:val="24"/>
        </w:rPr>
      </w:pPr>
      <w:r>
        <w:rPr>
          <w:rFonts w:ascii="Times New Roman" w:hAnsi="Times New Roman" w:cs="Times New Roman"/>
          <w:b/>
          <w:bCs/>
          <w:sz w:val="24"/>
        </w:rPr>
        <w:t>A-B</w:t>
      </w:r>
      <w:r>
        <w:rPr>
          <w:rFonts w:ascii="Times New Roman" w:hAnsi="Times New Roman" w:cs="Times New Roman" w:hint="eastAsia"/>
          <w:sz w:val="24"/>
        </w:rPr>
        <w:t>.</w:t>
      </w:r>
      <w:r>
        <w:rPr>
          <w:rFonts w:ascii="Times New Roman" w:hAnsi="Times New Roman" w:cs="Times New Roman"/>
          <w:sz w:val="24"/>
        </w:rPr>
        <w:t xml:space="preserve"> FOSL1 expression and activity across clinical states. Violin plots (A) and box plots (B) showing the distribution of FOSL1 mRNA expression (left) and SCENIC regulon activity (right) in epithelial cells across clinical cohorts (Healthy, Primary </w:t>
      </w:r>
      <w:proofErr w:type="spellStart"/>
      <w:r>
        <w:rPr>
          <w:rFonts w:ascii="Times New Roman" w:hAnsi="Times New Roman" w:cs="Times New Roman"/>
          <w:sz w:val="24"/>
        </w:rPr>
        <w:t>PCa</w:t>
      </w:r>
      <w:proofErr w:type="spellEnd"/>
      <w:r>
        <w:rPr>
          <w:rFonts w:ascii="Times New Roman" w:hAnsi="Times New Roman" w:cs="Times New Roman"/>
          <w:sz w:val="24"/>
        </w:rPr>
        <w:t>, On-ADT, CRPC, NEPC).</w:t>
      </w:r>
      <w:r>
        <w:rPr>
          <w:rFonts w:ascii="Times New Roman" w:hAnsi="Times New Roman" w:cs="Times New Roman" w:hint="eastAsia"/>
          <w:sz w:val="24"/>
        </w:rPr>
        <w:t xml:space="preserve"> </w:t>
      </w:r>
      <w:r>
        <w:rPr>
          <w:rFonts w:ascii="Times New Roman" w:hAnsi="Times New Roman" w:cs="Times New Roman"/>
          <w:sz w:val="24"/>
        </w:rPr>
        <w:t xml:space="preserve">Statistical significance was assessed using the Wilcoxon rank-sum test. In this and subsequent panels, significance levels are denoted as follows: ns, not significant; *P &lt; 0.05; **P &lt; 0.01; ***P &lt; 0.001; ****P &lt; 0.0001. </w:t>
      </w:r>
      <w:r>
        <w:rPr>
          <w:rFonts w:ascii="Times New Roman" w:hAnsi="Times New Roman" w:cs="Times New Roman"/>
          <w:b/>
          <w:bCs/>
          <w:sz w:val="24"/>
        </w:rPr>
        <w:lastRenderedPageBreak/>
        <w:t>C-D</w:t>
      </w:r>
      <w:r>
        <w:rPr>
          <w:rFonts w:ascii="Times New Roman" w:hAnsi="Times New Roman" w:cs="Times New Roman" w:hint="eastAsia"/>
          <w:sz w:val="24"/>
        </w:rPr>
        <w:t>.</w:t>
      </w:r>
      <w:r>
        <w:rPr>
          <w:rFonts w:ascii="Times New Roman" w:hAnsi="Times New Roman" w:cs="Times New Roman"/>
          <w:sz w:val="24"/>
        </w:rPr>
        <w:t xml:space="preserve"> FOSL1 expression and activity across epithelial subtypes. Violin plots (C) and box plots (D) showing FOSL1 mRNA expression (left) and regulon activity (right) in different epithelial cell types (Basal, Hillock, Club, Luminal, LPC, NEPC). </w:t>
      </w:r>
      <w:r>
        <w:rPr>
          <w:rFonts w:ascii="Times New Roman" w:hAnsi="Times New Roman" w:cs="Times New Roman"/>
          <w:b/>
          <w:bCs/>
          <w:sz w:val="24"/>
        </w:rPr>
        <w:t>E-F</w:t>
      </w:r>
      <w:r>
        <w:rPr>
          <w:rFonts w:ascii="Times New Roman" w:hAnsi="Times New Roman" w:cs="Times New Roman" w:hint="eastAsia"/>
          <w:sz w:val="24"/>
        </w:rPr>
        <w:t>.</w:t>
      </w:r>
      <w:r>
        <w:rPr>
          <w:rFonts w:ascii="Times New Roman" w:hAnsi="Times New Roman" w:cs="Times New Roman"/>
          <w:sz w:val="24"/>
        </w:rPr>
        <w:t xml:space="preserve"> FOSL1 expression and activity across molecular subtypes. Violin plots (E) and box plots (F) showing FOSL1 mRNA expression (left) and regulon activity (right) in the four malignant epithelial subtypes (Subtype 1-4). </w:t>
      </w:r>
      <w:r>
        <w:rPr>
          <w:rFonts w:ascii="Times New Roman" w:hAnsi="Times New Roman" w:cs="Times New Roman"/>
          <w:b/>
          <w:bCs/>
          <w:sz w:val="24"/>
        </w:rPr>
        <w:t>G</w:t>
      </w:r>
      <w:r>
        <w:rPr>
          <w:rFonts w:ascii="Times New Roman" w:hAnsi="Times New Roman" w:cs="Times New Roman" w:hint="eastAsia"/>
          <w:sz w:val="24"/>
        </w:rPr>
        <w:t>.</w:t>
      </w:r>
      <w:r>
        <w:rPr>
          <w:rFonts w:ascii="Times New Roman" w:hAnsi="Times New Roman" w:cs="Times New Roman"/>
          <w:sz w:val="24"/>
        </w:rPr>
        <w:t xml:space="preserve"> FOSL1 protein expression in prostate cancer cell lines. Western blot analysis of FOSL1 protein levels in PC-3, LNCaP, and 22Rv1 cells. B</w:t>
      </w:r>
      <w:r>
        <w:rPr>
          <w:rFonts w:ascii="Times New Roman" w:hAnsi="Times New Roman" w:cs="Times New Roman" w:hint="eastAsia"/>
          <w:sz w:val="24"/>
        </w:rPr>
        <w:t>eta-Actin</w:t>
      </w:r>
      <w:r>
        <w:rPr>
          <w:rFonts w:ascii="Times New Roman" w:hAnsi="Times New Roman" w:cs="Times New Roman"/>
          <w:sz w:val="24"/>
        </w:rPr>
        <w:t xml:space="preserve"> served as a loading control.</w:t>
      </w:r>
      <w:r>
        <w:rPr>
          <w:rFonts w:ascii="Times New Roman" w:hAnsi="Times New Roman" w:cs="Times New Roman" w:hint="eastAsia"/>
          <w:sz w:val="24"/>
        </w:rPr>
        <w:t xml:space="preserve"> </w:t>
      </w:r>
      <w:r>
        <w:rPr>
          <w:rFonts w:ascii="Times New Roman" w:hAnsi="Times New Roman" w:cs="Times New Roman"/>
          <w:b/>
          <w:bCs/>
          <w:sz w:val="24"/>
        </w:rPr>
        <w:t>H-I</w:t>
      </w:r>
      <w:r>
        <w:rPr>
          <w:rFonts w:ascii="Times New Roman" w:hAnsi="Times New Roman" w:cs="Times New Roman" w:hint="eastAsia"/>
          <w:sz w:val="24"/>
        </w:rPr>
        <w:t>.</w:t>
      </w:r>
      <w:r>
        <w:rPr>
          <w:rFonts w:ascii="Times New Roman" w:hAnsi="Times New Roman" w:cs="Times New Roman"/>
          <w:sz w:val="24"/>
        </w:rPr>
        <w:t xml:space="preserve"> Validation of FOSL1 knockdown efficiency. Western blot confirming FOSL1 protein knockdown after transfection with three independent siRNAs targeting FOSL1 (siFOSL1-1/2/3) compared to control siRNA (</w:t>
      </w:r>
      <w:proofErr w:type="spellStart"/>
      <w:r>
        <w:rPr>
          <w:rFonts w:ascii="Times New Roman" w:hAnsi="Times New Roman" w:cs="Times New Roman"/>
          <w:sz w:val="24"/>
        </w:rPr>
        <w:t>siCtrl</w:t>
      </w:r>
      <w:proofErr w:type="spellEnd"/>
      <w:r>
        <w:rPr>
          <w:rFonts w:ascii="Times New Roman" w:hAnsi="Times New Roman" w:cs="Times New Roman"/>
          <w:sz w:val="24"/>
        </w:rPr>
        <w:t>) in (H) PC-3 and (I) LNCaP cells.</w:t>
      </w:r>
      <w:r>
        <w:rPr>
          <w:rFonts w:ascii="Times New Roman" w:hAnsi="Times New Roman" w:cs="Times New Roman" w:hint="eastAsia"/>
          <w:sz w:val="24"/>
        </w:rPr>
        <w:t xml:space="preserve"> </w:t>
      </w:r>
      <w:r>
        <w:rPr>
          <w:rFonts w:ascii="Times New Roman" w:hAnsi="Times New Roman" w:cs="Times New Roman"/>
          <w:b/>
          <w:bCs/>
          <w:sz w:val="24"/>
        </w:rPr>
        <w:t>J-K</w:t>
      </w:r>
      <w:r>
        <w:rPr>
          <w:rFonts w:ascii="Times New Roman" w:hAnsi="Times New Roman" w:cs="Times New Roman" w:hint="eastAsia"/>
          <w:sz w:val="24"/>
        </w:rPr>
        <w:t>.</w:t>
      </w:r>
      <w:r>
        <w:rPr>
          <w:rFonts w:ascii="Times New Roman" w:hAnsi="Times New Roman" w:cs="Times New Roman"/>
          <w:sz w:val="24"/>
        </w:rPr>
        <w:t xml:space="preserve"> Effect of FOSL1 knockdown on LNCaP cell proliferation. (J) Growth curves (CCK-8 assay) and (K) representative images and quantification of colony formation assays for LNCaP cells transfected with control or FOSL1-targeting siRNAs. Data are mean ± SD; ns = not significant (J: two-way ANOVA).</w:t>
      </w:r>
      <w:r>
        <w:rPr>
          <w:rFonts w:ascii="Times New Roman" w:hAnsi="Times New Roman" w:cs="Times New Roman" w:hint="eastAsia"/>
          <w:sz w:val="24"/>
        </w:rPr>
        <w:t xml:space="preserve"> </w:t>
      </w:r>
      <w:r>
        <w:rPr>
          <w:rFonts w:ascii="Times New Roman" w:hAnsi="Times New Roman" w:cs="Times New Roman"/>
          <w:b/>
          <w:bCs/>
          <w:sz w:val="24"/>
        </w:rPr>
        <w:t>L</w:t>
      </w:r>
      <w:r>
        <w:rPr>
          <w:rFonts w:ascii="Times New Roman" w:hAnsi="Times New Roman" w:cs="Times New Roman" w:hint="eastAsia"/>
          <w:sz w:val="24"/>
        </w:rPr>
        <w:t>.</w:t>
      </w:r>
      <w:r>
        <w:rPr>
          <w:rFonts w:ascii="Times New Roman" w:hAnsi="Times New Roman" w:cs="Times New Roman"/>
          <w:sz w:val="24"/>
        </w:rPr>
        <w:t xml:space="preserve"> Effect of FOSL1 knockdown on LNCaP cell apoptosis. Quantification of total apoptotic cells (Annexin V⁺) by flow cytometry in LNCaP cells transfected as indicated. Data are mean ± SD; ns = not significant (one-way ANOVA).</w:t>
      </w:r>
      <w:r>
        <w:rPr>
          <w:rFonts w:ascii="Times New Roman" w:hAnsi="Times New Roman" w:cs="Times New Roman" w:hint="eastAsia"/>
          <w:sz w:val="24"/>
        </w:rPr>
        <w:t xml:space="preserve"> </w:t>
      </w:r>
      <w:r>
        <w:rPr>
          <w:rFonts w:ascii="Times New Roman" w:hAnsi="Times New Roman" w:cs="Times New Roman"/>
          <w:b/>
          <w:bCs/>
          <w:sz w:val="24"/>
        </w:rPr>
        <w:t>M</w:t>
      </w:r>
      <w:r>
        <w:rPr>
          <w:rFonts w:ascii="Times New Roman" w:hAnsi="Times New Roman" w:cs="Times New Roman" w:hint="eastAsia"/>
          <w:sz w:val="24"/>
        </w:rPr>
        <w:t>.</w:t>
      </w:r>
      <w:r>
        <w:rPr>
          <w:rFonts w:ascii="Times New Roman" w:hAnsi="Times New Roman" w:cs="Times New Roman"/>
          <w:sz w:val="24"/>
        </w:rPr>
        <w:t xml:space="preserve"> Effect of FOSL1 knockdown on PC-3 cell cycle. Cell cycle distribution analysis by flow cytometry in PC-3 cells after FOSL1 knockdown with one siRNA. Data are presented as mean ± SD; ***P &lt; 0.001, **P &lt; 0.01 (two-tailed Student's t-test comparing siFOSL1 vs. </w:t>
      </w:r>
      <w:proofErr w:type="spellStart"/>
      <w:r>
        <w:rPr>
          <w:rFonts w:ascii="Times New Roman" w:hAnsi="Times New Roman" w:cs="Times New Roman"/>
          <w:sz w:val="24"/>
        </w:rPr>
        <w:t>siCtrl</w:t>
      </w:r>
      <w:proofErr w:type="spellEnd"/>
      <w:r>
        <w:rPr>
          <w:rFonts w:ascii="Times New Roman" w:hAnsi="Times New Roman" w:cs="Times New Roman"/>
          <w:sz w:val="24"/>
        </w:rPr>
        <w:t xml:space="preserve"> for each phase).</w:t>
      </w:r>
      <w:r>
        <w:rPr>
          <w:rFonts w:ascii="Times New Roman" w:hAnsi="Times New Roman" w:cs="Times New Roman" w:hint="eastAsia"/>
          <w:sz w:val="24"/>
        </w:rPr>
        <w:t xml:space="preserve"> </w:t>
      </w:r>
      <w:r>
        <w:rPr>
          <w:rFonts w:ascii="Times New Roman" w:hAnsi="Times New Roman" w:cs="Times New Roman"/>
          <w:b/>
          <w:bCs/>
          <w:sz w:val="24"/>
        </w:rPr>
        <w:t>N</w:t>
      </w:r>
      <w:r>
        <w:rPr>
          <w:rFonts w:ascii="Times New Roman" w:hAnsi="Times New Roman" w:cs="Times New Roman" w:hint="eastAsia"/>
          <w:sz w:val="24"/>
        </w:rPr>
        <w:t>.</w:t>
      </w:r>
      <w:r>
        <w:rPr>
          <w:rFonts w:ascii="Times New Roman" w:hAnsi="Times New Roman" w:cs="Times New Roman"/>
          <w:sz w:val="24"/>
        </w:rPr>
        <w:t xml:space="preserve"> Effect of FOSL1 knockdown on PC-3 cell migration and invasion. (Left) Representative images and (Right) quantification of </w:t>
      </w:r>
      <w:proofErr w:type="spellStart"/>
      <w:r>
        <w:rPr>
          <w:rFonts w:ascii="Times New Roman" w:hAnsi="Times New Roman" w:cs="Times New Roman"/>
          <w:sz w:val="24"/>
        </w:rPr>
        <w:t>Transwell</w:t>
      </w:r>
      <w:proofErr w:type="spellEnd"/>
      <w:r>
        <w:rPr>
          <w:rFonts w:ascii="Times New Roman" w:hAnsi="Times New Roman" w:cs="Times New Roman"/>
          <w:sz w:val="24"/>
        </w:rPr>
        <w:t xml:space="preserve"> migration (top) and Matrigel invasion (bottom) assays in PC-3 cells after FOSL1 knockdown. Data are mean ± SD; ***P &lt; 0.001 (two-tailed Student's t-test).</w:t>
      </w:r>
      <w:r>
        <w:rPr>
          <w:rFonts w:ascii="Times New Roman" w:hAnsi="Times New Roman" w:cs="Times New Roman" w:hint="eastAsia"/>
          <w:sz w:val="24"/>
        </w:rPr>
        <w:t xml:space="preserve"> </w:t>
      </w:r>
      <w:r>
        <w:rPr>
          <w:rFonts w:ascii="Times New Roman" w:hAnsi="Times New Roman" w:cs="Times New Roman"/>
          <w:b/>
          <w:bCs/>
          <w:sz w:val="24"/>
        </w:rPr>
        <w:t>O</w:t>
      </w:r>
      <w:r>
        <w:rPr>
          <w:rFonts w:ascii="Times New Roman" w:hAnsi="Times New Roman" w:cs="Times New Roman" w:hint="eastAsia"/>
          <w:sz w:val="24"/>
        </w:rPr>
        <w:t>.</w:t>
      </w:r>
      <w:r>
        <w:rPr>
          <w:rFonts w:ascii="Times New Roman" w:hAnsi="Times New Roman" w:cs="Times New Roman"/>
          <w:sz w:val="24"/>
        </w:rPr>
        <w:t xml:space="preserve"> Effect of FOSL1 knockdown on PC-3 cell migration (wound healing). (Left) Representative images of scratch wounds at 0h and 48h (red lines indicate wound edges). (Right) Quantification of relative wound closure. Data are mean ± SD; ***P &lt; 0.001 (two-tailed Student's t-test).</w:t>
      </w:r>
      <w:r>
        <w:rPr>
          <w:rFonts w:ascii="Times New Roman" w:hAnsi="Times New Roman" w:cs="Times New Roman" w:hint="eastAsia"/>
          <w:sz w:val="24"/>
        </w:rPr>
        <w:t xml:space="preserve"> </w:t>
      </w:r>
      <w:r>
        <w:rPr>
          <w:rFonts w:ascii="Times New Roman" w:hAnsi="Times New Roman" w:cs="Times New Roman"/>
          <w:b/>
          <w:bCs/>
          <w:sz w:val="24"/>
        </w:rPr>
        <w:t>P</w:t>
      </w:r>
      <w:r>
        <w:rPr>
          <w:rFonts w:ascii="Times New Roman" w:hAnsi="Times New Roman" w:cs="Times New Roman" w:hint="eastAsia"/>
          <w:sz w:val="24"/>
        </w:rPr>
        <w:t>.</w:t>
      </w:r>
      <w:r>
        <w:rPr>
          <w:rFonts w:ascii="Times New Roman" w:hAnsi="Times New Roman" w:cs="Times New Roman"/>
          <w:sz w:val="24"/>
        </w:rPr>
        <w:t xml:space="preserve"> Spatial correlation of FOSL1 and HMGA1 expression. (Left panels) Cell2location maps showing the spatial expression patterns of FOSL1 and HMGA1 </w:t>
      </w:r>
      <w:r>
        <w:rPr>
          <w:rFonts w:ascii="Times New Roman" w:hAnsi="Times New Roman" w:cs="Times New Roman"/>
          <w:sz w:val="24"/>
        </w:rPr>
        <w:lastRenderedPageBreak/>
        <w:t xml:space="preserve">and their co-localization in </w:t>
      </w:r>
      <w:proofErr w:type="gramStart"/>
      <w:r>
        <w:rPr>
          <w:rFonts w:ascii="Times New Roman" w:hAnsi="Times New Roman" w:cs="Times New Roman"/>
          <w:sz w:val="24"/>
        </w:rPr>
        <w:t>Patient</w:t>
      </w:r>
      <w:proofErr w:type="gramEnd"/>
      <w:r>
        <w:rPr>
          <w:rFonts w:ascii="Times New Roman" w:hAnsi="Times New Roman" w:cs="Times New Roman"/>
          <w:sz w:val="24"/>
        </w:rPr>
        <w:t xml:space="preserve"> 05, 06, and 07 sections. (Middle) Correlation plots for each patient with linear regression line (R and P values indicated). (Right) Correlation analysis of FOSL1 and HMGA1 expression stratified by clinical context. Scatter plots with linear regression lines show the correlation in spots from Primary samples (Patient 01-02), post-NHT samples (Patient 03-06), and NE-differentiated samples (Patient 07-08).</w:t>
      </w:r>
      <w:r>
        <w:rPr>
          <w:rFonts w:ascii="Times New Roman" w:hAnsi="Times New Roman" w:cs="Times New Roman" w:hint="eastAsia"/>
          <w:sz w:val="24"/>
        </w:rPr>
        <w:t xml:space="preserve"> </w:t>
      </w:r>
      <w:r>
        <w:rPr>
          <w:rFonts w:ascii="Times New Roman" w:hAnsi="Times New Roman" w:cs="Times New Roman"/>
          <w:b/>
          <w:bCs/>
          <w:sz w:val="24"/>
        </w:rPr>
        <w:t>Q</w:t>
      </w:r>
      <w:r>
        <w:rPr>
          <w:rFonts w:ascii="Times New Roman" w:hAnsi="Times New Roman" w:cs="Times New Roman" w:hint="eastAsia"/>
          <w:sz w:val="24"/>
        </w:rPr>
        <w:t>.</w:t>
      </w:r>
      <w:r>
        <w:rPr>
          <w:rFonts w:ascii="Times New Roman" w:hAnsi="Times New Roman" w:cs="Times New Roman"/>
          <w:sz w:val="24"/>
        </w:rPr>
        <w:t xml:space="preserve"> Rescue of migratory and invasive phenotypes by HMGA1. Representative images and quantification of </w:t>
      </w:r>
      <w:proofErr w:type="spellStart"/>
      <w:r>
        <w:rPr>
          <w:rFonts w:ascii="Times New Roman" w:hAnsi="Times New Roman" w:cs="Times New Roman"/>
          <w:sz w:val="24"/>
        </w:rPr>
        <w:t>Transwell</w:t>
      </w:r>
      <w:proofErr w:type="spellEnd"/>
      <w:r>
        <w:rPr>
          <w:rFonts w:ascii="Times New Roman" w:hAnsi="Times New Roman" w:cs="Times New Roman"/>
          <w:sz w:val="24"/>
        </w:rPr>
        <w:t xml:space="preserve"> migration (left) and Matrigel invasion (right) assays in PC-3 cells under four conditions: Control, FOSL1 knockdown (siFOSL1), HMGA1 overexpression (oeHMGA1), and FOSL1 knockdown combined with HMGA1 rescue (siFOSL1+oeHMGA1). </w:t>
      </w:r>
    </w:p>
    <w:p w14:paraId="22128C4C" w14:textId="77777777" w:rsidR="00C80C05" w:rsidRDefault="00C80C05">
      <w:pPr>
        <w:spacing w:line="360" w:lineRule="auto"/>
        <w:rPr>
          <w:rFonts w:ascii="Times New Roman" w:hAnsi="Times New Roman" w:cs="Times New Roman"/>
          <w:sz w:val="24"/>
        </w:rPr>
      </w:pPr>
    </w:p>
    <w:p w14:paraId="3C9CF9FB" w14:textId="77777777" w:rsidR="00C80C05" w:rsidRDefault="00C80C05">
      <w:pPr>
        <w:spacing w:line="360" w:lineRule="auto"/>
        <w:rPr>
          <w:rFonts w:ascii="Times New Roman" w:hAnsi="Times New Roman" w:cs="Times New Roman"/>
          <w:sz w:val="24"/>
        </w:rPr>
      </w:pPr>
    </w:p>
    <w:p w14:paraId="6D2ED8C3" w14:textId="77777777" w:rsidR="00C80C05" w:rsidRDefault="00000000">
      <w:pPr>
        <w:spacing w:line="360" w:lineRule="auto"/>
        <w:rPr>
          <w:rFonts w:ascii="Times New Roman" w:hAnsi="Times New Roman" w:cs="Times New Roman"/>
          <w:sz w:val="24"/>
        </w:rPr>
      </w:pPr>
      <w:r>
        <w:rPr>
          <w:rFonts w:ascii="Times New Roman" w:hAnsi="Times New Roman" w:cs="Times New Roman" w:hint="eastAsia"/>
          <w:noProof/>
          <w:sz w:val="24"/>
        </w:rPr>
        <w:lastRenderedPageBreak/>
        <w:drawing>
          <wp:inline distT="0" distB="0" distL="114300" distR="114300" wp14:anchorId="04F25F6A" wp14:editId="6143116A">
            <wp:extent cx="5266055" cy="6816725"/>
            <wp:effectExtent l="0" t="0" r="1270" b="3175"/>
            <wp:docPr id="6" name="图片 6" descr="D:/2025前列腺癌单细胞项目/稿件/Revision/Figures/Figures 1-10/S Figure 7.JPGS 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2025前列腺癌单细胞项目/稿件/Revision/Figures/Figures 1-10/S Figure 7.JPGS Figure 7"/>
                    <pic:cNvPicPr>
                      <a:picLocks noChangeAspect="1"/>
                    </pic:cNvPicPr>
                  </pic:nvPicPr>
                  <pic:blipFill>
                    <a:blip r:embed="rId13"/>
                    <a:srcRect t="1459" b="1459"/>
                    <a:stretch>
                      <a:fillRect/>
                    </a:stretch>
                  </pic:blipFill>
                  <pic:spPr>
                    <a:xfrm>
                      <a:off x="0" y="0"/>
                      <a:ext cx="5266055" cy="6816730"/>
                    </a:xfrm>
                    <a:prstGeom prst="rect">
                      <a:avLst/>
                    </a:prstGeom>
                  </pic:spPr>
                </pic:pic>
              </a:graphicData>
            </a:graphic>
          </wp:inline>
        </w:drawing>
      </w:r>
    </w:p>
    <w:p w14:paraId="393EB517" w14:textId="77777777" w:rsidR="00C80C05"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Supplementary Figure </w:t>
      </w:r>
      <w:r>
        <w:rPr>
          <w:rFonts w:ascii="Times New Roman" w:hAnsi="Times New Roman" w:cs="Times New Roman" w:hint="eastAsia"/>
          <w:b/>
          <w:bCs/>
          <w:sz w:val="24"/>
        </w:rPr>
        <w:t>7</w:t>
      </w:r>
      <w:r>
        <w:rPr>
          <w:rFonts w:ascii="Times New Roman" w:hAnsi="Times New Roman" w:cs="Times New Roman"/>
          <w:b/>
          <w:bCs/>
          <w:sz w:val="24"/>
        </w:rPr>
        <w:t>. Functional characterization of myeloid subsets and their clinical associations</w:t>
      </w:r>
    </w:p>
    <w:p w14:paraId="35B5FDC3" w14:textId="77777777" w:rsidR="00C80C05" w:rsidRDefault="00000000">
      <w:pPr>
        <w:numPr>
          <w:ilvl w:val="0"/>
          <w:numId w:val="3"/>
        </w:numPr>
        <w:spacing w:line="360" w:lineRule="auto"/>
        <w:rPr>
          <w:rFonts w:ascii="Times New Roman" w:hAnsi="Times New Roman" w:cs="Times New Roman"/>
          <w:sz w:val="24"/>
        </w:rPr>
      </w:pPr>
      <w:r>
        <w:rPr>
          <w:rFonts w:ascii="Times New Roman" w:hAnsi="Times New Roman" w:cs="Times New Roman"/>
          <w:sz w:val="24"/>
        </w:rPr>
        <w:t xml:space="preserve">Box plots showing proportional differences of cDC2 (left) and </w:t>
      </w:r>
      <w:proofErr w:type="spellStart"/>
      <w:r>
        <w:rPr>
          <w:rFonts w:ascii="Times New Roman" w:hAnsi="Times New Roman" w:cs="Times New Roman"/>
          <w:sz w:val="24"/>
        </w:rPr>
        <w:t>pDC</w:t>
      </w:r>
      <w:proofErr w:type="spellEnd"/>
      <w:r>
        <w:rPr>
          <w:rFonts w:ascii="Times New Roman" w:hAnsi="Times New Roman" w:cs="Times New Roman"/>
          <w:sz w:val="24"/>
        </w:rPr>
        <w:t xml:space="preserve"> (right) subsets across clinical groups. Statistical significance was determined using Kruskal-Wallis test with Dunn's post-hoc correction (*p &lt; 0.05, **p &lt; 0.01, ***p &lt; 0.001). Boxes represent interquartile range with center lines indicating median values.</w:t>
      </w:r>
      <w:r>
        <w:rPr>
          <w:rFonts w:ascii="Times New Roman" w:hAnsi="Times New Roman" w:cs="Times New Roman" w:hint="eastAsia"/>
          <w:sz w:val="24"/>
        </w:rPr>
        <w:t xml:space="preserve"> </w:t>
      </w:r>
      <w:r>
        <w:rPr>
          <w:rFonts w:ascii="Times New Roman" w:hAnsi="Times New Roman" w:cs="Times New Roman"/>
          <w:b/>
          <w:bCs/>
          <w:sz w:val="24"/>
        </w:rPr>
        <w:t>B</w:t>
      </w:r>
      <w:r>
        <w:rPr>
          <w:rFonts w:ascii="Times New Roman" w:hAnsi="Times New Roman" w:cs="Times New Roman"/>
          <w:sz w:val="24"/>
        </w:rPr>
        <w:t xml:space="preserve">. Stacked </w:t>
      </w:r>
      <w:r>
        <w:rPr>
          <w:rFonts w:ascii="Times New Roman" w:hAnsi="Times New Roman" w:cs="Times New Roman"/>
          <w:sz w:val="24"/>
        </w:rPr>
        <w:lastRenderedPageBreak/>
        <w:t>bar plots displaying cellular composition within myeloid compartment: (Left) Proportion of cells from different molecular subtypes within myeloid cells of each clinical sample; (Right) Proportion of cells from different clinical groups within myeloid cells of each molecular subtype-dominant sample.</w:t>
      </w:r>
      <w:r>
        <w:rPr>
          <w:rFonts w:ascii="Times New Roman" w:hAnsi="Times New Roman" w:cs="Times New Roman" w:hint="eastAsia"/>
          <w:sz w:val="24"/>
        </w:rPr>
        <w:t xml:space="preserve"> </w:t>
      </w:r>
      <w:r>
        <w:rPr>
          <w:rFonts w:ascii="Times New Roman" w:hAnsi="Times New Roman" w:cs="Times New Roman" w:hint="eastAsia"/>
          <w:b/>
          <w:bCs/>
          <w:sz w:val="24"/>
        </w:rPr>
        <w:t>C</w:t>
      </w:r>
      <w:r>
        <w:rPr>
          <w:rFonts w:ascii="Times New Roman" w:hAnsi="Times New Roman" w:cs="Times New Roman"/>
          <w:b/>
          <w:bCs/>
          <w:sz w:val="24"/>
        </w:rPr>
        <w:t>-</w:t>
      </w:r>
      <w:r>
        <w:rPr>
          <w:rFonts w:ascii="Times New Roman" w:hAnsi="Times New Roman" w:cs="Times New Roman" w:hint="eastAsia"/>
          <w:b/>
          <w:bCs/>
          <w:sz w:val="24"/>
        </w:rPr>
        <w:t>D</w:t>
      </w:r>
      <w:r>
        <w:rPr>
          <w:rFonts w:ascii="Times New Roman" w:hAnsi="Times New Roman" w:cs="Times New Roman"/>
          <w:sz w:val="24"/>
        </w:rPr>
        <w:t>. Gene Set Enrichment Analysis (GSEA) of PLAC8+ TAMs: (</w:t>
      </w:r>
      <w:r>
        <w:rPr>
          <w:rFonts w:ascii="Times New Roman" w:hAnsi="Times New Roman" w:cs="Times New Roman" w:hint="eastAsia"/>
          <w:sz w:val="24"/>
        </w:rPr>
        <w:t>C</w:t>
      </w:r>
      <w:r>
        <w:rPr>
          <w:rFonts w:ascii="Times New Roman" w:hAnsi="Times New Roman" w:cs="Times New Roman"/>
          <w:sz w:val="24"/>
        </w:rPr>
        <w:t>) Significantly upregulated pathways and (</w:t>
      </w:r>
      <w:r>
        <w:rPr>
          <w:rFonts w:ascii="Times New Roman" w:hAnsi="Times New Roman" w:cs="Times New Roman" w:hint="eastAsia"/>
          <w:sz w:val="24"/>
        </w:rPr>
        <w:t>D</w:t>
      </w:r>
      <w:r>
        <w:rPr>
          <w:rFonts w:ascii="Times New Roman" w:hAnsi="Times New Roman" w:cs="Times New Roman"/>
          <w:sz w:val="24"/>
        </w:rPr>
        <w:t>) significantly downregulated pathways. Enrichment scores are shown along the vertical axis.</w:t>
      </w:r>
      <w:r>
        <w:rPr>
          <w:rFonts w:ascii="Times New Roman" w:hAnsi="Times New Roman" w:cs="Times New Roman" w:hint="eastAsia"/>
          <w:sz w:val="24"/>
        </w:rPr>
        <w:t xml:space="preserve"> </w:t>
      </w:r>
      <w:r>
        <w:rPr>
          <w:rFonts w:ascii="Times New Roman" w:hAnsi="Times New Roman" w:cs="Times New Roman" w:hint="eastAsia"/>
          <w:b/>
          <w:bCs/>
          <w:sz w:val="24"/>
        </w:rPr>
        <w:t>E</w:t>
      </w:r>
      <w:r>
        <w:rPr>
          <w:rFonts w:ascii="Times New Roman" w:hAnsi="Times New Roman" w:cs="Times New Roman"/>
          <w:sz w:val="24"/>
        </w:rPr>
        <w:t>. KEGG pathway enrichment analysis showing the top 20 significantly enriched pathways in PLAC8+ TAMs. Bar color represents -log10(p-value) of pathway enrichment.</w:t>
      </w:r>
      <w:r>
        <w:rPr>
          <w:rFonts w:ascii="Times New Roman" w:hAnsi="Times New Roman" w:cs="Times New Roman" w:hint="eastAsia"/>
          <w:sz w:val="24"/>
        </w:rPr>
        <w:t xml:space="preserve"> </w:t>
      </w:r>
      <w:r>
        <w:rPr>
          <w:rFonts w:ascii="Times New Roman" w:hAnsi="Times New Roman" w:cs="Times New Roman" w:hint="eastAsia"/>
          <w:b/>
          <w:bCs/>
          <w:sz w:val="24"/>
        </w:rPr>
        <w:t>F</w:t>
      </w:r>
      <w:r>
        <w:rPr>
          <w:rFonts w:ascii="Times New Roman" w:hAnsi="Times New Roman" w:cs="Times New Roman"/>
          <w:b/>
          <w:bCs/>
          <w:sz w:val="24"/>
        </w:rPr>
        <w:t>-</w:t>
      </w:r>
      <w:r>
        <w:rPr>
          <w:rFonts w:ascii="Times New Roman" w:hAnsi="Times New Roman" w:cs="Times New Roman" w:hint="eastAsia"/>
          <w:b/>
          <w:bCs/>
          <w:sz w:val="24"/>
        </w:rPr>
        <w:t>H</w:t>
      </w:r>
      <w:r>
        <w:rPr>
          <w:rFonts w:ascii="Times New Roman" w:hAnsi="Times New Roman" w:cs="Times New Roman"/>
          <w:sz w:val="24"/>
        </w:rPr>
        <w:t>. Gene Ontology (GO) enrichment analysis of PLAC8+ TAMs: (</w:t>
      </w:r>
      <w:r>
        <w:rPr>
          <w:rFonts w:ascii="Times New Roman" w:hAnsi="Times New Roman" w:cs="Times New Roman" w:hint="eastAsia"/>
          <w:sz w:val="24"/>
        </w:rPr>
        <w:t>F</w:t>
      </w:r>
      <w:r>
        <w:rPr>
          <w:rFonts w:ascii="Times New Roman" w:hAnsi="Times New Roman" w:cs="Times New Roman"/>
          <w:sz w:val="24"/>
        </w:rPr>
        <w:t>) Molecular Function (MF), (</w:t>
      </w:r>
      <w:r>
        <w:rPr>
          <w:rFonts w:ascii="Times New Roman" w:hAnsi="Times New Roman" w:cs="Times New Roman" w:hint="eastAsia"/>
          <w:sz w:val="24"/>
        </w:rPr>
        <w:t>G</w:t>
      </w:r>
      <w:r>
        <w:rPr>
          <w:rFonts w:ascii="Times New Roman" w:hAnsi="Times New Roman" w:cs="Times New Roman"/>
          <w:sz w:val="24"/>
        </w:rPr>
        <w:t>) Biological Process (BP), and (</w:t>
      </w:r>
      <w:r>
        <w:rPr>
          <w:rFonts w:ascii="Times New Roman" w:hAnsi="Times New Roman" w:cs="Times New Roman" w:hint="eastAsia"/>
          <w:sz w:val="24"/>
        </w:rPr>
        <w:t>H</w:t>
      </w:r>
      <w:r>
        <w:rPr>
          <w:rFonts w:ascii="Times New Roman" w:hAnsi="Times New Roman" w:cs="Times New Roman"/>
          <w:sz w:val="24"/>
        </w:rPr>
        <w:t>) Cellular Component (CC) categories. Bar color represents -log10(p-value) of term enrichment.</w:t>
      </w:r>
      <w:r>
        <w:rPr>
          <w:rFonts w:ascii="Times New Roman" w:hAnsi="Times New Roman" w:cs="Times New Roman" w:hint="eastAsia"/>
          <w:sz w:val="24"/>
        </w:rPr>
        <w:t xml:space="preserve"> </w:t>
      </w:r>
      <w:r>
        <w:rPr>
          <w:rFonts w:ascii="Times New Roman" w:hAnsi="Times New Roman" w:cs="Times New Roman" w:hint="eastAsia"/>
          <w:b/>
          <w:bCs/>
          <w:sz w:val="24"/>
        </w:rPr>
        <w:t>I</w:t>
      </w:r>
      <w:r>
        <w:rPr>
          <w:rFonts w:ascii="Times New Roman" w:hAnsi="Times New Roman" w:cs="Times New Roman" w:hint="eastAsia"/>
          <w:sz w:val="24"/>
        </w:rPr>
        <w:t xml:space="preserve">. </w:t>
      </w:r>
      <w:r>
        <w:rPr>
          <w:rFonts w:ascii="Times New Roman" w:hAnsi="Times New Roman" w:cs="Times New Roman"/>
          <w:sz w:val="24"/>
        </w:rPr>
        <w:t>P450 gene set scoring across TAM subsets. Box plots show activity levels of cytochrome P450-related genes in different macrophage populations.</w:t>
      </w:r>
      <w:r>
        <w:rPr>
          <w:rFonts w:ascii="Times New Roman" w:hAnsi="Times New Roman" w:cs="Times New Roman" w:hint="eastAsia"/>
          <w:sz w:val="24"/>
        </w:rPr>
        <w:t xml:space="preserve"> </w:t>
      </w:r>
      <w:r>
        <w:rPr>
          <w:rFonts w:ascii="Times New Roman" w:hAnsi="Times New Roman" w:cs="Times New Roman" w:hint="eastAsia"/>
          <w:b/>
          <w:bCs/>
          <w:sz w:val="24"/>
        </w:rPr>
        <w:t>J</w:t>
      </w:r>
      <w:r>
        <w:rPr>
          <w:rFonts w:ascii="Times New Roman" w:hAnsi="Times New Roman" w:cs="Times New Roman"/>
          <w:sz w:val="24"/>
        </w:rPr>
        <w:t xml:space="preserve">. </w:t>
      </w:r>
      <w:proofErr w:type="spellStart"/>
      <w:r>
        <w:rPr>
          <w:rFonts w:ascii="Times New Roman" w:hAnsi="Times New Roman" w:cs="Times New Roman"/>
          <w:sz w:val="24"/>
        </w:rPr>
        <w:t>scTOUR</w:t>
      </w:r>
      <w:proofErr w:type="spellEnd"/>
      <w:r>
        <w:rPr>
          <w:rFonts w:ascii="Times New Roman" w:hAnsi="Times New Roman" w:cs="Times New Roman"/>
          <w:sz w:val="24"/>
        </w:rPr>
        <w:t xml:space="preserve"> trajectory analysis of monocyte-to-TAM differentiation. Left panel: UMAP distribution of four subsets (monocytes, PLAC8+ TAMs, NLRP3+ TAMs, SPP1+ TAMs); Middle panel: </w:t>
      </w:r>
      <w:proofErr w:type="spellStart"/>
      <w:r>
        <w:rPr>
          <w:rFonts w:ascii="Times New Roman" w:hAnsi="Times New Roman" w:cs="Times New Roman"/>
          <w:sz w:val="24"/>
        </w:rPr>
        <w:t>pseudotime</w:t>
      </w:r>
      <w:proofErr w:type="spellEnd"/>
      <w:r>
        <w:rPr>
          <w:rFonts w:ascii="Times New Roman" w:hAnsi="Times New Roman" w:cs="Times New Roman"/>
          <w:sz w:val="24"/>
        </w:rPr>
        <w:t xml:space="preserve"> trajectory from purple (start) to yellow (end); Right panel: vector field analysis showing differentiation directions (small arrows indicate directionality).</w:t>
      </w:r>
      <w:r>
        <w:rPr>
          <w:rFonts w:ascii="Times New Roman" w:hAnsi="Times New Roman" w:cs="Times New Roman" w:hint="eastAsia"/>
          <w:sz w:val="24"/>
        </w:rPr>
        <w:t xml:space="preserve"> </w:t>
      </w:r>
      <w:r>
        <w:rPr>
          <w:rFonts w:ascii="Times New Roman" w:hAnsi="Times New Roman" w:cs="Times New Roman" w:hint="eastAsia"/>
          <w:b/>
          <w:bCs/>
          <w:sz w:val="24"/>
        </w:rPr>
        <w:t>K</w:t>
      </w:r>
      <w:r>
        <w:rPr>
          <w:rFonts w:ascii="Times New Roman" w:hAnsi="Times New Roman" w:cs="Times New Roman"/>
          <w:sz w:val="24"/>
        </w:rPr>
        <w:t xml:space="preserve">. Monocle2 trajectory analysis showing </w:t>
      </w:r>
      <w:proofErr w:type="spellStart"/>
      <w:r>
        <w:rPr>
          <w:rFonts w:ascii="Times New Roman" w:hAnsi="Times New Roman" w:cs="Times New Roman"/>
          <w:sz w:val="24"/>
        </w:rPr>
        <w:t>pseudotemporal</w:t>
      </w:r>
      <w:proofErr w:type="spellEnd"/>
      <w:r>
        <w:rPr>
          <w:rFonts w:ascii="Times New Roman" w:hAnsi="Times New Roman" w:cs="Times New Roman"/>
          <w:sz w:val="24"/>
        </w:rPr>
        <w:t xml:space="preserve"> progression from dark blue (start) to light blue (end).</w:t>
      </w:r>
      <w:r>
        <w:rPr>
          <w:rFonts w:ascii="Times New Roman" w:hAnsi="Times New Roman" w:cs="Times New Roman" w:hint="eastAsia"/>
          <w:sz w:val="24"/>
        </w:rPr>
        <w:t xml:space="preserve"> </w:t>
      </w:r>
      <w:r>
        <w:rPr>
          <w:rFonts w:ascii="Times New Roman" w:hAnsi="Times New Roman" w:cs="Times New Roman"/>
          <w:b/>
          <w:bCs/>
          <w:sz w:val="24"/>
        </w:rPr>
        <w:t>L</w:t>
      </w:r>
      <w:r>
        <w:rPr>
          <w:rFonts w:ascii="Times New Roman" w:hAnsi="Times New Roman" w:cs="Times New Roman"/>
          <w:sz w:val="24"/>
        </w:rPr>
        <w:t>. UMAP projection showing the distribution of Scissors-positive (red), Scissors-negative (blue), and background (gray) cells from four bulk RNA-seq datasets within macrophage subsets.</w:t>
      </w:r>
      <w:r>
        <w:rPr>
          <w:rFonts w:ascii="Times New Roman" w:hAnsi="Times New Roman" w:cs="Times New Roman" w:hint="eastAsia"/>
          <w:sz w:val="24"/>
        </w:rPr>
        <w:t xml:space="preserve"> </w:t>
      </w:r>
      <w:r>
        <w:rPr>
          <w:rFonts w:ascii="Times New Roman" w:hAnsi="Times New Roman" w:cs="Times New Roman"/>
          <w:b/>
          <w:bCs/>
          <w:sz w:val="24"/>
        </w:rPr>
        <w:t>M</w:t>
      </w:r>
      <w:r>
        <w:rPr>
          <w:rFonts w:ascii="Times New Roman" w:hAnsi="Times New Roman" w:cs="Times New Roman"/>
          <w:sz w:val="24"/>
        </w:rPr>
        <w:t>. Venn diagram displaying the intersection of biochemical recurrence-associated genes across five datasets, yielding 8 consensus genes significantly associated with BCR.</w:t>
      </w:r>
      <w:r>
        <w:rPr>
          <w:rFonts w:ascii="Times New Roman" w:hAnsi="Times New Roman" w:cs="Times New Roman" w:hint="eastAsia"/>
          <w:sz w:val="24"/>
        </w:rPr>
        <w:t xml:space="preserve"> </w:t>
      </w:r>
      <w:r>
        <w:rPr>
          <w:rFonts w:ascii="Times New Roman" w:hAnsi="Times New Roman" w:cs="Times New Roman"/>
          <w:sz w:val="24"/>
        </w:rPr>
        <w:t>N. Dot plot showing expression patterns of the 8 BCR-associated genes across myeloid subsets. Dot size represents the percentage of cells expressing each gene, while color intensity indicates average expression level from light blue (low) to dark blue (high).</w:t>
      </w:r>
    </w:p>
    <w:p w14:paraId="21D4E37B" w14:textId="77777777" w:rsidR="00C80C05" w:rsidRDefault="00C80C05">
      <w:pPr>
        <w:spacing w:line="360" w:lineRule="auto"/>
        <w:rPr>
          <w:rFonts w:ascii="Times New Roman" w:hAnsi="Times New Roman" w:cs="Times New Roman"/>
          <w:sz w:val="24"/>
        </w:rPr>
      </w:pPr>
    </w:p>
    <w:p w14:paraId="7F279DA7" w14:textId="77777777" w:rsidR="00C80C05" w:rsidRDefault="00000000">
      <w:pPr>
        <w:spacing w:line="360" w:lineRule="auto"/>
        <w:rPr>
          <w:rFonts w:ascii="Times New Roman" w:hAnsi="Times New Roman" w:cs="Times New Roman"/>
          <w:sz w:val="24"/>
        </w:rPr>
      </w:pPr>
      <w:r>
        <w:rPr>
          <w:rFonts w:ascii="Times New Roman" w:hAnsi="Times New Roman" w:cs="Times New Roman" w:hint="eastAsia"/>
          <w:noProof/>
          <w:sz w:val="24"/>
        </w:rPr>
        <w:lastRenderedPageBreak/>
        <w:drawing>
          <wp:inline distT="0" distB="0" distL="114300" distR="114300" wp14:anchorId="64FFFA47" wp14:editId="4B316FC7">
            <wp:extent cx="5266690" cy="6951345"/>
            <wp:effectExtent l="0" t="0" r="635" b="1905"/>
            <wp:docPr id="7" name="图片 7" descr="D:/2025前列腺癌单细胞项目/稿件/Revision/Figures/Figures 1-10/S Figure 8.JPGS 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2025前列腺癌单细胞项目/稿件/Revision/Figures/Figures 1-10/S Figure 8.JPGS Figure 8"/>
                    <pic:cNvPicPr>
                      <a:picLocks noChangeAspect="1"/>
                    </pic:cNvPicPr>
                  </pic:nvPicPr>
                  <pic:blipFill>
                    <a:blip r:embed="rId14"/>
                    <a:srcRect t="506" b="506"/>
                    <a:stretch>
                      <a:fillRect/>
                    </a:stretch>
                  </pic:blipFill>
                  <pic:spPr>
                    <a:xfrm>
                      <a:off x="0" y="0"/>
                      <a:ext cx="5266690" cy="6951689"/>
                    </a:xfrm>
                    <a:prstGeom prst="rect">
                      <a:avLst/>
                    </a:prstGeom>
                  </pic:spPr>
                </pic:pic>
              </a:graphicData>
            </a:graphic>
          </wp:inline>
        </w:drawing>
      </w:r>
    </w:p>
    <w:p w14:paraId="2DD803CF" w14:textId="77777777" w:rsidR="00C80C05"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Supplementary Figure </w:t>
      </w:r>
      <w:r>
        <w:rPr>
          <w:rFonts w:ascii="Times New Roman" w:hAnsi="Times New Roman" w:cs="Times New Roman" w:hint="eastAsia"/>
          <w:b/>
          <w:bCs/>
          <w:sz w:val="24"/>
        </w:rPr>
        <w:t>8</w:t>
      </w:r>
      <w:r>
        <w:rPr>
          <w:rFonts w:ascii="Times New Roman" w:hAnsi="Times New Roman" w:cs="Times New Roman"/>
          <w:b/>
          <w:bCs/>
          <w:sz w:val="24"/>
        </w:rPr>
        <w:t>. CAF heterogeneity, clinical relevance, and spatial interactions</w:t>
      </w:r>
    </w:p>
    <w:p w14:paraId="5316E4A7" w14:textId="77777777" w:rsidR="00C80C05" w:rsidRDefault="00000000">
      <w:pPr>
        <w:numPr>
          <w:ilvl w:val="0"/>
          <w:numId w:val="4"/>
        </w:numPr>
        <w:spacing w:line="360" w:lineRule="auto"/>
        <w:rPr>
          <w:rFonts w:ascii="Times New Roman" w:hAnsi="Times New Roman" w:cs="Times New Roman"/>
          <w:sz w:val="24"/>
        </w:rPr>
      </w:pPr>
      <w:r>
        <w:rPr>
          <w:rFonts w:ascii="Times New Roman" w:hAnsi="Times New Roman" w:cs="Times New Roman"/>
          <w:sz w:val="24"/>
        </w:rPr>
        <w:t>Stacked bar plot showing the proportional distribution of clinical groups within CAF cells of each molecular subtype. Each bar represents one molecular subtype, with colored segments indicating the percentage of different clinical stages (Healthy, Primary, On-ADT, CRPC, NEPC).</w:t>
      </w:r>
      <w:r>
        <w:rPr>
          <w:rFonts w:ascii="Times New Roman" w:hAnsi="Times New Roman" w:cs="Times New Roman" w:hint="eastAsia"/>
          <w:sz w:val="24"/>
        </w:rPr>
        <w:t xml:space="preserve"> </w:t>
      </w:r>
      <w:r>
        <w:rPr>
          <w:rFonts w:ascii="Times New Roman" w:hAnsi="Times New Roman" w:cs="Times New Roman"/>
          <w:b/>
          <w:bCs/>
          <w:sz w:val="24"/>
        </w:rPr>
        <w:t>B</w:t>
      </w:r>
      <w:r>
        <w:rPr>
          <w:rFonts w:ascii="Times New Roman" w:hAnsi="Times New Roman" w:cs="Times New Roman"/>
          <w:sz w:val="24"/>
        </w:rPr>
        <w:t xml:space="preserve">. UMAP projection showing the distribution of </w:t>
      </w:r>
      <w:r>
        <w:rPr>
          <w:rFonts w:ascii="Times New Roman" w:hAnsi="Times New Roman" w:cs="Times New Roman"/>
          <w:sz w:val="24"/>
        </w:rPr>
        <w:lastRenderedPageBreak/>
        <w:t>Scissors-positive (red), Scissors-negative (blue), and background (gray) cells from four bulk RNA-seq datasets within CAF subsets.</w:t>
      </w:r>
      <w:r>
        <w:rPr>
          <w:rFonts w:ascii="Times New Roman" w:hAnsi="Times New Roman" w:cs="Times New Roman" w:hint="eastAsia"/>
          <w:sz w:val="24"/>
        </w:rPr>
        <w:t xml:space="preserve"> </w:t>
      </w:r>
      <w:r>
        <w:rPr>
          <w:rFonts w:ascii="Times New Roman" w:hAnsi="Times New Roman" w:cs="Times New Roman"/>
          <w:b/>
          <w:bCs/>
          <w:sz w:val="24"/>
        </w:rPr>
        <w:t>C</w:t>
      </w:r>
      <w:r>
        <w:rPr>
          <w:rFonts w:ascii="Times New Roman" w:hAnsi="Times New Roman" w:cs="Times New Roman"/>
          <w:sz w:val="24"/>
        </w:rPr>
        <w:t>. Venn diagram displaying the intersection of biochemical recurrence-associated genes across five datasets, yielding 42 consensus genes significantly associated with BCR in the CAF compartment.</w:t>
      </w:r>
      <w:r>
        <w:rPr>
          <w:rFonts w:ascii="Times New Roman" w:hAnsi="Times New Roman" w:cs="Times New Roman" w:hint="eastAsia"/>
          <w:sz w:val="24"/>
        </w:rPr>
        <w:t xml:space="preserve"> </w:t>
      </w:r>
      <w:r>
        <w:rPr>
          <w:rFonts w:ascii="Times New Roman" w:hAnsi="Times New Roman" w:cs="Times New Roman"/>
          <w:b/>
          <w:bCs/>
          <w:sz w:val="24"/>
        </w:rPr>
        <w:t>D</w:t>
      </w:r>
      <w:r>
        <w:rPr>
          <w:rFonts w:ascii="Times New Roman" w:hAnsi="Times New Roman" w:cs="Times New Roman"/>
          <w:sz w:val="24"/>
        </w:rPr>
        <w:t>. Dot plot showing expression patterns of the 42 BCR-associated genes across CAF subsets. Dot size represents the percentage of cells expressing each gene, while color intensity indicates average expression level from light blue (low) to dark blue (high).</w:t>
      </w:r>
      <w:r>
        <w:rPr>
          <w:rFonts w:ascii="Times New Roman" w:hAnsi="Times New Roman" w:cs="Times New Roman" w:hint="eastAsia"/>
          <w:sz w:val="24"/>
        </w:rPr>
        <w:t xml:space="preserve"> </w:t>
      </w:r>
      <w:r>
        <w:rPr>
          <w:rFonts w:ascii="Times New Roman" w:hAnsi="Times New Roman" w:cs="Times New Roman"/>
          <w:b/>
          <w:bCs/>
          <w:sz w:val="24"/>
        </w:rPr>
        <w:t>E</w:t>
      </w:r>
      <w:r>
        <w:rPr>
          <w:rFonts w:ascii="Times New Roman" w:hAnsi="Times New Roman" w:cs="Times New Roman"/>
          <w:sz w:val="24"/>
        </w:rPr>
        <w:t xml:space="preserve">. Spatial mapping of CXCL12+ </w:t>
      </w:r>
      <w:proofErr w:type="spellStart"/>
      <w:r>
        <w:rPr>
          <w:rFonts w:ascii="Times New Roman" w:hAnsi="Times New Roman" w:cs="Times New Roman"/>
          <w:sz w:val="24"/>
        </w:rPr>
        <w:t>iCAF</w:t>
      </w:r>
      <w:proofErr w:type="spellEnd"/>
      <w:r>
        <w:rPr>
          <w:rFonts w:ascii="Times New Roman" w:hAnsi="Times New Roman" w:cs="Times New Roman"/>
          <w:sz w:val="24"/>
        </w:rPr>
        <w:t xml:space="preserve">, ACTA2+ </w:t>
      </w:r>
      <w:proofErr w:type="spellStart"/>
      <w:r>
        <w:rPr>
          <w:rFonts w:ascii="Times New Roman" w:hAnsi="Times New Roman" w:cs="Times New Roman"/>
          <w:sz w:val="24"/>
        </w:rPr>
        <w:t>myCAF</w:t>
      </w:r>
      <w:proofErr w:type="spellEnd"/>
      <w:r>
        <w:rPr>
          <w:rFonts w:ascii="Times New Roman" w:hAnsi="Times New Roman" w:cs="Times New Roman"/>
          <w:sz w:val="24"/>
        </w:rPr>
        <w:t xml:space="preserve">, FOLR2+ TAM, and PLAC8+ TAM in samples P03, P04, P05, and P07 using </w:t>
      </w:r>
      <w:proofErr w:type="spellStart"/>
      <w:r>
        <w:rPr>
          <w:rFonts w:ascii="Times New Roman" w:hAnsi="Times New Roman" w:cs="Times New Roman"/>
          <w:sz w:val="24"/>
        </w:rPr>
        <w:t>AddModuleScore</w:t>
      </w:r>
      <w:proofErr w:type="spellEnd"/>
      <w:r>
        <w:rPr>
          <w:rFonts w:ascii="Times New Roman" w:hAnsi="Times New Roman" w:cs="Times New Roman"/>
          <w:sz w:val="24"/>
        </w:rPr>
        <w:t>. Each cell type is represented by a distinct color gradient showing relative abundance across tissue spots.</w:t>
      </w:r>
      <w:r>
        <w:rPr>
          <w:rFonts w:ascii="Times New Roman" w:hAnsi="Times New Roman" w:cs="Times New Roman" w:hint="eastAsia"/>
          <w:sz w:val="24"/>
        </w:rPr>
        <w:t xml:space="preserve"> </w:t>
      </w:r>
      <w:r>
        <w:rPr>
          <w:rFonts w:ascii="Times New Roman" w:hAnsi="Times New Roman" w:cs="Times New Roman"/>
          <w:b/>
          <w:bCs/>
          <w:sz w:val="24"/>
        </w:rPr>
        <w:t>F</w:t>
      </w:r>
      <w:r>
        <w:rPr>
          <w:rFonts w:ascii="Times New Roman" w:hAnsi="Times New Roman" w:cs="Times New Roman"/>
          <w:sz w:val="24"/>
        </w:rPr>
        <w:t xml:space="preserve">. Correlation heatmap displaying Pearson correlation coefficients between PLAC8+ TAM and CXCL12+ </w:t>
      </w:r>
      <w:proofErr w:type="spellStart"/>
      <w:r>
        <w:rPr>
          <w:rFonts w:ascii="Times New Roman" w:hAnsi="Times New Roman" w:cs="Times New Roman"/>
          <w:sz w:val="24"/>
        </w:rPr>
        <w:t>iCAF</w:t>
      </w:r>
      <w:proofErr w:type="spellEnd"/>
      <w:r>
        <w:rPr>
          <w:rFonts w:ascii="Times New Roman" w:hAnsi="Times New Roman" w:cs="Times New Roman"/>
          <w:sz w:val="24"/>
        </w:rPr>
        <w:t xml:space="preserve"> spatial distributions across different samples. Correlation values are calculated based on cellular proportions within each spot, with color intensity representing the strength of spatial co-localization.</w:t>
      </w:r>
      <w:r>
        <w:rPr>
          <w:rFonts w:ascii="Times New Roman" w:hAnsi="Times New Roman" w:cs="Times New Roman" w:hint="eastAsia"/>
          <w:sz w:val="24"/>
        </w:rPr>
        <w:t xml:space="preserve"> </w:t>
      </w:r>
      <w:r>
        <w:rPr>
          <w:rFonts w:ascii="Times New Roman" w:hAnsi="Times New Roman" w:cs="Times New Roman"/>
          <w:b/>
          <w:bCs/>
          <w:sz w:val="24"/>
        </w:rPr>
        <w:t>G-H</w:t>
      </w:r>
      <w:r>
        <w:rPr>
          <w:rFonts w:ascii="Times New Roman" w:hAnsi="Times New Roman" w:cs="Times New Roman"/>
          <w:sz w:val="24"/>
        </w:rPr>
        <w:t xml:space="preserve">. Cell-cell communication network analysis among tumor cells, CXCL12+ </w:t>
      </w:r>
      <w:proofErr w:type="spellStart"/>
      <w:r>
        <w:rPr>
          <w:rFonts w:ascii="Times New Roman" w:hAnsi="Times New Roman" w:cs="Times New Roman"/>
          <w:sz w:val="24"/>
        </w:rPr>
        <w:t>iCAF</w:t>
      </w:r>
      <w:proofErr w:type="spellEnd"/>
      <w:r>
        <w:rPr>
          <w:rFonts w:ascii="Times New Roman" w:hAnsi="Times New Roman" w:cs="Times New Roman"/>
          <w:sz w:val="24"/>
        </w:rPr>
        <w:t xml:space="preserve">, ACTA2+ </w:t>
      </w:r>
      <w:proofErr w:type="spellStart"/>
      <w:r>
        <w:rPr>
          <w:rFonts w:ascii="Times New Roman" w:hAnsi="Times New Roman" w:cs="Times New Roman"/>
          <w:sz w:val="24"/>
        </w:rPr>
        <w:t>myCAF</w:t>
      </w:r>
      <w:proofErr w:type="spellEnd"/>
      <w:r>
        <w:rPr>
          <w:rFonts w:ascii="Times New Roman" w:hAnsi="Times New Roman" w:cs="Times New Roman"/>
          <w:sz w:val="24"/>
        </w:rPr>
        <w:t>, FOLR2+ TAM, and PLAC8+ TAM: (G) Ligand-receptor pairs significantly downregulated in the post-treatment group; (H) Ligand-receptor pairs significantly upregulated in the post-treatment group. Edge thickness represents communication probability, while node size indicates the number of interactions.</w:t>
      </w:r>
    </w:p>
    <w:p w14:paraId="304ECD4F" w14:textId="77777777" w:rsidR="00C80C05" w:rsidRDefault="00000000">
      <w:pPr>
        <w:spacing w:line="360" w:lineRule="auto"/>
        <w:rPr>
          <w:rFonts w:ascii="Times New Roman" w:hAnsi="Times New Roman" w:cs="Times New Roman"/>
          <w:sz w:val="24"/>
        </w:rPr>
      </w:pPr>
      <w:r>
        <w:rPr>
          <w:rFonts w:ascii="Times New Roman" w:hAnsi="Times New Roman" w:cs="Times New Roman" w:hint="eastAsia"/>
          <w:noProof/>
          <w:sz w:val="24"/>
        </w:rPr>
        <w:lastRenderedPageBreak/>
        <w:drawing>
          <wp:inline distT="0" distB="0" distL="114300" distR="114300" wp14:anchorId="4299F40B" wp14:editId="2734202A">
            <wp:extent cx="5266690" cy="6534785"/>
            <wp:effectExtent l="0" t="0" r="635" b="8890"/>
            <wp:docPr id="8" name="图片 8" descr="D:/2025前列腺癌单细胞项目/稿件/Revision/Figures/Figures 1-10/S Figure 9.JPGS 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2025前列腺癌单细胞项目/稿件/Revision/Figures/Figures 1-10/S Figure 9.JPGS Figure 9"/>
                    <pic:cNvPicPr>
                      <a:picLocks noChangeAspect="1"/>
                    </pic:cNvPicPr>
                  </pic:nvPicPr>
                  <pic:blipFill>
                    <a:blip r:embed="rId15"/>
                    <a:srcRect t="42" b="42"/>
                    <a:stretch>
                      <a:fillRect/>
                    </a:stretch>
                  </pic:blipFill>
                  <pic:spPr>
                    <a:xfrm>
                      <a:off x="0" y="0"/>
                      <a:ext cx="5266690" cy="6535308"/>
                    </a:xfrm>
                    <a:prstGeom prst="rect">
                      <a:avLst/>
                    </a:prstGeom>
                  </pic:spPr>
                </pic:pic>
              </a:graphicData>
            </a:graphic>
          </wp:inline>
        </w:drawing>
      </w:r>
    </w:p>
    <w:p w14:paraId="5A272617" w14:textId="77777777" w:rsidR="00C80C05"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Supplementary Figure </w:t>
      </w:r>
      <w:r>
        <w:rPr>
          <w:rFonts w:ascii="Times New Roman" w:hAnsi="Times New Roman" w:cs="Times New Roman" w:hint="eastAsia"/>
          <w:b/>
          <w:bCs/>
          <w:sz w:val="24"/>
        </w:rPr>
        <w:t>9</w:t>
      </w:r>
      <w:r>
        <w:rPr>
          <w:rFonts w:ascii="Times New Roman" w:hAnsi="Times New Roman" w:cs="Times New Roman"/>
          <w:b/>
          <w:bCs/>
          <w:sz w:val="24"/>
        </w:rPr>
        <w:t>. Lymphoid cell heterogeneity, spatial organization, and communication networks</w:t>
      </w:r>
    </w:p>
    <w:p w14:paraId="2AED2AC1" w14:textId="77777777" w:rsidR="00C80C05" w:rsidRDefault="00000000">
      <w:pPr>
        <w:numPr>
          <w:ilvl w:val="0"/>
          <w:numId w:val="5"/>
        </w:numPr>
        <w:spacing w:line="360" w:lineRule="auto"/>
        <w:rPr>
          <w:rFonts w:ascii="Times New Roman" w:hAnsi="Times New Roman" w:cs="Times New Roman"/>
          <w:sz w:val="24"/>
        </w:rPr>
      </w:pPr>
      <w:r>
        <w:rPr>
          <w:rFonts w:ascii="Times New Roman" w:hAnsi="Times New Roman" w:cs="Times New Roman"/>
          <w:sz w:val="24"/>
        </w:rPr>
        <w:t>Dot plot displaying expression patterns of marker genes across lymphoid subsets. Dot size represents the percentage of cells expressing each gene, while color intensity indicates average expression level from light blue (low) to dark blue (high).</w:t>
      </w:r>
      <w:r>
        <w:rPr>
          <w:rFonts w:ascii="Times New Roman" w:hAnsi="Times New Roman" w:cs="Times New Roman" w:hint="eastAsia"/>
          <w:sz w:val="24"/>
        </w:rPr>
        <w:t xml:space="preserve"> </w:t>
      </w:r>
      <w:r>
        <w:rPr>
          <w:rFonts w:ascii="Times New Roman" w:hAnsi="Times New Roman" w:cs="Times New Roman"/>
          <w:b/>
          <w:bCs/>
          <w:sz w:val="24"/>
        </w:rPr>
        <w:t>B</w:t>
      </w:r>
      <w:r>
        <w:rPr>
          <w:rFonts w:ascii="Times New Roman" w:hAnsi="Times New Roman" w:cs="Times New Roman"/>
          <w:sz w:val="24"/>
        </w:rPr>
        <w:t xml:space="preserve">. UMAP feature plots showing expression distribution of key marker genes across lymphoid subsets. Color gradient from light blue (low expression) to dark blue (high expression) </w:t>
      </w:r>
      <w:r>
        <w:rPr>
          <w:rFonts w:ascii="Times New Roman" w:hAnsi="Times New Roman" w:cs="Times New Roman"/>
          <w:sz w:val="24"/>
        </w:rPr>
        <w:lastRenderedPageBreak/>
        <w:t>represents expression levels in individual cells.</w:t>
      </w:r>
      <w:r>
        <w:rPr>
          <w:rFonts w:ascii="Times New Roman" w:hAnsi="Times New Roman" w:cs="Times New Roman" w:hint="eastAsia"/>
          <w:sz w:val="24"/>
        </w:rPr>
        <w:t xml:space="preserve"> </w:t>
      </w:r>
      <w:r>
        <w:rPr>
          <w:rFonts w:ascii="Times New Roman" w:hAnsi="Times New Roman" w:cs="Times New Roman"/>
          <w:b/>
          <w:bCs/>
          <w:sz w:val="24"/>
        </w:rPr>
        <w:t>C</w:t>
      </w:r>
      <w:r>
        <w:rPr>
          <w:rFonts w:ascii="Times New Roman" w:hAnsi="Times New Roman" w:cs="Times New Roman"/>
          <w:sz w:val="24"/>
        </w:rPr>
        <w:t>. Box plots showing proportional differences of ILC, MAIT, NK CD56dim, and NK CD56bright subsets across clinical groups. Statistical significance was determined using Kruskal-Wallis test with Dunn's post-hoc correction (*p &lt; 0.05, **p &lt; 0.01, ***p &lt; 0.001).</w:t>
      </w:r>
      <w:r>
        <w:rPr>
          <w:rFonts w:ascii="Times New Roman" w:hAnsi="Times New Roman" w:cs="Times New Roman" w:hint="eastAsia"/>
          <w:sz w:val="24"/>
        </w:rPr>
        <w:t xml:space="preserve"> </w:t>
      </w:r>
      <w:r>
        <w:rPr>
          <w:rFonts w:ascii="Times New Roman" w:hAnsi="Times New Roman" w:cs="Times New Roman"/>
          <w:b/>
          <w:bCs/>
          <w:sz w:val="24"/>
        </w:rPr>
        <w:t>D</w:t>
      </w:r>
      <w:r>
        <w:rPr>
          <w:rFonts w:ascii="Times New Roman" w:hAnsi="Times New Roman" w:cs="Times New Roman"/>
          <w:sz w:val="24"/>
        </w:rPr>
        <w:t>. Stacked bar plot illustrating the proportional distribution of lymphoid subsets within each individual sample. Each bar represents one sample, with colored segments indicating the percentage of different lymphoid populations.</w:t>
      </w:r>
      <w:r>
        <w:rPr>
          <w:rFonts w:ascii="Times New Roman" w:hAnsi="Times New Roman" w:cs="Times New Roman" w:hint="eastAsia"/>
          <w:sz w:val="24"/>
        </w:rPr>
        <w:t xml:space="preserve"> </w:t>
      </w:r>
      <w:r>
        <w:rPr>
          <w:rFonts w:ascii="Times New Roman" w:hAnsi="Times New Roman" w:cs="Times New Roman"/>
          <w:b/>
          <w:bCs/>
          <w:sz w:val="24"/>
        </w:rPr>
        <w:t>E</w:t>
      </w:r>
      <w:r>
        <w:rPr>
          <w:rFonts w:ascii="Times New Roman" w:hAnsi="Times New Roman" w:cs="Times New Roman"/>
          <w:sz w:val="24"/>
        </w:rPr>
        <w:t>. Dot plot displaying gene signature scores across lymphoid subsets for cytotoxicity, exhaustion, and regulation signatures. Dot size represents the percentage of cells with significant signature enrichment, while color intensity indicates the average signature score from light blue (low) to dark blue (high).</w:t>
      </w:r>
      <w:r>
        <w:rPr>
          <w:rFonts w:ascii="Times New Roman" w:hAnsi="Times New Roman" w:cs="Times New Roman" w:hint="eastAsia"/>
          <w:sz w:val="24"/>
        </w:rPr>
        <w:t xml:space="preserve"> </w:t>
      </w:r>
      <w:r>
        <w:rPr>
          <w:rFonts w:ascii="Times New Roman" w:hAnsi="Times New Roman" w:cs="Times New Roman"/>
          <w:b/>
          <w:bCs/>
          <w:sz w:val="24"/>
        </w:rPr>
        <w:t>F</w:t>
      </w:r>
      <w:r>
        <w:rPr>
          <w:rFonts w:ascii="Times New Roman" w:hAnsi="Times New Roman" w:cs="Times New Roman"/>
          <w:sz w:val="24"/>
        </w:rPr>
        <w:t xml:space="preserve">. Spatial mapping of ACTA2+ </w:t>
      </w:r>
      <w:proofErr w:type="spellStart"/>
      <w:r>
        <w:rPr>
          <w:rFonts w:ascii="Times New Roman" w:hAnsi="Times New Roman" w:cs="Times New Roman"/>
          <w:sz w:val="24"/>
        </w:rPr>
        <w:t>myCAF</w:t>
      </w:r>
      <w:proofErr w:type="spellEnd"/>
      <w:r>
        <w:rPr>
          <w:rFonts w:ascii="Times New Roman" w:hAnsi="Times New Roman" w:cs="Times New Roman"/>
          <w:sz w:val="24"/>
        </w:rPr>
        <w:t xml:space="preserve">, CXCL12+ </w:t>
      </w:r>
      <w:proofErr w:type="spellStart"/>
      <w:r>
        <w:rPr>
          <w:rFonts w:ascii="Times New Roman" w:hAnsi="Times New Roman" w:cs="Times New Roman"/>
          <w:sz w:val="24"/>
        </w:rPr>
        <w:t>iCAF</w:t>
      </w:r>
      <w:proofErr w:type="spellEnd"/>
      <w:r>
        <w:rPr>
          <w:rFonts w:ascii="Times New Roman" w:hAnsi="Times New Roman" w:cs="Times New Roman"/>
          <w:sz w:val="24"/>
        </w:rPr>
        <w:t>, T/NK cells, B cells, and epithelial cells in samples P01, P02, and P06 using Seurat. Color gradient from blue (low abundance) to red (high abundance) represents the relative abundance of each cell type across tissue spots.</w:t>
      </w:r>
      <w:r>
        <w:rPr>
          <w:rFonts w:ascii="Times New Roman" w:hAnsi="Times New Roman" w:cs="Times New Roman" w:hint="eastAsia"/>
          <w:sz w:val="24"/>
        </w:rPr>
        <w:t xml:space="preserve"> </w:t>
      </w:r>
      <w:r>
        <w:rPr>
          <w:rFonts w:ascii="Times New Roman" w:hAnsi="Times New Roman" w:cs="Times New Roman"/>
          <w:b/>
          <w:bCs/>
          <w:sz w:val="24"/>
        </w:rPr>
        <w:t>G</w:t>
      </w:r>
      <w:r>
        <w:rPr>
          <w:rFonts w:ascii="Times New Roman" w:hAnsi="Times New Roman" w:cs="Times New Roman"/>
          <w:sz w:val="24"/>
        </w:rPr>
        <w:t xml:space="preserve">. </w:t>
      </w:r>
      <w:proofErr w:type="spellStart"/>
      <w:r>
        <w:rPr>
          <w:rFonts w:ascii="Times New Roman" w:hAnsi="Times New Roman" w:cs="Times New Roman"/>
          <w:sz w:val="24"/>
        </w:rPr>
        <w:t>CellChat</w:t>
      </w:r>
      <w:proofErr w:type="spellEnd"/>
      <w:r>
        <w:rPr>
          <w:rFonts w:ascii="Times New Roman" w:hAnsi="Times New Roman" w:cs="Times New Roman"/>
          <w:sz w:val="24"/>
        </w:rPr>
        <w:t xml:space="preserve"> analysis of communication patterns among B cells, CD4+ Treg, CD8+ Teff, ACTA2+ </w:t>
      </w:r>
      <w:proofErr w:type="spellStart"/>
      <w:r>
        <w:rPr>
          <w:rFonts w:ascii="Times New Roman" w:hAnsi="Times New Roman" w:cs="Times New Roman"/>
          <w:sz w:val="24"/>
        </w:rPr>
        <w:t>myCAF</w:t>
      </w:r>
      <w:proofErr w:type="spellEnd"/>
      <w:r>
        <w:rPr>
          <w:rFonts w:ascii="Times New Roman" w:hAnsi="Times New Roman" w:cs="Times New Roman"/>
          <w:sz w:val="24"/>
        </w:rPr>
        <w:t xml:space="preserve">, CXCL12+ </w:t>
      </w:r>
      <w:proofErr w:type="spellStart"/>
      <w:r>
        <w:rPr>
          <w:rFonts w:ascii="Times New Roman" w:hAnsi="Times New Roman" w:cs="Times New Roman"/>
          <w:sz w:val="24"/>
        </w:rPr>
        <w:t>iCAF</w:t>
      </w:r>
      <w:proofErr w:type="spellEnd"/>
      <w:r>
        <w:rPr>
          <w:rFonts w:ascii="Times New Roman" w:hAnsi="Times New Roman" w:cs="Times New Roman"/>
          <w:sz w:val="24"/>
        </w:rPr>
        <w:t>, and tumor cells. Upper panels: primary group; Lower panels: post-treatment group. Left panels: incoming communication patterns; Right panels: outgoing communication patterns.</w:t>
      </w:r>
      <w:r>
        <w:rPr>
          <w:rFonts w:ascii="Times New Roman" w:hAnsi="Times New Roman" w:cs="Times New Roman" w:hint="eastAsia"/>
          <w:sz w:val="24"/>
        </w:rPr>
        <w:t xml:space="preserve"> </w:t>
      </w:r>
      <w:r>
        <w:rPr>
          <w:rFonts w:ascii="Times New Roman" w:hAnsi="Times New Roman" w:cs="Times New Roman"/>
          <w:b/>
          <w:bCs/>
          <w:sz w:val="24"/>
        </w:rPr>
        <w:t>H</w:t>
      </w:r>
      <w:r>
        <w:rPr>
          <w:rFonts w:ascii="Times New Roman" w:hAnsi="Times New Roman" w:cs="Times New Roman"/>
          <w:sz w:val="24"/>
        </w:rPr>
        <w:t xml:space="preserve">. CypA signaling network in primary (upper) and post-treatment (lower) conditions, showing sender, receiver, mediator, and influencer roles in the communication among B cells, CD4+ Treg, CD8+ Teff, ACTA2+ </w:t>
      </w:r>
      <w:proofErr w:type="spellStart"/>
      <w:r>
        <w:rPr>
          <w:rFonts w:ascii="Times New Roman" w:hAnsi="Times New Roman" w:cs="Times New Roman"/>
          <w:sz w:val="24"/>
        </w:rPr>
        <w:t>myCAF</w:t>
      </w:r>
      <w:proofErr w:type="spellEnd"/>
      <w:r>
        <w:rPr>
          <w:rFonts w:ascii="Times New Roman" w:hAnsi="Times New Roman" w:cs="Times New Roman"/>
          <w:sz w:val="24"/>
        </w:rPr>
        <w:t xml:space="preserve">, CXCL12+ </w:t>
      </w:r>
      <w:proofErr w:type="spellStart"/>
      <w:r>
        <w:rPr>
          <w:rFonts w:ascii="Times New Roman" w:hAnsi="Times New Roman" w:cs="Times New Roman"/>
          <w:sz w:val="24"/>
        </w:rPr>
        <w:t>iCAF</w:t>
      </w:r>
      <w:proofErr w:type="spellEnd"/>
      <w:r>
        <w:rPr>
          <w:rFonts w:ascii="Times New Roman" w:hAnsi="Times New Roman" w:cs="Times New Roman"/>
          <w:sz w:val="24"/>
        </w:rPr>
        <w:t>, and tumor cells.</w:t>
      </w:r>
      <w:r>
        <w:rPr>
          <w:rFonts w:ascii="Times New Roman" w:hAnsi="Times New Roman" w:cs="Times New Roman" w:hint="eastAsia"/>
          <w:sz w:val="24"/>
        </w:rPr>
        <w:t xml:space="preserve"> </w:t>
      </w:r>
      <w:r>
        <w:rPr>
          <w:rFonts w:ascii="Times New Roman" w:hAnsi="Times New Roman" w:cs="Times New Roman"/>
          <w:b/>
          <w:bCs/>
          <w:sz w:val="24"/>
        </w:rPr>
        <w:t>I</w:t>
      </w:r>
      <w:r>
        <w:rPr>
          <w:rFonts w:ascii="Times New Roman" w:hAnsi="Times New Roman" w:cs="Times New Roman"/>
          <w:sz w:val="24"/>
        </w:rPr>
        <w:t xml:space="preserve">. Differential ligand-receptor pairs in the communication network among B cells, CD4+ Treg, CD8+ Teff, ACTA2+ </w:t>
      </w:r>
      <w:proofErr w:type="spellStart"/>
      <w:r>
        <w:rPr>
          <w:rFonts w:ascii="Times New Roman" w:hAnsi="Times New Roman" w:cs="Times New Roman"/>
          <w:sz w:val="24"/>
        </w:rPr>
        <w:t>myCAF</w:t>
      </w:r>
      <w:proofErr w:type="spellEnd"/>
      <w:r>
        <w:rPr>
          <w:rFonts w:ascii="Times New Roman" w:hAnsi="Times New Roman" w:cs="Times New Roman"/>
          <w:sz w:val="24"/>
        </w:rPr>
        <w:t xml:space="preserve">, CXCL12+ </w:t>
      </w:r>
      <w:proofErr w:type="spellStart"/>
      <w:r>
        <w:rPr>
          <w:rFonts w:ascii="Times New Roman" w:hAnsi="Times New Roman" w:cs="Times New Roman"/>
          <w:sz w:val="24"/>
        </w:rPr>
        <w:t>iCAF</w:t>
      </w:r>
      <w:proofErr w:type="spellEnd"/>
      <w:r>
        <w:rPr>
          <w:rFonts w:ascii="Times New Roman" w:hAnsi="Times New Roman" w:cs="Times New Roman"/>
          <w:sz w:val="24"/>
        </w:rPr>
        <w:t>, and tumor cells: Left panel: pairs significantly downregulated in post-treatment group; Right panel: pairs significantly upregulated in post-treatment group.</w:t>
      </w:r>
    </w:p>
    <w:sectPr w:rsidR="00C80C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9428E" w14:textId="77777777" w:rsidR="003E28EF" w:rsidRDefault="003E28EF" w:rsidP="00024381">
      <w:r>
        <w:separator/>
      </w:r>
    </w:p>
  </w:endnote>
  <w:endnote w:type="continuationSeparator" w:id="0">
    <w:p w14:paraId="013DBB41" w14:textId="77777777" w:rsidR="003E28EF" w:rsidRDefault="003E28EF" w:rsidP="0002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97B62" w14:textId="77777777" w:rsidR="003E28EF" w:rsidRDefault="003E28EF" w:rsidP="00024381">
      <w:r>
        <w:separator/>
      </w:r>
    </w:p>
  </w:footnote>
  <w:footnote w:type="continuationSeparator" w:id="0">
    <w:p w14:paraId="02160808" w14:textId="77777777" w:rsidR="003E28EF" w:rsidRDefault="003E28EF" w:rsidP="00024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319185"/>
    <w:multiLevelType w:val="singleLevel"/>
    <w:tmpl w:val="BA319185"/>
    <w:lvl w:ilvl="0">
      <w:start w:val="1"/>
      <w:numFmt w:val="decimal"/>
      <w:lvlText w:val="%1."/>
      <w:lvlJc w:val="left"/>
      <w:pPr>
        <w:tabs>
          <w:tab w:val="left" w:pos="312"/>
        </w:tabs>
      </w:pPr>
    </w:lvl>
  </w:abstractNum>
  <w:abstractNum w:abstractNumId="1" w15:restartNumberingAfterBreak="0">
    <w:nsid w:val="D97BFA3D"/>
    <w:multiLevelType w:val="singleLevel"/>
    <w:tmpl w:val="D97BFA3D"/>
    <w:lvl w:ilvl="0">
      <w:start w:val="1"/>
      <w:numFmt w:val="upperLetter"/>
      <w:suff w:val="space"/>
      <w:lvlText w:val="%1."/>
      <w:lvlJc w:val="left"/>
      <w:rPr>
        <w:b/>
        <w:bCs/>
      </w:rPr>
    </w:lvl>
  </w:abstractNum>
  <w:abstractNum w:abstractNumId="2" w15:restartNumberingAfterBreak="0">
    <w:nsid w:val="DD4225BC"/>
    <w:multiLevelType w:val="singleLevel"/>
    <w:tmpl w:val="DD4225BC"/>
    <w:lvl w:ilvl="0">
      <w:start w:val="1"/>
      <w:numFmt w:val="upperLetter"/>
      <w:suff w:val="space"/>
      <w:lvlText w:val="%1."/>
      <w:lvlJc w:val="left"/>
      <w:rPr>
        <w:b/>
        <w:bCs/>
      </w:rPr>
    </w:lvl>
  </w:abstractNum>
  <w:abstractNum w:abstractNumId="3" w15:restartNumberingAfterBreak="0">
    <w:nsid w:val="DF47F100"/>
    <w:multiLevelType w:val="singleLevel"/>
    <w:tmpl w:val="DF47F100"/>
    <w:lvl w:ilvl="0">
      <w:start w:val="1"/>
      <w:numFmt w:val="upperLetter"/>
      <w:suff w:val="space"/>
      <w:lvlText w:val="%1."/>
      <w:lvlJc w:val="left"/>
      <w:rPr>
        <w:b/>
        <w:bCs/>
      </w:rPr>
    </w:lvl>
  </w:abstractNum>
  <w:abstractNum w:abstractNumId="4" w15:restartNumberingAfterBreak="0">
    <w:nsid w:val="49D66B1B"/>
    <w:multiLevelType w:val="singleLevel"/>
    <w:tmpl w:val="49D66B1B"/>
    <w:lvl w:ilvl="0">
      <w:start w:val="1"/>
      <w:numFmt w:val="upperLetter"/>
      <w:suff w:val="space"/>
      <w:lvlText w:val="%1."/>
      <w:lvlJc w:val="left"/>
      <w:rPr>
        <w:b/>
        <w:bCs/>
      </w:rPr>
    </w:lvl>
  </w:abstractNum>
  <w:num w:numId="1" w16cid:durableId="285431880">
    <w:abstractNumId w:val="0"/>
  </w:num>
  <w:num w:numId="2" w16cid:durableId="349181296">
    <w:abstractNumId w:val="2"/>
  </w:num>
  <w:num w:numId="3" w16cid:durableId="1916209184">
    <w:abstractNumId w:val="1"/>
  </w:num>
  <w:num w:numId="4" w16cid:durableId="1679846843">
    <w:abstractNumId w:val="4"/>
  </w:num>
  <w:num w:numId="5" w16cid:durableId="1187254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Y_MEDREF_DOCUID" w:val="{3C5EF18B-D5EE-4C64-89DD-B74EAB7F50F1}"/>
    <w:docVar w:name="KY_MEDREF_VERSION" w:val="3"/>
  </w:docVars>
  <w:rsids>
    <w:rsidRoot w:val="00114147"/>
    <w:rsid w:val="00024381"/>
    <w:rsid w:val="000B1D36"/>
    <w:rsid w:val="000E1533"/>
    <w:rsid w:val="00113AC6"/>
    <w:rsid w:val="00114147"/>
    <w:rsid w:val="001256F8"/>
    <w:rsid w:val="00134539"/>
    <w:rsid w:val="001950A7"/>
    <w:rsid w:val="00254D1F"/>
    <w:rsid w:val="00261042"/>
    <w:rsid w:val="003704E2"/>
    <w:rsid w:val="003858D6"/>
    <w:rsid w:val="003E28EF"/>
    <w:rsid w:val="004161F0"/>
    <w:rsid w:val="004A6EA4"/>
    <w:rsid w:val="0060325F"/>
    <w:rsid w:val="00691734"/>
    <w:rsid w:val="006946C5"/>
    <w:rsid w:val="006C6EC7"/>
    <w:rsid w:val="0076778B"/>
    <w:rsid w:val="00813706"/>
    <w:rsid w:val="008305BB"/>
    <w:rsid w:val="00882CF6"/>
    <w:rsid w:val="008F2028"/>
    <w:rsid w:val="00990966"/>
    <w:rsid w:val="009A455A"/>
    <w:rsid w:val="00A54C10"/>
    <w:rsid w:val="00B40B26"/>
    <w:rsid w:val="00B66D63"/>
    <w:rsid w:val="00C02A20"/>
    <w:rsid w:val="00C80C05"/>
    <w:rsid w:val="00CC4907"/>
    <w:rsid w:val="00D6244A"/>
    <w:rsid w:val="00D63D63"/>
    <w:rsid w:val="00D9519F"/>
    <w:rsid w:val="00DE02CA"/>
    <w:rsid w:val="00F440B3"/>
    <w:rsid w:val="06F956CD"/>
    <w:rsid w:val="087F6BA3"/>
    <w:rsid w:val="19000A0E"/>
    <w:rsid w:val="1BE76D1D"/>
    <w:rsid w:val="20BD316F"/>
    <w:rsid w:val="2CB64714"/>
    <w:rsid w:val="321C4DC1"/>
    <w:rsid w:val="39A4508A"/>
    <w:rsid w:val="3A4F3CBD"/>
    <w:rsid w:val="78411105"/>
    <w:rsid w:val="790D2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2A15E"/>
  <w15:docId w15:val="{CC99D0F7-6C2E-4650-B5B3-2151C097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21</Pages>
  <Words>3422</Words>
  <Characters>20946</Characters>
  <Application>Microsoft Office Word</Application>
  <DocSecurity>0</DocSecurity>
  <Lines>343</Lines>
  <Paragraphs>31</Paragraphs>
  <ScaleCrop>false</ScaleCrop>
  <Company/>
  <LinksUpToDate>false</LinksUpToDate>
  <CharactersWithSpaces>24337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cui_r</dc:creator>
  <cp:lastModifiedBy>Xiaolu CUI</cp:lastModifiedBy>
  <cp:revision>17</cp:revision>
  <dcterms:created xsi:type="dcterms:W3CDTF">2025-11-08T10:44:00Z</dcterms:created>
  <dcterms:modified xsi:type="dcterms:W3CDTF">2026-01-31T04:17:00Z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eyJoZGlkIjoiODk0N2QxYTNhODJlMWRjNDFiMzk3MDQxZjA4MjA1NzgiLCJ1c2VySWQiOiI2ODk2MzAwNTMifQ==</vt:lpwstr>
  </property>
  <property fmtid="{D5CDD505-2E9C-101B-9397-08002B2CF9AE}" pid="4" name="ICV">
    <vt:lpwstr>7F8A0A9514584BFF843804021A410408_12</vt:lpwstr>
  </property>
</Properties>
</file>