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1256" w14:textId="3DF9DA1B" w:rsidR="00987255" w:rsidRPr="00987255" w:rsidRDefault="00987255" w:rsidP="00987255">
      <w:pPr>
        <w:spacing w:line="480" w:lineRule="auto"/>
        <w:jc w:val="both"/>
        <w:rPr>
          <w:rFonts w:ascii="Times New Roman" w:hAnsi="Times New Roman" w:cs="Times New Roman"/>
          <w:b/>
          <w:bCs/>
        </w:rPr>
      </w:pPr>
      <w:r w:rsidRPr="00987255">
        <w:rPr>
          <w:rFonts w:ascii="Times New Roman" w:hAnsi="Times New Roman" w:cs="Times New Roman"/>
          <w:b/>
          <w:bCs/>
        </w:rPr>
        <w:t xml:space="preserve">Supplementary methods. </w:t>
      </w:r>
    </w:p>
    <w:p w14:paraId="24DF21EB" w14:textId="77777777" w:rsidR="00987255" w:rsidRDefault="00987255" w:rsidP="00987255">
      <w:pPr>
        <w:spacing w:line="480" w:lineRule="auto"/>
        <w:jc w:val="both"/>
        <w:rPr>
          <w:rFonts w:ascii="Times New Roman" w:hAnsi="Times New Roman" w:cs="Times New Roman"/>
          <w:b/>
          <w:bCs/>
        </w:rPr>
      </w:pPr>
    </w:p>
    <w:p w14:paraId="6BE0C864" w14:textId="478FE324" w:rsidR="00EF647F" w:rsidRPr="00987255" w:rsidRDefault="00EF647F" w:rsidP="00EF647F">
      <w:pPr>
        <w:spacing w:line="480" w:lineRule="auto"/>
        <w:jc w:val="center"/>
        <w:rPr>
          <w:rFonts w:ascii="Times New Roman" w:hAnsi="Times New Roman" w:cs="Times New Roman"/>
          <w:b/>
          <w:bCs/>
        </w:rPr>
      </w:pPr>
      <w:r>
        <w:rPr>
          <w:rFonts w:ascii="Times New Roman" w:hAnsi="Times New Roman" w:cs="Times New Roman"/>
          <w:b/>
          <w:bCs/>
        </w:rPr>
        <w:t>Hemi-liver perfusion methods</w:t>
      </w:r>
    </w:p>
    <w:p w14:paraId="524F2DB8" w14:textId="633C8C4C" w:rsidR="00290B47" w:rsidRPr="00987255" w:rsidRDefault="00290B47" w:rsidP="00987255">
      <w:pPr>
        <w:spacing w:line="480" w:lineRule="auto"/>
        <w:jc w:val="both"/>
        <w:rPr>
          <w:rFonts w:ascii="Times New Roman" w:hAnsi="Times New Roman" w:cs="Times New Roman"/>
          <w:b/>
          <w:bCs/>
        </w:rPr>
      </w:pPr>
      <w:r w:rsidRPr="00987255">
        <w:rPr>
          <w:rFonts w:ascii="Times New Roman" w:hAnsi="Times New Roman" w:cs="Times New Roman"/>
          <w:b/>
          <w:bCs/>
        </w:rPr>
        <w:t>PBMC isolation</w:t>
      </w:r>
    </w:p>
    <w:p w14:paraId="4299CAA1" w14:textId="77777777" w:rsidR="00290B47" w:rsidRPr="00987255" w:rsidRDefault="00290B47" w:rsidP="00987255">
      <w:pPr>
        <w:spacing w:line="480" w:lineRule="auto"/>
        <w:jc w:val="both"/>
        <w:rPr>
          <w:rFonts w:ascii="Times New Roman" w:hAnsi="Times New Roman" w:cs="Times New Roman"/>
        </w:rPr>
      </w:pPr>
      <w:r w:rsidRPr="00987255">
        <w:rPr>
          <w:rFonts w:ascii="Times New Roman" w:hAnsi="Times New Roman" w:cs="Times New Roman"/>
        </w:rPr>
        <w:t xml:space="preserve">PBMCs were obtained from ABO-compatible whole-blood leukocyte cones (NHS Blood and Transfusion Service) using </w:t>
      </w:r>
      <w:proofErr w:type="spellStart"/>
      <w:r w:rsidRPr="00987255">
        <w:rPr>
          <w:rFonts w:ascii="Times New Roman" w:hAnsi="Times New Roman" w:cs="Times New Roman"/>
        </w:rPr>
        <w:t>SepMate</w:t>
      </w:r>
      <w:proofErr w:type="spellEnd"/>
      <w:r w:rsidRPr="00987255">
        <w:rPr>
          <w:rFonts w:ascii="Times New Roman" w:hAnsi="Times New Roman" w:cs="Times New Roman"/>
        </w:rPr>
        <w:t xml:space="preserve"> PBMC tubes (STEMCELL Technologies, UK), red cell lysis buffer (Qiagen, Germany) and DPBS wash. The PBMC pellet was stained with </w:t>
      </w:r>
      <w:proofErr w:type="spellStart"/>
      <w:r w:rsidRPr="00987255">
        <w:rPr>
          <w:rFonts w:ascii="Times New Roman" w:hAnsi="Times New Roman" w:cs="Times New Roman"/>
        </w:rPr>
        <w:t>CellTrace</w:t>
      </w:r>
      <w:proofErr w:type="spellEnd"/>
      <w:r w:rsidRPr="00987255">
        <w:rPr>
          <w:rFonts w:ascii="Times New Roman" w:hAnsi="Times New Roman" w:cs="Times New Roman"/>
        </w:rPr>
        <w:t xml:space="preserve">™ CFSE (Invitrogen, UK) before wash and resuspension. </w:t>
      </w:r>
    </w:p>
    <w:p w14:paraId="20FF53B6" w14:textId="77777777" w:rsidR="00290B47" w:rsidRPr="00987255" w:rsidRDefault="00290B47" w:rsidP="00987255">
      <w:pPr>
        <w:spacing w:line="480" w:lineRule="auto"/>
        <w:jc w:val="both"/>
        <w:rPr>
          <w:rFonts w:ascii="Times New Roman" w:hAnsi="Times New Roman" w:cs="Times New Roman"/>
        </w:rPr>
      </w:pPr>
      <w:r w:rsidRPr="00987255">
        <w:rPr>
          <w:rFonts w:ascii="Times New Roman" w:hAnsi="Times New Roman" w:cs="Times New Roman"/>
        </w:rPr>
        <w:t xml:space="preserve"> </w:t>
      </w:r>
    </w:p>
    <w:p w14:paraId="7E3B430E" w14:textId="77777777" w:rsidR="00290B47" w:rsidRPr="00987255" w:rsidRDefault="00290B47" w:rsidP="00987255">
      <w:pPr>
        <w:spacing w:line="480" w:lineRule="auto"/>
        <w:jc w:val="both"/>
        <w:rPr>
          <w:rFonts w:ascii="Times New Roman" w:hAnsi="Times New Roman" w:cs="Times New Roman"/>
          <w:b/>
          <w:bCs/>
        </w:rPr>
      </w:pPr>
      <w:r w:rsidRPr="00987255">
        <w:rPr>
          <w:rFonts w:ascii="Times New Roman" w:hAnsi="Times New Roman" w:cs="Times New Roman"/>
          <w:b/>
          <w:bCs/>
        </w:rPr>
        <w:t>FACS analysis</w:t>
      </w:r>
    </w:p>
    <w:p w14:paraId="42887D67" w14:textId="77777777" w:rsidR="00290B47" w:rsidRPr="00987255" w:rsidRDefault="00290B47" w:rsidP="00987255">
      <w:pPr>
        <w:spacing w:line="480" w:lineRule="auto"/>
        <w:jc w:val="both"/>
        <w:rPr>
          <w:rFonts w:ascii="Times New Roman" w:hAnsi="Times New Roman" w:cs="Times New Roman"/>
        </w:rPr>
      </w:pPr>
      <w:r w:rsidRPr="00987255">
        <w:rPr>
          <w:rFonts w:ascii="Times New Roman" w:hAnsi="Times New Roman" w:cs="Times New Roman"/>
        </w:rPr>
        <w:t xml:space="preserve">Liver and tumour excisional biopsies were dissociated (Tumour Dissociation Kit, </w:t>
      </w:r>
      <w:proofErr w:type="spellStart"/>
      <w:r w:rsidRPr="00987255">
        <w:rPr>
          <w:rFonts w:ascii="Times New Roman" w:hAnsi="Times New Roman" w:cs="Times New Roman"/>
        </w:rPr>
        <w:t>Miltenyi</w:t>
      </w:r>
      <w:proofErr w:type="spellEnd"/>
      <w:r w:rsidRPr="00987255">
        <w:rPr>
          <w:rFonts w:ascii="Times New Roman" w:hAnsi="Times New Roman" w:cs="Times New Roman"/>
        </w:rPr>
        <w:t xml:space="preserve"> Biotech, UK) and the cell suspension strained (70µM). Whole blood samples were centrifuged and treated with red cell</w:t>
      </w:r>
      <w:r w:rsidRPr="00987255">
        <w:rPr>
          <w:rFonts w:ascii="Times New Roman" w:hAnsi="Times New Roman" w:cs="Times New Roman"/>
        </w:rPr>
        <w:t xml:space="preserve"> </w:t>
      </w:r>
      <w:r w:rsidRPr="00987255">
        <w:rPr>
          <w:rFonts w:ascii="Times New Roman" w:hAnsi="Times New Roman" w:cs="Times New Roman"/>
        </w:rPr>
        <w:t>lysis buffer. Cells were stained with Live/Dead Fixable Near-IR dead cell stain (</w:t>
      </w:r>
      <w:proofErr w:type="spellStart"/>
      <w:r w:rsidRPr="00987255">
        <w:rPr>
          <w:rFonts w:ascii="Times New Roman" w:hAnsi="Times New Roman" w:cs="Times New Roman"/>
        </w:rPr>
        <w:t>Thermofisher</w:t>
      </w:r>
      <w:proofErr w:type="spellEnd"/>
      <w:r w:rsidRPr="00987255">
        <w:rPr>
          <w:rFonts w:ascii="Times New Roman" w:hAnsi="Times New Roman" w:cs="Times New Roman"/>
        </w:rPr>
        <w:t xml:space="preserve"> Scientific, UK) and fixed with 10% formalin (Merck). Antibodies used for cell-type detection are shown in table 2. Flow data was acquired</w:t>
      </w:r>
      <w:r w:rsidRPr="00987255">
        <w:rPr>
          <w:rFonts w:ascii="Times New Roman" w:hAnsi="Times New Roman" w:cs="Times New Roman"/>
        </w:rPr>
        <w:t xml:space="preserve"> </w:t>
      </w:r>
      <w:r w:rsidRPr="00987255">
        <w:rPr>
          <w:rFonts w:ascii="Times New Roman" w:hAnsi="Times New Roman" w:cs="Times New Roman"/>
        </w:rPr>
        <w:t xml:space="preserve">on a </w:t>
      </w:r>
      <w:proofErr w:type="spellStart"/>
      <w:r w:rsidRPr="00987255">
        <w:rPr>
          <w:rFonts w:ascii="Times New Roman" w:hAnsi="Times New Roman" w:cs="Times New Roman"/>
        </w:rPr>
        <w:t>Cytoflex</w:t>
      </w:r>
      <w:proofErr w:type="spellEnd"/>
      <w:r w:rsidRPr="00987255">
        <w:rPr>
          <w:rFonts w:ascii="Times New Roman" w:hAnsi="Times New Roman" w:cs="Times New Roman"/>
        </w:rPr>
        <w:t xml:space="preserve"> Flow Cytometer (Beckman Coulter, UK) and analysed using </w:t>
      </w:r>
      <w:proofErr w:type="spellStart"/>
      <w:r w:rsidRPr="00987255">
        <w:rPr>
          <w:rFonts w:ascii="Times New Roman" w:hAnsi="Times New Roman" w:cs="Times New Roman"/>
        </w:rPr>
        <w:t>FlowJo</w:t>
      </w:r>
      <w:proofErr w:type="spellEnd"/>
      <w:r w:rsidRPr="00987255">
        <w:rPr>
          <w:rFonts w:ascii="Times New Roman" w:hAnsi="Times New Roman" w:cs="Times New Roman"/>
        </w:rPr>
        <w:t xml:space="preserve"> v10.10.0 (BD Biosciences).</w:t>
      </w:r>
    </w:p>
    <w:p w14:paraId="093FA1ED" w14:textId="77777777" w:rsidR="00290B47" w:rsidRDefault="00290B47" w:rsidP="00987255">
      <w:pPr>
        <w:shd w:val="clear" w:color="auto" w:fill="FFFFFF"/>
        <w:spacing w:line="480" w:lineRule="auto"/>
        <w:jc w:val="both"/>
        <w:rPr>
          <w:rFonts w:ascii="Times New Roman" w:eastAsia="Times New Roman" w:hAnsi="Times New Roman" w:cs="Times New Roman"/>
          <w:b/>
          <w:bCs/>
          <w:color w:val="000000"/>
          <w:kern w:val="0"/>
          <w:lang w:eastAsia="en-GB"/>
          <w14:ligatures w14:val="none"/>
        </w:rPr>
      </w:pPr>
    </w:p>
    <w:p w14:paraId="5225C8E2" w14:textId="062403D2" w:rsidR="00EF647F" w:rsidRDefault="00EF647F" w:rsidP="00EF647F">
      <w:pPr>
        <w:shd w:val="clear" w:color="auto" w:fill="FFFFFF"/>
        <w:spacing w:line="480" w:lineRule="auto"/>
        <w:jc w:val="center"/>
        <w:rPr>
          <w:rFonts w:ascii="Times New Roman" w:eastAsia="Times New Roman" w:hAnsi="Times New Roman" w:cs="Times New Roman"/>
          <w:b/>
          <w:bCs/>
          <w:color w:val="000000"/>
          <w:kern w:val="0"/>
          <w:lang w:eastAsia="en-GB"/>
          <w14:ligatures w14:val="none"/>
        </w:rPr>
      </w:pPr>
      <w:r>
        <w:rPr>
          <w:rFonts w:ascii="Times New Roman" w:eastAsia="Times New Roman" w:hAnsi="Times New Roman" w:cs="Times New Roman"/>
          <w:b/>
          <w:bCs/>
          <w:color w:val="000000"/>
          <w:kern w:val="0"/>
          <w:lang w:eastAsia="en-GB"/>
          <w14:ligatures w14:val="none"/>
        </w:rPr>
        <w:t>Multiplexed IF Analysis</w:t>
      </w:r>
    </w:p>
    <w:p w14:paraId="3915231D" w14:textId="5F427492" w:rsidR="00ED27C0" w:rsidRPr="00987255" w:rsidRDefault="00ED27C0" w:rsidP="00987255">
      <w:pPr>
        <w:shd w:val="clear" w:color="auto" w:fill="FFFFFF"/>
        <w:spacing w:line="480" w:lineRule="auto"/>
        <w:jc w:val="both"/>
        <w:rPr>
          <w:rFonts w:ascii="Times New Roman" w:eastAsia="Times New Roman" w:hAnsi="Times New Roman" w:cs="Times New Roman"/>
          <w:b/>
          <w:bCs/>
          <w:color w:val="000000"/>
          <w:kern w:val="0"/>
          <w:lang w:eastAsia="en-GB"/>
          <w14:ligatures w14:val="none"/>
        </w:rPr>
      </w:pPr>
      <w:proofErr w:type="spellStart"/>
      <w:r>
        <w:rPr>
          <w:rFonts w:ascii="Times New Roman" w:eastAsia="Times New Roman" w:hAnsi="Times New Roman" w:cs="Times New Roman"/>
          <w:b/>
          <w:bCs/>
          <w:color w:val="000000"/>
          <w:kern w:val="0"/>
          <w:lang w:eastAsia="en-GB"/>
          <w14:ligatures w14:val="none"/>
        </w:rPr>
        <w:t>mIF</w:t>
      </w:r>
      <w:proofErr w:type="spellEnd"/>
      <w:r>
        <w:rPr>
          <w:rFonts w:ascii="Times New Roman" w:eastAsia="Times New Roman" w:hAnsi="Times New Roman" w:cs="Times New Roman"/>
          <w:b/>
          <w:bCs/>
          <w:color w:val="000000"/>
          <w:kern w:val="0"/>
          <w:lang w:eastAsia="en-GB"/>
          <w14:ligatures w14:val="none"/>
        </w:rPr>
        <w:t xml:space="preserve"> staining protocol</w:t>
      </w:r>
    </w:p>
    <w:p w14:paraId="5C384CDD" w14:textId="4B28D00B" w:rsidR="00E75F43" w:rsidRDefault="00987255" w:rsidP="00987255">
      <w:pPr>
        <w:spacing w:line="480" w:lineRule="auto"/>
        <w:jc w:val="both"/>
        <w:rPr>
          <w:rFonts w:ascii="Times New Roman" w:hAnsi="Times New Roman" w:cs="Times New Roman"/>
        </w:rPr>
      </w:pPr>
      <w:r w:rsidRPr="00987255">
        <w:rPr>
          <w:rFonts w:ascii="Times New Roman" w:hAnsi="Times New Roman" w:cs="Times New Roman"/>
        </w:rPr>
        <w:t xml:space="preserve">Following deparaffinization and two-step antigen retrieval (citrate buffer pH 6.0 then Tris-EDTA buffer pH 9.0), slides were permeabilized with 0.05% Triton X-100, then blocked with 1% BSA, 1% normal goat serum and 1% normal donkey serum in PBS containing 0.05% Tween-20. Slides were initially stained with DAPI and imaged across all fluorescence channels to capture tissue-specific autofluorescence. In the first staining round, slides were incubated with three antibodies (table 2) and imaged. All rounds employed directly conjugated primary </w:t>
      </w:r>
      <w:r w:rsidRPr="00987255">
        <w:rPr>
          <w:rFonts w:ascii="Times New Roman" w:hAnsi="Times New Roman" w:cs="Times New Roman"/>
        </w:rPr>
        <w:lastRenderedPageBreak/>
        <w:t xml:space="preserve">antibodies targeting up to three markers per cycle, with DAPI included in each round. Whole-slide images were acquired using a motorized widefield fluorescence microscope equipped with a 20×/0.75 NA objective. Fluorescence was collected sequentially in DAPI (~460 nm), FITC (~520 nm), Cy3 (~570 nm) and Cy5 (~670 nm) channels. Exposure times were optimized using single-stained controls and held constant across all samples. Between cycles, fluorophores were inactivated using three consecutive 15-minute incubations in fresh alkaline hydrogen peroxide buffer (3% H₂O₂ in 20 mM </w:t>
      </w:r>
      <w:proofErr w:type="spellStart"/>
      <w:r w:rsidRPr="00987255">
        <w:rPr>
          <w:rFonts w:ascii="Times New Roman" w:hAnsi="Times New Roman" w:cs="Times New Roman"/>
        </w:rPr>
        <w:t>NaHCO</w:t>
      </w:r>
      <w:proofErr w:type="spellEnd"/>
      <w:r w:rsidRPr="00987255">
        <w:rPr>
          <w:rFonts w:ascii="Times New Roman" w:hAnsi="Times New Roman" w:cs="Times New Roman"/>
        </w:rPr>
        <w:t>₃, pH 11.2), protected from light. Slides were re-imaged to confirm complete signal removal and capture new autofluorescence profiles, then de-</w:t>
      </w:r>
      <w:proofErr w:type="spellStart"/>
      <w:r w:rsidRPr="00987255">
        <w:rPr>
          <w:rFonts w:ascii="Times New Roman" w:hAnsi="Times New Roman" w:cs="Times New Roman"/>
        </w:rPr>
        <w:t>coverslipped</w:t>
      </w:r>
      <w:proofErr w:type="spellEnd"/>
      <w:r w:rsidRPr="00987255">
        <w:rPr>
          <w:rFonts w:ascii="Times New Roman" w:hAnsi="Times New Roman" w:cs="Times New Roman"/>
        </w:rPr>
        <w:t xml:space="preserve"> for the next staining cycle. This stain–image–bleach sequence was repeated until the full panel was completed.</w:t>
      </w:r>
    </w:p>
    <w:p w14:paraId="6623A467" w14:textId="77777777" w:rsidR="00987255" w:rsidRDefault="00987255" w:rsidP="00987255">
      <w:pPr>
        <w:spacing w:line="480" w:lineRule="auto"/>
        <w:jc w:val="both"/>
        <w:rPr>
          <w:rFonts w:ascii="Times New Roman" w:hAnsi="Times New Roman" w:cs="Times New Roman"/>
        </w:rPr>
      </w:pPr>
    </w:p>
    <w:p w14:paraId="7C508844" w14:textId="77777777" w:rsidR="00ED27C0" w:rsidRPr="001E1EE9" w:rsidRDefault="00ED27C0" w:rsidP="00ED27C0">
      <w:pPr>
        <w:spacing w:line="480" w:lineRule="auto"/>
        <w:jc w:val="both"/>
        <w:rPr>
          <w:rFonts w:ascii="Times New Roman" w:hAnsi="Times New Roman" w:cs="Times New Roman"/>
          <w:b/>
          <w:bCs/>
        </w:rPr>
      </w:pPr>
      <w:r w:rsidRPr="001E1EE9">
        <w:rPr>
          <w:rFonts w:ascii="Times New Roman" w:hAnsi="Times New Roman" w:cs="Times New Roman"/>
          <w:b/>
          <w:bCs/>
        </w:rPr>
        <w:t>Quantification of CD3 counts in portal triad regions</w:t>
      </w:r>
    </w:p>
    <w:p w14:paraId="3888A0A0" w14:textId="77777777" w:rsidR="00ED27C0" w:rsidRDefault="00ED27C0" w:rsidP="00ED27C0">
      <w:pPr>
        <w:spacing w:line="480" w:lineRule="auto"/>
        <w:jc w:val="both"/>
        <w:rPr>
          <w:rFonts w:ascii="Times New Roman" w:hAnsi="Times New Roman" w:cs="Times New Roman"/>
        </w:rPr>
      </w:pPr>
      <w:r w:rsidRPr="001E1EE9">
        <w:rPr>
          <w:rFonts w:ascii="Times New Roman" w:hAnsi="Times New Roman" w:cs="Times New Roman"/>
        </w:rPr>
        <w:t xml:space="preserve">Image segmentation and analysis were performed in </w:t>
      </w:r>
      <w:proofErr w:type="spellStart"/>
      <w:r w:rsidRPr="001E1EE9">
        <w:rPr>
          <w:rFonts w:ascii="Times New Roman" w:hAnsi="Times New Roman" w:cs="Times New Roman"/>
        </w:rPr>
        <w:t>QuPath</w:t>
      </w:r>
      <w:proofErr w:type="spellEnd"/>
      <w:r w:rsidRPr="001E1EE9">
        <w:rPr>
          <w:rFonts w:ascii="Times New Roman" w:hAnsi="Times New Roman" w:cs="Times New Roman"/>
        </w:rPr>
        <w:t xml:space="preserve">. Cell-DIVE images were limited to markers of the portal triad including Col4a1, CD31 and CK19 enabling positive identification of portal triads in the background and peri-tumoural liver. To define the portal triad as a separate ROI, we triangulated the most distant visible triad structures (bile duct, hepatic artery or portal vein). Example of resultant ROIs are demonstrated in Supplementary Figure 7C. CD3-positive cell count was normalised against total cell count within each corresponding ROI and presented as a percentage. </w:t>
      </w:r>
    </w:p>
    <w:p w14:paraId="0BF4D180" w14:textId="77777777" w:rsidR="00C076F8" w:rsidRDefault="00C076F8" w:rsidP="00ED27C0">
      <w:pPr>
        <w:spacing w:line="480" w:lineRule="auto"/>
        <w:jc w:val="both"/>
        <w:rPr>
          <w:rFonts w:ascii="Times New Roman" w:hAnsi="Times New Roman" w:cs="Times New Roman"/>
        </w:rPr>
      </w:pPr>
    </w:p>
    <w:p w14:paraId="45FDB6C7" w14:textId="23B81E31" w:rsidR="00EF647F" w:rsidRPr="00EF647F" w:rsidRDefault="00EF647F" w:rsidP="00EF647F">
      <w:pPr>
        <w:spacing w:line="480" w:lineRule="auto"/>
        <w:jc w:val="center"/>
        <w:rPr>
          <w:rFonts w:ascii="Times New Roman" w:hAnsi="Times New Roman" w:cs="Times New Roman"/>
          <w:b/>
          <w:bCs/>
        </w:rPr>
      </w:pPr>
      <w:r w:rsidRPr="00EF647F">
        <w:rPr>
          <w:rFonts w:ascii="Times New Roman" w:hAnsi="Times New Roman" w:cs="Times New Roman"/>
          <w:b/>
          <w:bCs/>
        </w:rPr>
        <w:t>Spatial Transcriptomics Analysis</w:t>
      </w:r>
    </w:p>
    <w:p w14:paraId="57ADF41C" w14:textId="442D2C3D" w:rsidR="00C076F8" w:rsidRPr="001E1EE9" w:rsidRDefault="00C076F8" w:rsidP="00C076F8">
      <w:pPr>
        <w:spacing w:line="480" w:lineRule="auto"/>
        <w:jc w:val="both"/>
        <w:rPr>
          <w:rFonts w:ascii="Times New Roman" w:eastAsia="Times New Roman" w:hAnsi="Times New Roman" w:cs="Times New Roman"/>
          <w:b/>
          <w:bCs/>
          <w:kern w:val="0"/>
          <w:lang w:eastAsia="en-GB"/>
          <w14:ligatures w14:val="none"/>
        </w:rPr>
      </w:pPr>
      <w:proofErr w:type="spellStart"/>
      <w:r w:rsidRPr="001E1EE9">
        <w:rPr>
          <w:rFonts w:ascii="Times New Roman" w:eastAsia="Times New Roman" w:hAnsi="Times New Roman" w:cs="Times New Roman"/>
          <w:b/>
          <w:bCs/>
          <w:kern w:val="0"/>
          <w:lang w:eastAsia="en-GB"/>
          <w14:ligatures w14:val="none"/>
        </w:rPr>
        <w:t>CosMx</w:t>
      </w:r>
      <w:proofErr w:type="spellEnd"/>
      <w:r w:rsidRPr="001E1EE9">
        <w:rPr>
          <w:rFonts w:ascii="Times New Roman" w:eastAsia="Times New Roman" w:hAnsi="Times New Roman" w:cs="Times New Roman"/>
          <w:b/>
          <w:bCs/>
          <w:kern w:val="0"/>
          <w:lang w:eastAsia="en-GB"/>
          <w14:ligatures w14:val="none"/>
        </w:rPr>
        <w:t xml:space="preserve"> </w:t>
      </w:r>
      <w:r w:rsidR="009005CE">
        <w:rPr>
          <w:rFonts w:ascii="Times New Roman" w:eastAsia="Times New Roman" w:hAnsi="Times New Roman" w:cs="Times New Roman"/>
          <w:b/>
          <w:bCs/>
          <w:kern w:val="0"/>
          <w:lang w:eastAsia="en-GB"/>
          <w14:ligatures w14:val="none"/>
        </w:rPr>
        <w:t>tissue staining protocol</w:t>
      </w:r>
    </w:p>
    <w:p w14:paraId="477AC298" w14:textId="77777777" w:rsidR="00C076F8" w:rsidRPr="001E1EE9" w:rsidRDefault="00C076F8" w:rsidP="00C076F8">
      <w:pPr>
        <w:spacing w:line="480" w:lineRule="auto"/>
        <w:jc w:val="both"/>
        <w:rPr>
          <w:rFonts w:ascii="Times New Roman" w:eastAsia="Times New Roman" w:hAnsi="Times New Roman" w:cs="Times New Roman"/>
          <w:kern w:val="0"/>
          <w:lang w:eastAsia="en-GB"/>
          <w14:ligatures w14:val="none"/>
        </w:rPr>
      </w:pPr>
      <w:r w:rsidRPr="001E1EE9">
        <w:rPr>
          <w:rFonts w:ascii="Times New Roman" w:eastAsia="Times New Roman" w:hAnsi="Times New Roman" w:cs="Times New Roman"/>
          <w:kern w:val="0"/>
          <w:lang w:eastAsia="en-GB"/>
          <w14:ligatures w14:val="none"/>
        </w:rPr>
        <w:t xml:space="preserve">Tissues were prepared and processed on the </w:t>
      </w:r>
      <w:proofErr w:type="spellStart"/>
      <w:r w:rsidRPr="001E1EE9">
        <w:rPr>
          <w:rFonts w:ascii="Times New Roman" w:eastAsia="Times New Roman" w:hAnsi="Times New Roman" w:cs="Times New Roman"/>
          <w:kern w:val="0"/>
          <w:lang w:eastAsia="en-GB"/>
          <w14:ligatures w14:val="none"/>
        </w:rPr>
        <w:t>CosMx</w:t>
      </w:r>
      <w:proofErr w:type="spellEnd"/>
      <w:r w:rsidRPr="001E1EE9">
        <w:rPr>
          <w:rFonts w:ascii="Times New Roman" w:eastAsia="Times New Roman" w:hAnsi="Times New Roman" w:cs="Times New Roman"/>
          <w:kern w:val="0"/>
          <w:lang w:eastAsia="en-GB"/>
          <w14:ligatures w14:val="none"/>
        </w:rPr>
        <w:t xml:space="preserve"> Spatial Molecular Imager (Bruker Spatial Biology, USA) as per the </w:t>
      </w:r>
      <w:proofErr w:type="spellStart"/>
      <w:r w:rsidRPr="001E1EE9">
        <w:rPr>
          <w:rFonts w:ascii="Times New Roman" w:eastAsia="Times New Roman" w:hAnsi="Times New Roman" w:cs="Times New Roman"/>
          <w:kern w:val="0"/>
          <w:lang w:eastAsia="en-GB"/>
          <w14:ligatures w14:val="none"/>
        </w:rPr>
        <w:t>CosMx</w:t>
      </w:r>
      <w:proofErr w:type="spellEnd"/>
      <w:r w:rsidRPr="001E1EE9">
        <w:rPr>
          <w:rFonts w:ascii="Times New Roman" w:eastAsia="Times New Roman" w:hAnsi="Times New Roman" w:cs="Times New Roman"/>
          <w:kern w:val="0"/>
          <w:lang w:eastAsia="en-GB"/>
          <w14:ligatures w14:val="none"/>
        </w:rPr>
        <w:t xml:space="preserve"> SMI Manual Slide Preparation for RNA Assays and </w:t>
      </w:r>
      <w:proofErr w:type="spellStart"/>
      <w:r w:rsidRPr="001E1EE9">
        <w:rPr>
          <w:rFonts w:ascii="Times New Roman" w:eastAsia="Times New Roman" w:hAnsi="Times New Roman" w:cs="Times New Roman"/>
          <w:kern w:val="0"/>
          <w:lang w:eastAsia="en-GB"/>
          <w14:ligatures w14:val="none"/>
        </w:rPr>
        <w:t>CosMx</w:t>
      </w:r>
      <w:proofErr w:type="spellEnd"/>
      <w:r w:rsidRPr="001E1EE9">
        <w:rPr>
          <w:rFonts w:ascii="Times New Roman" w:eastAsia="Times New Roman" w:hAnsi="Times New Roman" w:cs="Times New Roman"/>
          <w:kern w:val="0"/>
          <w:lang w:eastAsia="en-GB"/>
          <w14:ligatures w14:val="none"/>
        </w:rPr>
        <w:t xml:space="preserve"> SMI Instrument User Manual. 5 </w:t>
      </w:r>
      <w:proofErr w:type="spellStart"/>
      <w:r w:rsidRPr="001E1EE9">
        <w:rPr>
          <w:rFonts w:ascii="Times New Roman" w:eastAsia="Times New Roman" w:hAnsi="Times New Roman" w:cs="Times New Roman"/>
          <w:kern w:val="0"/>
          <w:lang w:eastAsia="en-GB"/>
          <w14:ligatures w14:val="none"/>
        </w:rPr>
        <w:t>μm</w:t>
      </w:r>
      <w:proofErr w:type="spellEnd"/>
      <w:r w:rsidRPr="001E1EE9">
        <w:rPr>
          <w:rFonts w:ascii="Times New Roman" w:eastAsia="Times New Roman" w:hAnsi="Times New Roman" w:cs="Times New Roman"/>
          <w:kern w:val="0"/>
          <w:lang w:eastAsia="en-GB"/>
          <w14:ligatures w14:val="none"/>
        </w:rPr>
        <w:t xml:space="preserve"> thin FFPE sections were mounted to Leica Bond Plus </w:t>
      </w:r>
      <w:r w:rsidRPr="001E1EE9">
        <w:rPr>
          <w:rFonts w:ascii="Times New Roman" w:eastAsia="Times New Roman" w:hAnsi="Times New Roman" w:cs="Times New Roman"/>
          <w:kern w:val="0"/>
          <w:lang w:eastAsia="en-GB"/>
          <w14:ligatures w14:val="none"/>
        </w:rPr>
        <w:lastRenderedPageBreak/>
        <w:t xml:space="preserve">slides (Leica Biosystems, Richmond, USA) within 2 weeks of imaging and baked overnight at 60°C to increase tissue adherence. After baking, the slides were dewaxed and antigen retrieval carried out using Target Retrieval Solution (Bruker Spatial Biology, USA). Tissues were permeabilised using 3 </w:t>
      </w:r>
      <w:proofErr w:type="spellStart"/>
      <w:r w:rsidRPr="001E1EE9">
        <w:rPr>
          <w:rFonts w:ascii="Times New Roman" w:eastAsia="Times New Roman" w:hAnsi="Times New Roman" w:cs="Times New Roman"/>
          <w:kern w:val="0"/>
          <w:lang w:eastAsia="en-GB"/>
          <w14:ligatures w14:val="none"/>
        </w:rPr>
        <w:t>μg</w:t>
      </w:r>
      <w:proofErr w:type="spellEnd"/>
      <w:r w:rsidRPr="001E1EE9">
        <w:rPr>
          <w:rFonts w:ascii="Times New Roman" w:eastAsia="Times New Roman" w:hAnsi="Times New Roman" w:cs="Times New Roman"/>
          <w:kern w:val="0"/>
          <w:lang w:eastAsia="en-GB"/>
          <w14:ligatures w14:val="none"/>
        </w:rPr>
        <w:t xml:space="preserve">/mL Proteinase K and fiducials applied, followed by post-fixation in 10% neutral buffered formalin (NBF). Tissues were washed with NBF stop buffer and then treated with fresh acetate solution and the slides hybridised with </w:t>
      </w:r>
      <w:proofErr w:type="spellStart"/>
      <w:r w:rsidRPr="001E1EE9">
        <w:rPr>
          <w:rFonts w:ascii="Times New Roman" w:eastAsia="Times New Roman" w:hAnsi="Times New Roman" w:cs="Times New Roman"/>
          <w:kern w:val="0"/>
          <w:lang w:eastAsia="en-GB"/>
          <w14:ligatures w14:val="none"/>
        </w:rPr>
        <w:t>CosMx</w:t>
      </w:r>
      <w:proofErr w:type="spellEnd"/>
      <w:r w:rsidRPr="001E1EE9">
        <w:rPr>
          <w:rFonts w:ascii="Times New Roman" w:eastAsia="Times New Roman" w:hAnsi="Times New Roman" w:cs="Times New Roman"/>
          <w:kern w:val="0"/>
          <w:lang w:eastAsia="en-GB"/>
          <w14:ligatures w14:val="none"/>
        </w:rPr>
        <w:t xml:space="preserve"> Human 6K probe mix and incubated overnight</w:t>
      </w:r>
      <w:r w:rsidRPr="001E1EE9">
        <w:rPr>
          <w:rFonts w:ascii="Times New Roman" w:eastAsia="Times New Roman" w:hAnsi="Times New Roman" w:cs="Times New Roman"/>
          <w:kern w:val="0"/>
          <w:lang w:eastAsia="en-GB"/>
          <w14:ligatures w14:val="none"/>
        </w:rPr>
        <w:fldChar w:fldCharType="begin"/>
      </w:r>
      <w:r w:rsidRPr="001E1EE9">
        <w:rPr>
          <w:rFonts w:ascii="Times New Roman" w:eastAsia="Times New Roman" w:hAnsi="Times New Roman" w:cs="Times New Roman"/>
          <w:kern w:val="0"/>
          <w:lang w:eastAsia="en-GB"/>
          <w14:ligatures w14:val="none"/>
        </w:rPr>
        <w:instrText xml:space="preserve"> ADDIN ZOTERO_ITEM CSL_CITATION {"citationID":"FofIIJk3","properties":{"formattedCitation":"\\super 60\\nosupersub{}","plainCitation":"60","noteIndex":0},"citationItems":[{"id":4142,"uris":["http://zotero.org/users/270347/items/PDYRXC7G"],"itemData":{"id":4142,"type":"article-journal","abstract":"Resolving the spatial distribution of RNA and protein in tissues at subcellular resolution is a challenge in the field of spatial biology. We describe spatial molecular imaging, a system that measures RNAs and proteins in intact biological samples at subcellular resolution by performing multiple cycles of nucleic acid hybridization of fluorescent molecular barcodes. We demonstrate that spatial molecular imaging has high sensitivity (one or two copies per cell) and very low error rate (0.0092 false calls per cell) and background (~0.04 counts per cell). The imaging system generates three-dimensional, super-resolution localization of analytes at ~2 million cells per sample. Cell segmentation is morphology based using antibodies, compatible with formalin-fixed, paraffin-embedded samples. We measured multiomic data (980 RNAs and 108 proteins) at subcellular resolution in formalin-fixed, paraffin-embedded tissues (nonsmall cell lung and breast cancer) and identified &gt;18 distinct cell types, ten unique tumor microenvironments and 100 pairwise ligand–receptor interactions. Data on &gt;800,000 single cells and ~260 million transcripts can be accessed at http://nanostring.com/CosMx-dataset.","container-title":"Nature Biotechnology","DOI":"10.1038/s41587-022-01483-z","ISSN":"1546-1696","issue":"12","journalAbbreviation":"Nat Biotechnol","language":"en","license":"2022 The Author(s), under exclusive licence to Springer Nature America, Inc.","page":"1794-1806","publisher":"Nature Publishing Group","source":"www.nature.com","title":"High-plex imaging of RNA and proteins at subcellular resolution in fixed tissue by spatial molecular imaging","volume":"40","author":[{"family":"He","given":"Shanshan"},{"family":"Bhatt","given":"Ruchir"},{"family":"Brown","given":"Carl"},{"family":"Brown","given":"Emily A."},{"family":"Buhr","given":"Derek L."},{"family":"Chantranuvatana","given":"Kan"},{"family":"Danaher","given":"Patrick"},{"family":"Dunaway","given":"Dwayne"},{"family":"Garrison","given":"Ryan G."},{"family":"Geiss","given":"Gary"},{"family":"Gregory","given":"Mark T."},{"family":"Hoang","given":"Margaret L."},{"family":"Khafizov","given":"Rustem"},{"family":"Killingbeck","given":"Emily E."},{"family":"Kim","given":"Dae"},{"family":"Kim","given":"Tae Kyung"},{"family":"Kim","given":"Youngmi"},{"family":"Klock","given":"Andrew"},{"family":"Korukonda","given":"Mithra"},{"family":"Kutchma","given":"Alecksandr"},{"family":"Lewis","given":"Zachary R."},{"family":"Liang","given":"Yan"},{"family":"Nelson","given":"Jeffrey S."},{"family":"Ong","given":"Giang T."},{"family":"Perillo","given":"Evan P."},{"family":"Phan","given":"Joseph C."},{"family":"Phan-Everson","given":"Tien"},{"family":"Piazza","given":"Erin"},{"family":"Rane","given":"Tushar"},{"family":"Reitz","given":"Zachary"},{"family":"Rhodes","given":"Michael"},{"family":"Rosenbloom","given":"Alyssa"},{"family":"Ross","given":"David"},{"family":"Sato","given":"Hiromi"},{"family":"Wardhani","given":"Aster W."},{"family":"Williams-Wietzikoski","given":"Corey A."},{"family":"Wu","given":"Lidan"},{"family":"Beechem","given":"Joseph M."}],"issued":{"date-parts":[["2022",12]]}}}],"schema":"https://github.com/citation-style-language/schema/raw/master/csl-citation.json"} </w:instrText>
      </w:r>
      <w:r w:rsidRPr="001E1EE9">
        <w:rPr>
          <w:rFonts w:ascii="Times New Roman" w:eastAsia="Times New Roman" w:hAnsi="Times New Roman" w:cs="Times New Roman"/>
          <w:kern w:val="0"/>
          <w:lang w:eastAsia="en-GB"/>
          <w14:ligatures w14:val="none"/>
        </w:rPr>
        <w:fldChar w:fldCharType="separate"/>
      </w:r>
      <w:r w:rsidRPr="001E1EE9">
        <w:rPr>
          <w:rFonts w:ascii="Times New Roman" w:hAnsi="Times New Roman" w:cs="Times New Roman"/>
          <w:kern w:val="0"/>
          <w:vertAlign w:val="superscript"/>
        </w:rPr>
        <w:t>60</w:t>
      </w:r>
      <w:r w:rsidRPr="001E1EE9">
        <w:rPr>
          <w:rFonts w:ascii="Times New Roman" w:eastAsia="Times New Roman" w:hAnsi="Times New Roman" w:cs="Times New Roman"/>
          <w:kern w:val="0"/>
          <w:lang w:eastAsia="en-GB"/>
          <w14:ligatures w14:val="none"/>
        </w:rPr>
        <w:fldChar w:fldCharType="end"/>
      </w:r>
      <w:r w:rsidRPr="001E1EE9">
        <w:rPr>
          <w:rFonts w:ascii="Times New Roman" w:eastAsia="Times New Roman" w:hAnsi="Times New Roman" w:cs="Times New Roman"/>
          <w:kern w:val="0"/>
          <w:lang w:eastAsia="en-GB"/>
          <w14:ligatures w14:val="none"/>
        </w:rPr>
        <w:t xml:space="preserve">. </w:t>
      </w:r>
    </w:p>
    <w:p w14:paraId="4B8814B0" w14:textId="77777777" w:rsidR="00C076F8" w:rsidRPr="001E1EE9" w:rsidRDefault="00C076F8" w:rsidP="00C076F8">
      <w:pPr>
        <w:spacing w:line="480" w:lineRule="auto"/>
        <w:jc w:val="both"/>
        <w:rPr>
          <w:rFonts w:ascii="Times New Roman" w:eastAsia="Times New Roman" w:hAnsi="Times New Roman" w:cs="Times New Roman"/>
          <w:kern w:val="0"/>
          <w:lang w:eastAsia="en-GB"/>
          <w14:ligatures w14:val="none"/>
        </w:rPr>
      </w:pPr>
    </w:p>
    <w:p w14:paraId="3E8E8B1D" w14:textId="77777777" w:rsidR="00C076F8" w:rsidRPr="001E1EE9" w:rsidRDefault="00C076F8" w:rsidP="00C076F8">
      <w:pPr>
        <w:spacing w:line="480" w:lineRule="auto"/>
        <w:jc w:val="both"/>
        <w:rPr>
          <w:rFonts w:ascii="Times New Roman" w:eastAsia="Times New Roman" w:hAnsi="Times New Roman" w:cs="Times New Roman"/>
          <w:kern w:val="0"/>
          <w:lang w:eastAsia="en-GB"/>
          <w14:ligatures w14:val="none"/>
        </w:rPr>
      </w:pPr>
      <w:r w:rsidRPr="001E1EE9">
        <w:rPr>
          <w:rFonts w:ascii="Times New Roman" w:eastAsia="Times New Roman" w:hAnsi="Times New Roman" w:cs="Times New Roman"/>
          <w:kern w:val="0"/>
          <w:lang w:eastAsia="en-GB"/>
          <w14:ligatures w14:val="none"/>
        </w:rPr>
        <w:t xml:space="preserve">The slides were then washed with stringent buffer in a water bath twice before incubation </w:t>
      </w:r>
      <w:proofErr w:type="gramStart"/>
      <w:r w:rsidRPr="001E1EE9">
        <w:rPr>
          <w:rFonts w:ascii="Times New Roman" w:eastAsia="Times New Roman" w:hAnsi="Times New Roman" w:cs="Times New Roman"/>
          <w:kern w:val="0"/>
          <w:lang w:eastAsia="en-GB"/>
          <w14:ligatures w14:val="none"/>
        </w:rPr>
        <w:t>with in</w:t>
      </w:r>
      <w:proofErr w:type="gramEnd"/>
      <w:r w:rsidRPr="001E1EE9">
        <w:rPr>
          <w:rFonts w:ascii="Times New Roman" w:eastAsia="Times New Roman" w:hAnsi="Times New Roman" w:cs="Times New Roman"/>
          <w:kern w:val="0"/>
          <w:lang w:eastAsia="en-GB"/>
          <w14:ligatures w14:val="none"/>
        </w:rPr>
        <w:t xml:space="preserve"> blocking buffer. This is followed by morphology and segmentation marker staining using CD298/B2M mix (Bruker Spatial Biology, USA) and PanCK/CD45 mix (Bruker Spatial Biology, USA) as recommended in the standard protocol for non-neuronal tissues. Following this, flow cells were prepared using </w:t>
      </w:r>
      <w:proofErr w:type="spellStart"/>
      <w:r w:rsidRPr="001E1EE9">
        <w:rPr>
          <w:rFonts w:ascii="Times New Roman" w:eastAsia="Times New Roman" w:hAnsi="Times New Roman" w:cs="Times New Roman"/>
          <w:kern w:val="0"/>
          <w:lang w:eastAsia="en-GB"/>
          <w14:ligatures w14:val="none"/>
        </w:rPr>
        <w:t>CosMx</w:t>
      </w:r>
      <w:proofErr w:type="spellEnd"/>
      <w:r w:rsidRPr="001E1EE9">
        <w:rPr>
          <w:rFonts w:ascii="Times New Roman" w:eastAsia="Times New Roman" w:hAnsi="Times New Roman" w:cs="Times New Roman"/>
          <w:kern w:val="0"/>
          <w:lang w:eastAsia="en-GB"/>
          <w14:ligatures w14:val="none"/>
        </w:rPr>
        <w:t xml:space="preserve"> Flow Cell Assembly Kit and loaded on to the </w:t>
      </w:r>
      <w:proofErr w:type="spellStart"/>
      <w:r w:rsidRPr="001E1EE9">
        <w:rPr>
          <w:rFonts w:ascii="Times New Roman" w:eastAsia="Times New Roman" w:hAnsi="Times New Roman" w:cs="Times New Roman"/>
          <w:kern w:val="0"/>
          <w:lang w:eastAsia="en-GB"/>
          <w14:ligatures w14:val="none"/>
        </w:rPr>
        <w:t>CosMx</w:t>
      </w:r>
      <w:proofErr w:type="spellEnd"/>
      <w:r w:rsidRPr="001E1EE9">
        <w:rPr>
          <w:rFonts w:ascii="Times New Roman" w:eastAsia="Times New Roman" w:hAnsi="Times New Roman" w:cs="Times New Roman"/>
          <w:kern w:val="0"/>
          <w:lang w:eastAsia="en-GB"/>
          <w14:ligatures w14:val="none"/>
        </w:rPr>
        <w:t xml:space="preserve"> Spatial Molecular Imager. Configuration C was used for </w:t>
      </w:r>
      <w:proofErr w:type="gramStart"/>
      <w:r w:rsidRPr="001E1EE9">
        <w:rPr>
          <w:rFonts w:ascii="Times New Roman" w:eastAsia="Times New Roman" w:hAnsi="Times New Roman" w:cs="Times New Roman"/>
          <w:kern w:val="0"/>
          <w:lang w:eastAsia="en-GB"/>
          <w14:ligatures w14:val="none"/>
        </w:rPr>
        <w:t>Pre-Bleaching</w:t>
      </w:r>
      <w:proofErr w:type="gramEnd"/>
      <w:r w:rsidRPr="001E1EE9">
        <w:rPr>
          <w:rFonts w:ascii="Times New Roman" w:eastAsia="Times New Roman" w:hAnsi="Times New Roman" w:cs="Times New Roman"/>
          <w:kern w:val="0"/>
          <w:lang w:eastAsia="en-GB"/>
          <w14:ligatures w14:val="none"/>
        </w:rPr>
        <w:t xml:space="preserve"> profile, and Configuration E was used for Cell Segmentation profile. Following image acquisition, FOVs were selected and cycling and data collection were initiated. FOVs were specifically selected to cover regions of the CRLM, peri-tumoural and background liver with a limit set at 500 FOVs per tissue. </w:t>
      </w:r>
    </w:p>
    <w:p w14:paraId="07458781" w14:textId="77777777" w:rsidR="00987255" w:rsidRDefault="00987255" w:rsidP="00987255">
      <w:pPr>
        <w:spacing w:line="480" w:lineRule="auto"/>
        <w:jc w:val="both"/>
        <w:rPr>
          <w:rFonts w:ascii="Times New Roman" w:hAnsi="Times New Roman" w:cs="Times New Roman"/>
        </w:rPr>
      </w:pPr>
    </w:p>
    <w:p w14:paraId="6EB45555" w14:textId="77777777" w:rsidR="00EF647F" w:rsidRPr="001E1EE9" w:rsidRDefault="00EF647F" w:rsidP="00EF647F">
      <w:pPr>
        <w:spacing w:line="480" w:lineRule="auto"/>
        <w:jc w:val="both"/>
        <w:rPr>
          <w:rFonts w:ascii="Times New Roman" w:hAnsi="Times New Roman" w:cs="Times New Roman"/>
          <w:b/>
          <w:bCs/>
        </w:rPr>
      </w:pPr>
      <w:r w:rsidRPr="001E1EE9">
        <w:rPr>
          <w:rFonts w:ascii="Times New Roman" w:hAnsi="Times New Roman" w:cs="Times New Roman"/>
          <w:b/>
          <w:bCs/>
        </w:rPr>
        <w:t>Spatial transcript preprocessing and polygon segmentation</w:t>
      </w:r>
    </w:p>
    <w:p w14:paraId="173A844F" w14:textId="77777777" w:rsidR="00EF647F" w:rsidRPr="001E1EE9" w:rsidRDefault="00EF647F" w:rsidP="00EF647F">
      <w:pPr>
        <w:spacing w:line="480" w:lineRule="auto"/>
        <w:jc w:val="both"/>
        <w:rPr>
          <w:rFonts w:ascii="Times New Roman" w:hAnsi="Times New Roman" w:cs="Times New Roman"/>
        </w:rPr>
      </w:pPr>
      <w:r w:rsidRPr="001E1EE9">
        <w:rPr>
          <w:rFonts w:ascii="Times New Roman" w:hAnsi="Times New Roman" w:cs="Times New Roman"/>
        </w:rPr>
        <w:t xml:space="preserve">Cell boundaries were reconstructed using </w:t>
      </w:r>
      <w:proofErr w:type="spellStart"/>
      <w:r w:rsidRPr="001E1EE9">
        <w:rPr>
          <w:rFonts w:ascii="Times New Roman" w:hAnsi="Times New Roman" w:cs="Times New Roman"/>
        </w:rPr>
        <w:t>CellPoly</w:t>
      </w:r>
      <w:proofErr w:type="spellEnd"/>
      <w:r w:rsidRPr="001E1EE9">
        <w:rPr>
          <w:rFonts w:ascii="Times New Roman" w:hAnsi="Times New Roman" w:cs="Times New Roman"/>
        </w:rPr>
        <w:t>, which infers polygonal outlines for individual cells based on transcript spatial coordinates to capture cellular morphology and spatial organisation. The resulting segmentation maps were visualised as polygon overlays for representative FOVs.</w:t>
      </w:r>
    </w:p>
    <w:p w14:paraId="1504A82C" w14:textId="77777777" w:rsidR="00EF647F" w:rsidRDefault="00EF647F" w:rsidP="00987255">
      <w:pPr>
        <w:spacing w:line="480" w:lineRule="auto"/>
        <w:jc w:val="both"/>
        <w:rPr>
          <w:rFonts w:ascii="Times New Roman" w:hAnsi="Times New Roman" w:cs="Times New Roman"/>
        </w:rPr>
      </w:pPr>
    </w:p>
    <w:p w14:paraId="63376A9A" w14:textId="77777777" w:rsidR="00EF647F" w:rsidRPr="001E1EE9" w:rsidRDefault="00EF647F" w:rsidP="00EF647F">
      <w:pPr>
        <w:spacing w:line="480" w:lineRule="auto"/>
        <w:jc w:val="both"/>
        <w:rPr>
          <w:rFonts w:ascii="Times New Roman" w:hAnsi="Times New Roman" w:cs="Times New Roman"/>
          <w:b/>
          <w:bCs/>
        </w:rPr>
      </w:pPr>
      <w:r w:rsidRPr="001E1EE9">
        <w:rPr>
          <w:rFonts w:ascii="Times New Roman" w:hAnsi="Times New Roman" w:cs="Times New Roman"/>
          <w:b/>
          <w:bCs/>
        </w:rPr>
        <w:lastRenderedPageBreak/>
        <w:t>Pseudotime Trajectory analysis</w:t>
      </w:r>
    </w:p>
    <w:p w14:paraId="600170D5" w14:textId="77777777" w:rsidR="00EF647F" w:rsidRPr="001E1EE9" w:rsidRDefault="00EF647F" w:rsidP="00EF647F">
      <w:pPr>
        <w:spacing w:line="480" w:lineRule="auto"/>
        <w:jc w:val="both"/>
        <w:rPr>
          <w:rFonts w:ascii="Times New Roman" w:hAnsi="Times New Roman" w:cs="Times New Roman"/>
        </w:rPr>
      </w:pPr>
      <w:r w:rsidRPr="001E1EE9">
        <w:rPr>
          <w:rFonts w:ascii="Times New Roman" w:hAnsi="Times New Roman" w:cs="Times New Roman"/>
        </w:rPr>
        <w:t>Pseudotime analysis was performed using Monocle3, with trajectories rooted in indicated cell types and tissue regions. Pseudotime values were compared across cell types and tissue regions to characterise cell state transitions.</w:t>
      </w:r>
    </w:p>
    <w:p w14:paraId="25A5C96D" w14:textId="77777777" w:rsidR="00EF647F" w:rsidRPr="001E1EE9" w:rsidRDefault="00EF647F" w:rsidP="00EF647F">
      <w:pPr>
        <w:spacing w:line="480" w:lineRule="auto"/>
        <w:jc w:val="both"/>
        <w:rPr>
          <w:rFonts w:ascii="Times New Roman" w:hAnsi="Times New Roman" w:cs="Times New Roman"/>
          <w:b/>
          <w:bCs/>
        </w:rPr>
      </w:pPr>
    </w:p>
    <w:p w14:paraId="642D0EBF" w14:textId="77777777" w:rsidR="00EF647F" w:rsidRPr="001E1EE9" w:rsidRDefault="00EF647F" w:rsidP="00EF647F">
      <w:pPr>
        <w:spacing w:line="480" w:lineRule="auto"/>
        <w:jc w:val="both"/>
        <w:rPr>
          <w:rFonts w:ascii="Times New Roman" w:hAnsi="Times New Roman" w:cs="Times New Roman"/>
          <w:b/>
          <w:bCs/>
        </w:rPr>
      </w:pPr>
      <w:r w:rsidRPr="001E1EE9">
        <w:rPr>
          <w:rFonts w:ascii="Times New Roman" w:hAnsi="Times New Roman" w:cs="Times New Roman"/>
          <w:b/>
          <w:bCs/>
        </w:rPr>
        <w:t>Cell-cell communication</w:t>
      </w:r>
    </w:p>
    <w:p w14:paraId="2F9B9F69" w14:textId="77777777" w:rsidR="00EF647F" w:rsidRPr="001E1EE9" w:rsidRDefault="00EF647F" w:rsidP="00EF647F">
      <w:pPr>
        <w:spacing w:line="480" w:lineRule="auto"/>
        <w:jc w:val="both"/>
        <w:rPr>
          <w:rFonts w:ascii="Times New Roman" w:hAnsi="Times New Roman" w:cs="Times New Roman"/>
        </w:rPr>
      </w:pPr>
      <w:r w:rsidRPr="001E1EE9">
        <w:rPr>
          <w:rFonts w:ascii="Times New Roman" w:hAnsi="Times New Roman" w:cs="Times New Roman"/>
        </w:rPr>
        <w:t xml:space="preserve">Cell-cell communication was analysed using the </w:t>
      </w:r>
      <w:proofErr w:type="spellStart"/>
      <w:r w:rsidRPr="001E1EE9">
        <w:rPr>
          <w:rFonts w:ascii="Times New Roman" w:hAnsi="Times New Roman" w:cs="Times New Roman"/>
        </w:rPr>
        <w:t>CellChat</w:t>
      </w:r>
      <w:proofErr w:type="spellEnd"/>
      <w:r w:rsidRPr="001E1EE9">
        <w:rPr>
          <w:rFonts w:ascii="Times New Roman" w:hAnsi="Times New Roman" w:cs="Times New Roman"/>
        </w:rPr>
        <w:t xml:space="preserve"> (v2.2.0)</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{"citationID":"DJYBeaOL","properties":{"formattedCitation":"\\super 67\\nosupersub{}","plainCitation":"67","noteIndex":0},"citationItems":[{"id":4149,"uris":["http://zotero.org/users/270347/items/5XY93PJA"],"itemData":{"id":4149,"type":"article-journal","abstract":"Recent advances in single-cell sequencing technologies offer an opportunity to explore cell–cell communication in tissues systematically and with reduced bias. A key challenge is integrating known molecular interactions and measurements into a framework to identify and analyze complex cell–cell communication networks. Previously, we developed a computational tool, named CellChat, that infers and analyzes cell–cell communication networks from single-cell transcriptomic data within an easily interpretable framework. CellChat quantifies the signaling communication probability between two cell groups using a simplified mass-action-based model, which incorporates the core interaction between ligands and receptors with multisubunit structure along with modulation by cofactors. Importantly, CellChat performs a systematic and comparative analysis of cell–cell communication using a variety of quantitative metrics and machine-learning approaches. CellChat v2 is an updated version that includes additional comparison functionalities, an expanded database of ligand–receptor pairs along with rich functional annotations, and an Interactive CellChat Explorer. Here we provide a step-by-step protocol for using CellChat v2 on single-cell transcriptomic data, including inference and analysis of cell–cell communication from one dataset and identification of altered intercellular communication, signals and cell populations from different datasets across biological conditions. The R implementation of CellChat v2 toolkit and its tutorials together with the graphic outputs are available at https://github.com/jinworks/CellChat. This protocol typically takes ~5 min depending on dataset size and requires a basic understanding of R and single-cell data analysis but no specialized bioinformatics training for its implementation.","container-title":"Nature Protocols","DOI":"10.1038/s41596-024-01045-4","ISSN":"1750-2799","issue":"1","journalAbbreviation":"Nat Protoc","language":"en","license":"2024 Springer Nature Limited","page":"180-219","publisher":"Nature Publishing Group","source":"www.nature.com","title":"CellChat for systematic analysis of cell–cell communication from single-cell transcriptomics","volume":"20","author":[{"family":"Jin","given":"Suoqin"},{"family":"Plikus","given":"Maksim V."},{"family":"Nie","given":"Qing"}],"issued":{"date-parts":[["2025",1]]}}}],"schema":"https://github.com/citation-style-language/schema/raw/master/csl-citation.json"}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67</w:t>
      </w:r>
      <w:r w:rsidRPr="001E1EE9">
        <w:rPr>
          <w:rFonts w:ascii="Times New Roman" w:hAnsi="Times New Roman" w:cs="Times New Roman"/>
        </w:rPr>
        <w:fldChar w:fldCharType="end"/>
      </w:r>
      <w:r w:rsidRPr="001E1EE9">
        <w:rPr>
          <w:rFonts w:ascii="Times New Roman" w:hAnsi="Times New Roman" w:cs="Times New Roman"/>
        </w:rPr>
        <w:t xml:space="preserve">. Separate spatial </w:t>
      </w:r>
      <w:proofErr w:type="spellStart"/>
      <w:r w:rsidRPr="001E1EE9">
        <w:rPr>
          <w:rFonts w:ascii="Times New Roman" w:hAnsi="Times New Roman" w:cs="Times New Roman"/>
        </w:rPr>
        <w:t>CellChat</w:t>
      </w:r>
      <w:proofErr w:type="spellEnd"/>
      <w:r w:rsidRPr="001E1EE9">
        <w:rPr>
          <w:rFonts w:ascii="Times New Roman" w:hAnsi="Times New Roman" w:cs="Times New Roman"/>
        </w:rPr>
        <w:t xml:space="preserve"> objects were generated for tumour, peritumour, and healthy regions. Communication probabilities were calculated using the ‘</w:t>
      </w:r>
      <w:proofErr w:type="spellStart"/>
      <w:r w:rsidRPr="001E1EE9">
        <w:rPr>
          <w:rFonts w:ascii="Times New Roman" w:hAnsi="Times New Roman" w:cs="Times New Roman"/>
        </w:rPr>
        <w:t>computeCommunProb</w:t>
      </w:r>
      <w:proofErr w:type="spellEnd"/>
      <w:r w:rsidRPr="001E1EE9">
        <w:rPr>
          <w:rFonts w:ascii="Times New Roman" w:hAnsi="Times New Roman" w:cs="Times New Roman"/>
        </w:rPr>
        <w:t>’ and ‘</w:t>
      </w:r>
      <w:proofErr w:type="spellStart"/>
      <w:r w:rsidRPr="001E1EE9">
        <w:rPr>
          <w:rFonts w:ascii="Times New Roman" w:hAnsi="Times New Roman" w:cs="Times New Roman"/>
        </w:rPr>
        <w:t>computeCommunProbPathway</w:t>
      </w:r>
      <w:proofErr w:type="spellEnd"/>
      <w:r w:rsidRPr="001E1EE9">
        <w:rPr>
          <w:rFonts w:ascii="Times New Roman" w:hAnsi="Times New Roman" w:cs="Times New Roman"/>
        </w:rPr>
        <w:t>’ function, with an interaction range of 100 µm and a contact range of 10 µm to account for diffusion-mediated and direct cell-cell interactions, respectively.</w:t>
      </w:r>
    </w:p>
    <w:p w14:paraId="7E6DC46B" w14:textId="77777777" w:rsidR="00C076F8" w:rsidRDefault="00C076F8" w:rsidP="00987255">
      <w:pPr>
        <w:spacing w:line="480" w:lineRule="auto"/>
        <w:jc w:val="both"/>
        <w:rPr>
          <w:rFonts w:ascii="Times New Roman" w:hAnsi="Times New Roman" w:cs="Times New Roman"/>
        </w:rPr>
      </w:pPr>
    </w:p>
    <w:p w14:paraId="69A08FF5" w14:textId="77777777" w:rsidR="009005CE" w:rsidRDefault="009005CE" w:rsidP="00987255">
      <w:pPr>
        <w:spacing w:line="480" w:lineRule="auto"/>
        <w:jc w:val="both"/>
        <w:rPr>
          <w:rFonts w:ascii="Times New Roman" w:hAnsi="Times New Roman" w:cs="Times New Roman"/>
        </w:rPr>
      </w:pPr>
    </w:p>
    <w:p w14:paraId="024E5A57" w14:textId="29AF36D0" w:rsidR="009005CE" w:rsidRPr="00EF647F" w:rsidRDefault="00EF647F" w:rsidP="00EF647F">
      <w:pPr>
        <w:spacing w:line="480" w:lineRule="auto"/>
        <w:jc w:val="center"/>
        <w:rPr>
          <w:rFonts w:ascii="Times New Roman" w:hAnsi="Times New Roman" w:cs="Times New Roman"/>
          <w:b/>
          <w:bCs/>
        </w:rPr>
      </w:pPr>
      <w:r w:rsidRPr="00EF647F">
        <w:rPr>
          <w:rFonts w:ascii="Times New Roman" w:hAnsi="Times New Roman" w:cs="Times New Roman"/>
          <w:b/>
          <w:bCs/>
        </w:rPr>
        <w:t>Single-cell sequencing analysis</w:t>
      </w:r>
    </w:p>
    <w:p w14:paraId="157692E6" w14:textId="77777777" w:rsidR="009005CE" w:rsidRDefault="009005CE" w:rsidP="00987255">
      <w:pPr>
        <w:spacing w:line="480" w:lineRule="auto"/>
        <w:jc w:val="both"/>
        <w:rPr>
          <w:rFonts w:ascii="Times New Roman" w:hAnsi="Times New Roman" w:cs="Times New Roman"/>
        </w:rPr>
      </w:pPr>
    </w:p>
    <w:p w14:paraId="4BE949B0" w14:textId="4EE65D75" w:rsidR="00C076F8" w:rsidRPr="00EF647F" w:rsidRDefault="00EF647F" w:rsidP="00987255">
      <w:pPr>
        <w:spacing w:line="480" w:lineRule="auto"/>
        <w:jc w:val="both"/>
        <w:rPr>
          <w:rFonts w:ascii="Times New Roman" w:hAnsi="Times New Roman" w:cs="Times New Roman"/>
          <w:b/>
          <w:bCs/>
        </w:rPr>
      </w:pPr>
      <w:proofErr w:type="spellStart"/>
      <w:r w:rsidRPr="00EF647F">
        <w:rPr>
          <w:rFonts w:ascii="Times New Roman" w:hAnsi="Times New Roman" w:cs="Times New Roman"/>
          <w:b/>
          <w:bCs/>
        </w:rPr>
        <w:t>scRNA</w:t>
      </w:r>
      <w:proofErr w:type="spellEnd"/>
      <w:r w:rsidRPr="00EF647F">
        <w:rPr>
          <w:rFonts w:ascii="Times New Roman" w:hAnsi="Times New Roman" w:cs="Times New Roman"/>
          <w:b/>
          <w:bCs/>
        </w:rPr>
        <w:t>-seq processing and analysis</w:t>
      </w:r>
    </w:p>
    <w:p w14:paraId="407EFACC" w14:textId="77777777" w:rsidR="00EF647F" w:rsidRPr="001E1EE9" w:rsidRDefault="00EF647F" w:rsidP="00EF647F">
      <w:pPr>
        <w:spacing w:line="480" w:lineRule="auto"/>
        <w:jc w:val="both"/>
        <w:rPr>
          <w:rFonts w:ascii="Times New Roman" w:hAnsi="Times New Roman" w:cs="Times New Roman"/>
        </w:rPr>
      </w:pPr>
      <w:r w:rsidRPr="001E1EE9">
        <w:rPr>
          <w:rFonts w:ascii="Times New Roman" w:hAnsi="Times New Roman" w:cs="Times New Roman"/>
        </w:rPr>
        <w:t>QC was performed according to the parameters reported in the respective studies removing low-quality cells characterised by low gene counts or high mitochondrial gene expression. Datasets were normalised with the Seurat (v5.3.0) function 'SCTransform'</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{"citationID":"V4euMEPv","properties":{"formattedCitation":"\\super 64\\nosupersub{}","plainCitation":"64","noteIndex":0},"citationItems":[{"id":4143,"uris":["http://zotero.org/users/270347/items/AP6S4XP6"],"itemData":{"id":4143,"type":"article-journal","abstract":"Single-cell transcriptomics has transformed our ability to characterize cell states, but deep biological understanding requires more than a taxonomic listing of clusters. As new methods arise to measure distinct cellular modalities, a key analytical challenge is to integrate these datasets to better understand cellular identity and function. Here, we develop a strategy to \"anchor\" diverse datasets together, enabling us to integrate single-cell measurements not only across scRNA-seq technologies, but also across different modalities. After demonstrating improvement over existing methods for integrating scRNA-seq data, we anchor scRNA-seq experiments with scATAC-seq to explore chromatin differences in closely related interneuron subsets and project protein expression measurements onto a bone marrow atlas to characterize lymphocyte populations. Lastly, we harmonize in situ gene expression and scRNA-seq datasets, allowing transcriptome-wide imputation of spatial gene expression patterns. Our work presents a strategy for the assembly of harmonized references and transfer of information across datasets.","container-title":"Cell","DOI":"10.1016/j.cell.2019.05.031","ISSN":"1097-4172","issue":"7","journalAbbreviation":"Cell","language":"eng","page":"1888-1902.e21","PMID":"31178118","PMCID":"PMC6687398","source":"PubMed","title":"Comprehensive Integration of Single-Cell Data","volume":"177","author":[{"family":"Stuart","given":"Tim"},{"family":"Butler","given":"Andrew"},{"family":"Hoffman","given":"Paul"},{"family":"Hafemeister","given":"Christoph"},{"family":"Papalexi","given":"Efthymia"},{"family":"Mauck","given":"William M."},{"family":"Hao","given":"Yuhan"},{"family":"Stoeckius","given":"Marlon"},{"family":"Smibert","given":"Peter"},{"family":"Satija","given":"Rahul"}],"issued":{"date-parts":[["2019",6,13]]}}}],"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64</w:t>
      </w:r>
      <w:r w:rsidRPr="001E1EE9">
        <w:rPr>
          <w:rFonts w:ascii="Times New Roman" w:hAnsi="Times New Roman" w:cs="Times New Roman"/>
        </w:rPr>
        <w:fldChar w:fldCharType="end"/>
      </w:r>
      <w:r w:rsidRPr="001E1EE9">
        <w:rPr>
          <w:rFonts w:ascii="Times New Roman" w:hAnsi="Times New Roman" w:cs="Times New Roman"/>
        </w:rPr>
        <w:t>. Processed samples were merged, and batch effects corrected using Harmony (v1.2.3)</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{"citationID":"VSs9vUns","properties":{"formattedCitation":"\\super 62\\nosupersub{}","plainCitation":"62","noteIndex":0},"citationItems":[{"id":4140,"uris":["http://zotero.org/users/270347/items/BMH67V5J"],"itemData":{"id":4140,"type":"article-journal","abstract":"The emerging diversity of single-cell RNA-seq datasets allows for the full transcriptional characterization of cell types across a wide variety of biological and clinical conditions. However, it is challenging to analyze them together, particularly when datasets are assayed with different technologies, because biological and technical differences are interspersed. We present Harmony (https://github.com/immunogenomics/harmony), an algorithm that projects cells into a shared embedding in which cells group by cell type rather than dataset-specific conditions. Harmony simultaneously accounts for multiple experimental and biological factors. In six analyses, we demonstrate the superior performance of Harmony to previously published algorithms while requiring fewer computational resources. Harmony enables the integration of ~106 cells on a personal computer. We apply Harmony to peripheral blood mononuclear cells from datasets with large experimental differences, five studies of pancreatic islet cells, mouse embryogenesis datasets and the integration of scRNA-seq with spatial transcriptomics data.","container-title":"Nature Methods","DOI":"10.1038/s41592-019-0619-0","ISSN":"1548-7105","issue":"12","journalAbbreviation":"Nat Methods","language":"en","license":"2019 The Author(s), under exclusive licence to Springer Nature America, Inc.","page":"1289-1296","publisher":"Nature Publishing Group","source":"www.nature.com","title":"Fast, sensitive and accurate integration of single-cell data with Harmony","volume":"16","author":[{"family":"Korsunsky","given":"Ilya"},{"family":"Millard","given":"Nghia"},{"family":"Fan","given":"Jean"},{"family":"Slowikowski","given":"Kamil"},{"family":"Zhang","given":"Fan"},{"family":"Wei","given":"Kevin"},{"family":"Baglaenko","given":"Yuriy"},{"family":"Brenner","given":"Michael"},{"family":"Loh","given":"Po-ru"},{"family":"Raychaudhuri","given":"Soumya"}],"issued":{"date-parts":[["2019",12]]}}}],"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62</w:t>
      </w:r>
      <w:r w:rsidRPr="001E1EE9">
        <w:rPr>
          <w:rFonts w:ascii="Times New Roman" w:hAnsi="Times New Roman" w:cs="Times New Roman"/>
        </w:rPr>
        <w:fldChar w:fldCharType="end"/>
      </w:r>
      <w:r w:rsidRPr="001E1EE9">
        <w:rPr>
          <w:rFonts w:ascii="Times New Roman" w:hAnsi="Times New Roman" w:cs="Times New Roman"/>
        </w:rPr>
        <w:t>.</w:t>
      </w:r>
      <w:r>
        <w:rPr>
          <w:rFonts w:ascii="Times New Roman" w:hAnsi="Times New Roman" w:cs="Times New Roman"/>
        </w:rPr>
        <w:t xml:space="preserve"> </w:t>
      </w:r>
      <w:r w:rsidRPr="001E1EE9">
        <w:rPr>
          <w:rFonts w:ascii="Times New Roman" w:hAnsi="Times New Roman" w:cs="Times New Roman"/>
        </w:rPr>
        <w:t>The corrected embeddings were used for UMAP visualisation.</w:t>
      </w:r>
      <w:r>
        <w:rPr>
          <w:rFonts w:ascii="Times New Roman" w:hAnsi="Times New Roman" w:cs="Times New Roman"/>
        </w:rPr>
        <w:t xml:space="preserve"> </w:t>
      </w:r>
      <w:r w:rsidRPr="001E1EE9">
        <w:rPr>
          <w:rFonts w:ascii="Times New Roman" w:hAnsi="Times New Roman" w:cs="Times New Roman"/>
        </w:rPr>
        <w:t>Unsupervised clustering was performed using '</w:t>
      </w:r>
      <w:proofErr w:type="spellStart"/>
      <w:r w:rsidRPr="001E1EE9">
        <w:rPr>
          <w:rFonts w:ascii="Times New Roman" w:hAnsi="Times New Roman" w:cs="Times New Roman"/>
        </w:rPr>
        <w:t>FindNeighbors</w:t>
      </w:r>
      <w:proofErr w:type="spellEnd"/>
      <w:r w:rsidRPr="001E1EE9">
        <w:rPr>
          <w:rFonts w:ascii="Times New Roman" w:hAnsi="Times New Roman" w:cs="Times New Roman"/>
        </w:rPr>
        <w:t>' and '</w:t>
      </w:r>
      <w:proofErr w:type="spellStart"/>
      <w:r w:rsidRPr="001E1EE9">
        <w:rPr>
          <w:rFonts w:ascii="Times New Roman" w:hAnsi="Times New Roman" w:cs="Times New Roman"/>
        </w:rPr>
        <w:t>FindClusters</w:t>
      </w:r>
      <w:proofErr w:type="spellEnd"/>
      <w:r w:rsidRPr="001E1EE9">
        <w:rPr>
          <w:rFonts w:ascii="Times New Roman" w:hAnsi="Times New Roman" w:cs="Times New Roman"/>
        </w:rPr>
        <w:t xml:space="preserve">' to identify distinct cell clusters and cell types annotated based on marker genes. </w:t>
      </w:r>
    </w:p>
    <w:p w14:paraId="18FDB24D" w14:textId="62682AD7" w:rsidR="00C076F8" w:rsidRDefault="00C076F8" w:rsidP="00987255">
      <w:pPr>
        <w:spacing w:line="480" w:lineRule="auto"/>
        <w:jc w:val="both"/>
        <w:rPr>
          <w:rFonts w:ascii="Times New Roman" w:hAnsi="Times New Roman" w:cs="Times New Roman"/>
        </w:rPr>
      </w:pPr>
    </w:p>
    <w:p w14:paraId="4F79C647" w14:textId="77777777" w:rsidR="003F745D" w:rsidRPr="001E1EE9" w:rsidRDefault="003F745D" w:rsidP="003F745D">
      <w:pPr>
        <w:spacing w:line="480" w:lineRule="auto"/>
        <w:jc w:val="center"/>
        <w:rPr>
          <w:rFonts w:ascii="Times New Roman" w:hAnsi="Times New Roman" w:cs="Times New Roman"/>
          <w:b/>
          <w:bCs/>
        </w:rPr>
      </w:pPr>
      <w:r w:rsidRPr="001E1EE9">
        <w:rPr>
          <w:rFonts w:ascii="Times New Roman" w:hAnsi="Times New Roman" w:cs="Times New Roman"/>
          <w:b/>
          <w:bCs/>
        </w:rPr>
        <w:t>Broad spatial analysis methods</w:t>
      </w:r>
    </w:p>
    <w:p w14:paraId="0DB86BC9" w14:textId="77777777" w:rsidR="003F745D" w:rsidRPr="001E1EE9" w:rsidRDefault="003F745D" w:rsidP="003F745D">
      <w:pPr>
        <w:spacing w:line="480" w:lineRule="auto"/>
        <w:jc w:val="both"/>
        <w:rPr>
          <w:rFonts w:ascii="Times New Roman" w:hAnsi="Times New Roman" w:cs="Times New Roman"/>
          <w:b/>
          <w:bCs/>
        </w:rPr>
      </w:pPr>
      <w:r w:rsidRPr="001E1EE9">
        <w:rPr>
          <w:rFonts w:ascii="Times New Roman" w:hAnsi="Times New Roman" w:cs="Times New Roman"/>
          <w:b/>
          <w:bCs/>
        </w:rPr>
        <w:lastRenderedPageBreak/>
        <w:t>Neighbourhood Generation</w:t>
      </w:r>
    </w:p>
    <w:p w14:paraId="770BB743" w14:textId="77777777" w:rsidR="003F745D" w:rsidRPr="001E1EE9" w:rsidRDefault="003F745D" w:rsidP="003F745D">
      <w:pPr>
        <w:spacing w:line="480" w:lineRule="auto"/>
        <w:jc w:val="both"/>
        <w:rPr>
          <w:rFonts w:ascii="Times New Roman" w:hAnsi="Times New Roman" w:cs="Times New Roman"/>
        </w:rPr>
      </w:pPr>
      <w:r w:rsidRPr="001E1EE9">
        <w:rPr>
          <w:rFonts w:ascii="Times New Roman" w:hAnsi="Times New Roman" w:cs="Times New Roman"/>
        </w:rPr>
        <w:t xml:space="preserve">A radius-based QC step filtered spatially isolated cells likely representing segmentation noise or debris. Cells with &lt;3 cells within a fixed Euclidean radius of 100 centroids (65um after scaling) were removed ensuring that retained cells had &gt;2 neighbours. Following </w:t>
      </w:r>
      <w:proofErr w:type="spellStart"/>
      <w:r w:rsidRPr="001E1EE9">
        <w:rPr>
          <w:rFonts w:ascii="Times New Roman" w:hAnsi="Times New Roman" w:cs="Times New Roman"/>
        </w:rPr>
        <w:t>Schürch</w:t>
      </w:r>
      <w:proofErr w:type="spellEnd"/>
      <w:r w:rsidRPr="001E1EE9">
        <w:rPr>
          <w:rFonts w:ascii="Times New Roman" w:hAnsi="Times New Roman" w:cs="Times New Roman"/>
        </w:rPr>
        <w:t xml:space="preserve"> </w:t>
      </w:r>
      <w:r w:rsidRPr="001E1EE9">
        <w:rPr>
          <w:rFonts w:ascii="Times New Roman" w:hAnsi="Times New Roman" w:cs="Times New Roman"/>
          <w:i/>
          <w:iCs/>
        </w:rPr>
        <w:t>et al</w:t>
      </w:r>
      <w:r w:rsidRPr="001E1EE9">
        <w:rPr>
          <w:rFonts w:ascii="Times New Roman" w:hAnsi="Times New Roman" w:cs="Times New Roman"/>
        </w:rPr>
        <w:t>.</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{"citationID":"A8lEyZ4v","properties":{"formattedCitation":"\\super 13\\nosupersub{}","plainCitation":"13","noteIndex":0},"citationItems":[{"id":3985,"uris":["http://zotero.org/users/270347/items/QS9KY7PV"],"itemData":{"id":3985,"type":"article-journal","abstract":"Antitumoral immunity requires organized, spatially nuanced interactions between components of the immune tumor microenvironment (iTME). Understanding this coordinated behavior in effective versus ineffective tumor control will advance immunotherapies. We re-engineered co-detection by indexing (CODEX) for paraffin-embedded tissue microarrays, enabling simultaneous profiling of 140 tissue regions from 35 advanced-stage colorectal cancer (CRC) patients with 56 protein markers. We identified nine conserved, distinct cellular neighborhoods (CNs)-a collection of components characteristic of the CRC iTME. Enrichment of PD-1+CD4+ T cells only within a granulocyte CN positively correlated with survival in a high-risk patient subset. Coupling of tumor and immune CNs, fragmentation of T cell and macrophage CNs, and disruption of inter-CN communication was associated with inferior outcomes. This study provides a framework for interrogating how complex biological processes, such as antitumoral immunity, occur through concerted actions of cells and spatial domains.","container-title":"Cell","DOI":"10.1016/j.cell.2020.07.005","ISSN":"1097-4172","issue":"5","journalAbbreviation":"Cell","language":"eng","page":"1341-1359.e19","PMID":"32763154","PMCID":"PMC7479520","source":"PubMed","title":"Coordinated Cellular Neighborhoods Orchestrate Antitumoral Immunity at the Colorectal Cancer Invasive Front","volume":"182","author":[{"family":"Schürch","given":"Christian M."},{"family":"Bhate","given":"Salil S."},{"family":"Barlow","given":"Graham L."},{"family":"Phillips","given":"Darci J."},{"family":"Noti","given":"Luca"},{"family":"Zlobec","given":"Inti"},{"family":"Chu","given":"Pauline"},{"family":"Black","given":"Sarah"},{"family":"Demeter","given":"Janos"},{"family":"McIlwain","given":"David R."},{"family":"Kinoshita","given":"Shigemi"},{"family":"Samusik","given":"Nikolay"},{"family":"Goltsev","given":"Yury"},{"family":"Nolan","given":"Garry P."}],"issued":{"date-parts":[["2020",9,3]]}}}],"schema":"https://github.com/citation-style-language/schema/raw/master/csl-citation.json"}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13</w:t>
      </w:r>
      <w:r w:rsidRPr="001E1EE9">
        <w:rPr>
          <w:rFonts w:ascii="Times New Roman" w:hAnsi="Times New Roman" w:cs="Times New Roman"/>
        </w:rPr>
        <w:fldChar w:fldCharType="end"/>
      </w:r>
      <w:r w:rsidRPr="001E1EE9">
        <w:rPr>
          <w:rFonts w:ascii="Times New Roman" w:hAnsi="Times New Roman" w:cs="Times New Roman"/>
        </w:rPr>
        <w:t xml:space="preserve">, per-cell neighbourhoods were constructed independently in each dataset (Cell DIVE and </w:t>
      </w:r>
      <w:proofErr w:type="spellStart"/>
      <w:r w:rsidRPr="001E1EE9">
        <w:rPr>
          <w:rFonts w:ascii="Times New Roman" w:hAnsi="Times New Roman" w:cs="Times New Roman"/>
        </w:rPr>
        <w:t>CosMx</w:t>
      </w:r>
      <w:proofErr w:type="spellEnd"/>
      <w:r w:rsidRPr="001E1EE9">
        <w:rPr>
          <w:rFonts w:ascii="Times New Roman" w:hAnsi="Times New Roman" w:cs="Times New Roman"/>
        </w:rPr>
        <w:t>). Within each ROI, we used scikit-</w:t>
      </w:r>
      <w:proofErr w:type="spellStart"/>
      <w:r w:rsidRPr="001E1EE9">
        <w:rPr>
          <w:rFonts w:ascii="Times New Roman" w:hAnsi="Times New Roman" w:cs="Times New Roman"/>
        </w:rPr>
        <w:t>learn’s</w:t>
      </w:r>
      <w:proofErr w:type="spellEnd"/>
      <w:r w:rsidRPr="001E1EE9">
        <w:rPr>
          <w:rFonts w:ascii="Times New Roman" w:hAnsi="Times New Roman" w:cs="Times New Roman"/>
        </w:rPr>
        <w:t xml:space="preserve"> </w:t>
      </w:r>
      <w:proofErr w:type="spellStart"/>
      <w:r w:rsidRPr="001E1EE9">
        <w:rPr>
          <w:rFonts w:ascii="Times New Roman" w:hAnsi="Times New Roman" w:cs="Times New Roman"/>
        </w:rPr>
        <w:t>NearestNeighbors</w:t>
      </w:r>
      <w:proofErr w:type="spellEnd"/>
      <w:r w:rsidRPr="001E1EE9">
        <w:rPr>
          <w:rFonts w:ascii="Times New Roman" w:hAnsi="Times New Roman" w:cs="Times New Roman"/>
        </w:rPr>
        <w:t xml:space="preserve"> (v1.6.1)</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{"citationID":"hQ4phZr4","properties":{"formattedCitation":"\\super 70\\nosupersub{}","plainCitation":"70","noteIndex":0},"citationItems":[{"id":4085,"uris":["http://zotero.org/users/270347/items/WQS7JTC8"],"itemData":{"id":4085,"type":"article","abstract":"Scikit-learn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simplified BSD license, encouraging its use in both academic and commercial settings. Source code, binaries, and documentation can be downloaded from http://scikit-learn.org.","DOI":"10.48550/arXiv.1201.0490","note":"arXiv:1201.0490 [cs]","number":"arXiv:1201.0490","publisher":"arXiv","source":"arXiv.org","title":"Scikit-learn: Machine Learning in Python","title-short":"Scikit-learn","URL":"http://arxiv.org/abs/1201.0490","author":[{"family":"Pedregosa","given":"Fabian"},{"family":"Varoquaux","given":"Gaël"},{"family":"Gramfort","given":"Alexandre"},{"family":"Michel","given":"Vincent"},{"family":"Thirion","given":"Bertrand"},{"family":"Grisel","given":"Olivier"},{"family":"Blondel","given":"Mathieu"},{"family":"Müller","given":"Andreas"},{"family":"Nothman","given":"Joel"},{"family":"Louppe","given":"Gilles"},{"family":"Prettenhofer","given":"Peter"},{"family":"Weiss","given":"Ron"},{"family":"Dubourg","given":"Vincent"},{"family":"Vanderplas","given":"Jake"},{"family":"Passos","given":"Alexandre"},{"family":"Cournapeau","given":"David"},{"family":"Brucher","given":"Matthieu"},{"family":"Perrot","given":"Matthieu"},{"family":"Duchesnay","given":"Édouard"}],"accessed":{"date-parts":[["2025",9,30]]},"issued":{"date-parts":[["2018",6,5]]}}}],"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70</w:t>
      </w:r>
      <w:r w:rsidRPr="001E1EE9">
        <w:rPr>
          <w:rFonts w:ascii="Times New Roman" w:hAnsi="Times New Roman" w:cs="Times New Roman"/>
        </w:rPr>
        <w:fldChar w:fldCharType="end"/>
      </w:r>
      <w:r w:rsidRPr="001E1EE9">
        <w:rPr>
          <w:rFonts w:ascii="Times New Roman" w:hAnsi="Times New Roman" w:cs="Times New Roman"/>
        </w:rPr>
        <w:t xml:space="preserve"> to find for every cell, its 10 closest neighbours and counted how many of each cell type appeared among those neighbours. This count vector defined the cell’s neighbourhood composition, and stacking these vectors yielded the per-cell neighbourhood feature matrix</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{"citationID":"KMbQ7y7A","properties":{"formattedCitation":"\\super 13\\nosupersub{}","plainCitation":"13","noteIndex":0},"citationItems":[{"id":3985,"uris":["http://zotero.org/users/270347/items/QS9KY7PV"],"itemData":{"id":3985,"type":"article-journal","abstract":"Antitumoral immunity requires organized, spatially nuanced interactions between components of the immune tumor microenvironment (iTME). Understanding this coordinated behavior in effective versus ineffective tumor control will advance immunotherapies. We re-engineered co-detection by indexing (CODEX) for paraffin-embedded tissue microarrays, enabling simultaneous profiling of 140 tissue regions from 35 advanced-stage colorectal cancer (CRC) patients with 56 protein markers. We identified nine conserved, distinct cellular neighborhoods (CNs)-a collection of components characteristic of the CRC iTME. Enrichment of PD-1+CD4+ T cells only within a granulocyte CN positively correlated with survival in a high-risk patient subset. Coupling of tumor and immune CNs, fragmentation of T cell and macrophage CNs, and disruption of inter-CN communication was associated with inferior outcomes. This study provides a framework for interrogating how complex biological processes, such as antitumoral immunity, occur through concerted actions of cells and spatial domains.","container-title":"Cell","DOI":"10.1016/j.cell.2020.07.005","ISSN":"1097-4172","issue":"5","journalAbbreviation":"Cell","language":"eng","page":"1341-1359.e19","PMID":"32763154","PMCID":"PMC7479520","source":"PubMed","title":"Coordinated Cellular Neighborhoods Orchestrate Antitumoral Immunity at the Colorectal Cancer Invasive Front","volume":"182","author":[{"family":"Schürch","given":"Christian M."},{"family":"Bhate","given":"Salil S."},{"family":"Barlow","given":"Graham L."},{"family":"Phillips","given":"Darci J."},{"family":"Noti","given":"Luca"},{"family":"Zlobec","given":"Inti"},{"family":"Chu","given":"Pauline"},{"family":"Black","given":"Sarah"},{"family":"Demeter","given":"Janos"},{"family":"McIlwain","given":"David R."},{"family":"Kinoshita","given":"Shigemi"},{"family":"Samusik","given":"Nikolay"},{"family":"Goltsev","given":"Yury"},{"family":"Nolan","given":"Garry P."}],"issued":{"date-parts":[["2020",9,3]]}}}],"schema":"https://github.com/citation-style-language/schema/raw/master/csl-citation.json"}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13</w:t>
      </w:r>
      <w:r w:rsidRPr="001E1EE9">
        <w:rPr>
          <w:rFonts w:ascii="Times New Roman" w:hAnsi="Times New Roman" w:cs="Times New Roman"/>
        </w:rPr>
        <w:fldChar w:fldCharType="end"/>
      </w:r>
      <w:r w:rsidRPr="001E1EE9">
        <w:rPr>
          <w:rFonts w:ascii="Times New Roman" w:hAnsi="Times New Roman" w:cs="Times New Roman"/>
        </w:rPr>
        <w:t xml:space="preserve">. Slide-level batch effects were corrected using </w:t>
      </w:r>
      <w:proofErr w:type="spellStart"/>
      <w:r w:rsidRPr="001E1EE9">
        <w:rPr>
          <w:rFonts w:ascii="Times New Roman" w:hAnsi="Times New Roman" w:cs="Times New Roman"/>
        </w:rPr>
        <w:t>ComBat</w:t>
      </w:r>
      <w:proofErr w:type="spellEnd"/>
      <w:r w:rsidRPr="001E1EE9">
        <w:rPr>
          <w:rFonts w:ascii="Times New Roman" w:hAnsi="Times New Roman" w:cs="Times New Roman"/>
        </w:rPr>
        <w:t xml:space="preserve"> (</w:t>
      </w:r>
      <w:proofErr w:type="spellStart"/>
      <w:r w:rsidRPr="001E1EE9">
        <w:rPr>
          <w:rFonts w:ascii="Times New Roman" w:hAnsi="Times New Roman" w:cs="Times New Roman"/>
        </w:rPr>
        <w:t>scanpy</w:t>
      </w:r>
      <w:proofErr w:type="spellEnd"/>
      <w:r w:rsidRPr="001E1EE9">
        <w:rPr>
          <w:rFonts w:ascii="Times New Roman" w:hAnsi="Times New Roman" w:cs="Times New Roman"/>
        </w:rPr>
        <w:t xml:space="preserve"> v1.11.3), while preserving the region structure (covariates=region)</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{"citationID":"iOfPG7t1","properties":{"formattedCitation":"\\super 71\\nosupersub{}","plainCitation":"71","noteIndex":0},"citationItems":[{"id":4089,"uris":["http://zotero.org/users/270347/items/3SF43XFS"],"itemData":{"id":4089,"type":"article-journal","abstract":"Non-biological experimental variation or \"batch effects\" are commonly observed across multiple batches of microarray experiments, often rendering the task of combining data from these batches difficult. The ability to combine microarray data sets is advantageous to researchers to increase statistical power to detect biological phenomena from studies where logistical considerations restrict sample size or in studies that require the sequential hybridization of arrays. In general, it is inappropriate to combine data sets without adjusting for batch effects. Methods have been proposed to filter batch effects from data, but these are often complicated and require large batch sizes ( &gt; 25) to implement. Because the majority of microarray studies are conducted using much smaller sample sizes, existing methods are not sufficient. We propose parametric and non-parametric empirical Bayes frameworks for adjusting data for batch effects that is robust to outliers in small sample sizes and performs comparable to existing methods for large samples. We illustrate our methods using two example data sets and show that our methods are justifiable, easy to apply, and useful in practice. Software for our method is freely available at: http://biosun1.harvard.edu/complab/batch/.","container-title":"Biostatistics (Oxford, England)","DOI":"10.1093/biostatistics/kxj037","ISSN":"1465-4644","issue":"1","journalAbbreviation":"Biostatistics","language":"eng","page":"118-127","PMID":"16632515","source":"PubMed","title":"Adjusting batch effects in microarray expression data using empirical Bayes methods","volume":"8","author":[{"family":"Johnson","given":"W. Evan"},{"family":"Li","given":"Cheng"},{"family":"Rabinovic","given":"Ariel"}],"issued":{"date-parts":[["2007",1]]}}}],"schema":"https://github.com/citation-style-language/schema/raw/master/csl-citation.json"}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71</w:t>
      </w:r>
      <w:r w:rsidRPr="001E1EE9">
        <w:rPr>
          <w:rFonts w:ascii="Times New Roman" w:hAnsi="Times New Roman" w:cs="Times New Roman"/>
        </w:rPr>
        <w:fldChar w:fldCharType="end"/>
      </w:r>
      <w:r w:rsidRPr="001E1EE9">
        <w:rPr>
          <w:rFonts w:ascii="Times New Roman" w:hAnsi="Times New Roman" w:cs="Times New Roman"/>
          <w:vertAlign w:val="superscript"/>
        </w:rPr>
        <w:t>,</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{"citationID":"IsGHzaOv","properties":{"formattedCitation":"\\super 72\\nosupersub{}","plainCitation":"72","noteIndex":0},"citationItems":[{"id":4091,"uris":["http://zotero.org/users/270347/items/M8Y22WAX"],"itemData":{"id":4091,"type":"article-journal","abstract":"Scanpy is a scalable toolkit for analyzing single-cell gene expression data. It includes methods for preprocessing, visualization, clustering, pseudotime and trajectory inference, differential expression testing, and simulation of gene regulatory networks. Its Python-based implementation efficiently deals with data sets of more than one million cells (https://github.com/theislab/Scanpy). Along with Scanpy, we present AnnData, a generic class for handling annotated data matrices (https://github.com/theislab/anndata).","container-title":"Genome Biology","DOI":"10.1186/s13059-017-1382-0","ISSN":"1474-760X","issue":"1","journalAbbreviation":"Genome Biology","page":"15","source":"BioMed Central","title":"SCANPY: large-scale single-cell gene expression data analysis","title-short":"SCANPY","volume":"19","author":[{"family":"Wolf","given":"F. Alexander"},{"family":"Angerer","given":"Philipp"},{"family":"Theis","given":"Fabian J."}],"issued":{"date-parts":[["2018",2,6]]}}}],"schema":"https://github.com/citation-style-language/schema/raw/master/csl-citation.json"}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72</w:t>
      </w:r>
      <w:r w:rsidRPr="001E1EE9">
        <w:rPr>
          <w:rFonts w:ascii="Times New Roman" w:hAnsi="Times New Roman" w:cs="Times New Roman"/>
        </w:rPr>
        <w:fldChar w:fldCharType="end"/>
      </w:r>
      <w:r w:rsidRPr="001E1EE9">
        <w:rPr>
          <w:rFonts w:ascii="Times New Roman" w:hAnsi="Times New Roman" w:cs="Times New Roman"/>
        </w:rPr>
        <w:t>. Batch-corrected matrices were clustered with K-means, with the number of clusters selected by an elbow analysis of within-cluster inertia across k=1−15. Cluster identities were defined by the z-scored mean frequency of each cell type among member neighbourhoods and used to annotate the per-cell metadata. Relative enrichment and depletion of cell types in each CN compared to their global prevalence across the tissue was imputed. Missing or ill-posed values (</w:t>
      </w:r>
      <w:proofErr w:type="spellStart"/>
      <w:r w:rsidRPr="001E1EE9">
        <w:rPr>
          <w:rFonts w:ascii="Times New Roman" w:hAnsi="Times New Roman" w:cs="Times New Roman"/>
        </w:rPr>
        <w:t>NaN</w:t>
      </w:r>
      <w:proofErr w:type="spellEnd"/>
      <w:r w:rsidRPr="001E1EE9">
        <w:rPr>
          <w:rFonts w:ascii="Times New Roman" w:hAnsi="Times New Roman" w:cs="Times New Roman"/>
        </w:rPr>
        <w:t xml:space="preserve"> or infinite) were replaced with zeros to ensure numerical stability.</w:t>
      </w:r>
    </w:p>
    <w:p w14:paraId="17827CDA" w14:textId="77777777" w:rsidR="003F745D" w:rsidRPr="001E1EE9" w:rsidRDefault="003F745D" w:rsidP="003F745D">
      <w:pPr>
        <w:spacing w:line="480" w:lineRule="auto"/>
        <w:jc w:val="both"/>
        <w:rPr>
          <w:rFonts w:ascii="Times New Roman" w:hAnsi="Times New Roman" w:cs="Times New Roman"/>
        </w:rPr>
      </w:pPr>
    </w:p>
    <w:p w14:paraId="03FC8640" w14:textId="77777777" w:rsidR="003F745D" w:rsidRPr="001E1EE9" w:rsidRDefault="003F745D" w:rsidP="003F745D">
      <w:pPr>
        <w:spacing w:line="480" w:lineRule="auto"/>
        <w:jc w:val="both"/>
        <w:rPr>
          <w:rFonts w:ascii="Times New Roman" w:hAnsi="Times New Roman" w:cs="Times New Roman"/>
          <w:b/>
          <w:bCs/>
        </w:rPr>
      </w:pPr>
      <w:r w:rsidRPr="001E1EE9">
        <w:rPr>
          <w:rFonts w:ascii="Times New Roman" w:hAnsi="Times New Roman" w:cs="Times New Roman"/>
          <w:b/>
          <w:bCs/>
        </w:rPr>
        <w:t>UMAP generation</w:t>
      </w:r>
    </w:p>
    <w:p w14:paraId="09B6EA91" w14:textId="77777777" w:rsidR="003F745D" w:rsidRPr="001E1EE9" w:rsidRDefault="003F745D" w:rsidP="003F745D">
      <w:pPr>
        <w:spacing w:line="480" w:lineRule="auto"/>
        <w:jc w:val="both"/>
        <w:rPr>
          <w:rFonts w:ascii="Times New Roman" w:hAnsi="Times New Roman" w:cs="Times New Roman"/>
        </w:rPr>
      </w:pPr>
      <w:r w:rsidRPr="001E1EE9">
        <w:rPr>
          <w:rFonts w:ascii="Times New Roman" w:hAnsi="Times New Roman" w:cs="Times New Roman"/>
        </w:rPr>
        <w:t xml:space="preserve">At the ROI level, we computed the proportion of cells assigned to each neighbourhood cluster, applied </w:t>
      </w:r>
      <w:proofErr w:type="spellStart"/>
      <w:r w:rsidRPr="001E1EE9">
        <w:rPr>
          <w:rFonts w:ascii="Times New Roman" w:hAnsi="Times New Roman" w:cs="Times New Roman"/>
        </w:rPr>
        <w:t>ComBat</w:t>
      </w:r>
      <w:proofErr w:type="spellEnd"/>
      <w:r w:rsidRPr="001E1EE9">
        <w:rPr>
          <w:rFonts w:ascii="Times New Roman" w:hAnsi="Times New Roman" w:cs="Times New Roman"/>
        </w:rPr>
        <w:t xml:space="preserve"> (</w:t>
      </w:r>
      <w:proofErr w:type="spellStart"/>
      <w:r w:rsidRPr="001E1EE9">
        <w:rPr>
          <w:rFonts w:ascii="Times New Roman" w:hAnsi="Times New Roman" w:cs="Times New Roman"/>
        </w:rPr>
        <w:t>scanpy</w:t>
      </w:r>
      <w:proofErr w:type="spellEnd"/>
      <w:r w:rsidRPr="001E1EE9">
        <w:rPr>
          <w:rFonts w:ascii="Times New Roman" w:hAnsi="Times New Roman" w:cs="Times New Roman"/>
        </w:rPr>
        <w:t>) and standardisation (</w:t>
      </w:r>
      <w:proofErr w:type="spellStart"/>
      <w:r w:rsidRPr="001E1EE9">
        <w:rPr>
          <w:rFonts w:ascii="Times New Roman" w:hAnsi="Times New Roman" w:cs="Times New Roman"/>
        </w:rPr>
        <w:t>StandardScaler</w:t>
      </w:r>
      <w:proofErr w:type="spellEnd"/>
      <w:r w:rsidRPr="001E1EE9">
        <w:rPr>
          <w:rFonts w:ascii="Times New Roman" w:hAnsi="Times New Roman" w:cs="Times New Roman"/>
        </w:rPr>
        <w:t>, scikit-learn), and embedded using UMAP (</w:t>
      </w:r>
      <w:proofErr w:type="spellStart"/>
      <w:r w:rsidRPr="001E1EE9">
        <w:rPr>
          <w:rFonts w:ascii="Times New Roman" w:hAnsi="Times New Roman" w:cs="Times New Roman"/>
        </w:rPr>
        <w:t>umap</w:t>
      </w:r>
      <w:proofErr w:type="spellEnd"/>
      <w:r w:rsidRPr="001E1EE9">
        <w:rPr>
          <w:rFonts w:ascii="Times New Roman" w:hAnsi="Times New Roman" w:cs="Times New Roman"/>
        </w:rPr>
        <w:t xml:space="preserve">-learn v0.5.7; </w:t>
      </w:r>
      <w:proofErr w:type="spellStart"/>
      <w:r w:rsidRPr="001E1EE9">
        <w:rPr>
          <w:rFonts w:ascii="Times New Roman" w:hAnsi="Times New Roman" w:cs="Times New Roman"/>
        </w:rPr>
        <w:t>n_neighbors</w:t>
      </w:r>
      <w:proofErr w:type="spellEnd"/>
      <w:r w:rsidRPr="001E1EE9">
        <w:rPr>
          <w:rFonts w:ascii="Times New Roman" w:hAnsi="Times New Roman" w:cs="Times New Roman"/>
        </w:rPr>
        <w:t xml:space="preserve">=50, </w:t>
      </w:r>
      <w:proofErr w:type="spellStart"/>
      <w:r w:rsidRPr="001E1EE9">
        <w:rPr>
          <w:rFonts w:ascii="Times New Roman" w:hAnsi="Times New Roman" w:cs="Times New Roman"/>
        </w:rPr>
        <w:t>min_dist</w:t>
      </w:r>
      <w:proofErr w:type="spellEnd"/>
      <w:r w:rsidRPr="001E1EE9">
        <w:rPr>
          <w:rFonts w:ascii="Times New Roman" w:hAnsi="Times New Roman" w:cs="Times New Roman"/>
        </w:rPr>
        <w:t xml:space="preserve">=0.5, spread=2.0, </w:t>
      </w:r>
      <w:proofErr w:type="spellStart"/>
      <w:r w:rsidRPr="001E1EE9">
        <w:rPr>
          <w:rFonts w:ascii="Times New Roman" w:hAnsi="Times New Roman" w:cs="Times New Roman"/>
        </w:rPr>
        <w:t>random_state</w:t>
      </w:r>
      <w:proofErr w:type="spellEnd"/>
      <w:r w:rsidRPr="001E1EE9">
        <w:rPr>
          <w:rFonts w:ascii="Times New Roman" w:hAnsi="Times New Roman" w:cs="Times New Roman"/>
        </w:rPr>
        <w:t>=42)</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{"citationID":"rucTmw0n","properties":{"formattedCitation":"\\super 73\\nosupersub{}","plainCitation":"73","noteIndex":0},"citationItems":[{"id":4094,"uris":["http://zotero.org/users/270347/items/HVSYYHUX"],"itemData":{"id":4094,"type":"article","abstract":"UMAP (Uniform Manifold Approximation and Projection) is a novel manifold learning technique for dimension reduction. UMAP is constructed from a theoretical framework based in Riemannian geometry and algebraic topology. The result is a practical scalable algorithm that applies to real world data. The UMAP algorithm is competitive with t-SNE for visualization quality, and arguably preserves more of the global structure with superior run time performance. Furthermore, UMAP has no computational restrictions on embedding dimension, making it viable as a general purpose dimension reduction technique for machine learning.","DOI":"10.48550/arXiv.1802.03426","note":"arXiv:1802.03426 [stat]","number":"arXiv:1802.03426","publisher":"arXiv","source":"arXiv.org","title":"UMAP: Uniform Manifold Approximation and Projection for Dimension Reduction","title-short":"UMAP","URL":"http://arxiv.org/abs/1802.03426","author":[{"family":"McInnes","given":"Leland"},{"family":"Healy","given":"John"},{"family":"Melville","given":"James"}],"accessed":{"date-parts":[["2025",9,30]]},"issued":{"date-parts":[["2020",9,18]]}}}],"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73</w:t>
      </w:r>
      <w:r w:rsidRPr="001E1EE9">
        <w:rPr>
          <w:rFonts w:ascii="Times New Roman" w:hAnsi="Times New Roman" w:cs="Times New Roman"/>
        </w:rPr>
        <w:fldChar w:fldCharType="end"/>
      </w:r>
      <w:r w:rsidRPr="001E1EE9">
        <w:rPr>
          <w:rFonts w:ascii="Times New Roman" w:hAnsi="Times New Roman" w:cs="Times New Roman"/>
          <w:vertAlign w:val="superscript"/>
        </w:rPr>
        <w:t>,</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{"citationID":"TX5oTsgY","properties":{"formattedCitation":"\\super 74\\nosupersub{}","plainCitation":"74","noteIndex":0},"citationItems":[{"id":4098,"uris":["http://zotero.org/users/270347/items/HHHD9I4P"],"itemData":{"id":4098,"type":"article-journal","abstract":"Advances in single-cell technologies have enabled high-resolution dissection of tissue composition. Several tools for dimensionality reduction are available to analyze the large number of parameters generated in single-cell studies. Recently, a nonlinear dimensionality-reduction technique, uniform manifold approximation and projection (UMAP), was developed for the analysis of any type of high-dimensional data. Here we apply it to biological data, using three well-characterized mass cytometry and single-cell RNA sequencing datasets. Comparing the performance of UMAP with five other tools, we find that UMAP provides the fastest run times, highest reproducibility and the most meaningful organization of cell clusters. The work highlights the use of UMAP for improved visualization and interpretation of single-cell data.","container-title":"Nature Biotechnology","DOI":"10.1038/nbt.4314","ISSN":"1546-1696","journalAbbreviation":"Nat Biotechnol","language":"eng","PMID":"30531897","source":"PubMed","title":"Dimensionality reduction for visualizing single-cell data using UMAP","author":[{"family":"Becht","given":"Etienne"},{"family":"McInnes","given":"Leland"},{"family":"Healy","given":"John"},{"family":"Dutertre","given":"Charles-Antoine"},{"family":"Kwok","given":"Immanuel W. H."},{"family":"Ng","given":"Lai Guan"},{"family":"Ginhoux","given":"Florent"},{"family":"Newell","given":"Evan W."}],"issued":{"date-parts":[["2018",12,3]]}}}],"schema":"https://github.com/citation-style-language/schema/raw/master/csl-citation.json"}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74</w:t>
      </w:r>
      <w:r w:rsidRPr="001E1EE9">
        <w:rPr>
          <w:rFonts w:ascii="Times New Roman" w:hAnsi="Times New Roman" w:cs="Times New Roman"/>
        </w:rPr>
        <w:fldChar w:fldCharType="end"/>
      </w:r>
      <w:r w:rsidRPr="001E1EE9">
        <w:rPr>
          <w:rFonts w:ascii="Times New Roman" w:hAnsi="Times New Roman" w:cs="Times New Roman"/>
        </w:rPr>
        <w:t>. Two-dimensional embeddings were visualised with ROIs coloured by tissue region and by slide to assess region separation and residual batch structure.</w:t>
      </w:r>
    </w:p>
    <w:p w14:paraId="495181AF" w14:textId="77777777" w:rsidR="003F745D" w:rsidRDefault="003F745D" w:rsidP="003F745D">
      <w:pPr>
        <w:spacing w:line="480" w:lineRule="auto"/>
        <w:jc w:val="both"/>
        <w:rPr>
          <w:rFonts w:ascii="Times New Roman" w:hAnsi="Times New Roman" w:cs="Times New Roman"/>
        </w:rPr>
      </w:pPr>
    </w:p>
    <w:p w14:paraId="6167217B" w14:textId="77777777" w:rsidR="003F745D" w:rsidRPr="001E1EE9" w:rsidRDefault="003F745D" w:rsidP="003F745D">
      <w:pPr>
        <w:spacing w:line="480" w:lineRule="auto"/>
        <w:jc w:val="both"/>
        <w:rPr>
          <w:rFonts w:ascii="Times New Roman" w:hAnsi="Times New Roman" w:cs="Times New Roman"/>
        </w:rPr>
      </w:pPr>
    </w:p>
    <w:p w14:paraId="4C7C557B" w14:textId="77777777" w:rsidR="003F745D" w:rsidRPr="001E1EE9" w:rsidRDefault="003F745D" w:rsidP="003F745D">
      <w:pPr>
        <w:spacing w:line="480" w:lineRule="auto"/>
        <w:jc w:val="both"/>
        <w:rPr>
          <w:rFonts w:ascii="Times New Roman" w:hAnsi="Times New Roman" w:cs="Times New Roman"/>
          <w:b/>
          <w:bCs/>
        </w:rPr>
      </w:pPr>
      <w:r w:rsidRPr="001E1EE9">
        <w:rPr>
          <w:rFonts w:ascii="Times New Roman" w:hAnsi="Times New Roman" w:cs="Times New Roman"/>
          <w:b/>
          <w:bCs/>
        </w:rPr>
        <w:t>SCIMAP cell-cell interaction</w:t>
      </w:r>
    </w:p>
    <w:p w14:paraId="58E83BCE" w14:textId="77777777" w:rsidR="003F745D" w:rsidRPr="001E1EE9" w:rsidRDefault="003F745D" w:rsidP="003F745D">
      <w:pPr>
        <w:spacing w:line="480" w:lineRule="auto"/>
        <w:jc w:val="both"/>
        <w:rPr>
          <w:rFonts w:ascii="Times New Roman" w:hAnsi="Times New Roman" w:cs="Times New Roman"/>
        </w:rPr>
      </w:pPr>
      <w:r w:rsidRPr="001E1EE9">
        <w:rPr>
          <w:rFonts w:ascii="Times New Roman" w:hAnsi="Times New Roman" w:cs="Times New Roman"/>
        </w:rPr>
        <w:t xml:space="preserve">To quantify short-range spatial interactions independent of tissue region, we pooled all ROIs across the </w:t>
      </w:r>
      <w:proofErr w:type="spellStart"/>
      <w:r w:rsidRPr="001E1EE9">
        <w:rPr>
          <w:rFonts w:ascii="Times New Roman" w:hAnsi="Times New Roman" w:cs="Times New Roman"/>
        </w:rPr>
        <w:t>CosMx</w:t>
      </w:r>
      <w:proofErr w:type="spellEnd"/>
      <w:r w:rsidRPr="001E1EE9">
        <w:rPr>
          <w:rFonts w:ascii="Times New Roman" w:hAnsi="Times New Roman" w:cs="Times New Roman"/>
        </w:rPr>
        <w:t xml:space="preserve"> cohort and computed 10-nearest-neighbour (10-NN) interactions per slide with </w:t>
      </w:r>
      <w:proofErr w:type="spellStart"/>
      <w:r w:rsidRPr="001E1EE9">
        <w:rPr>
          <w:rFonts w:ascii="Times New Roman" w:hAnsi="Times New Roman" w:cs="Times New Roman"/>
        </w:rPr>
        <w:t>scimap</w:t>
      </w:r>
      <w:proofErr w:type="spellEnd"/>
      <w:r w:rsidRPr="001E1EE9">
        <w:rPr>
          <w:rFonts w:ascii="Times New Roman" w:hAnsi="Times New Roman" w:cs="Times New Roman"/>
        </w:rPr>
        <w:t xml:space="preserve"> (v2.3.4)</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{"citationID":"sU7Y78nv","properties":{"formattedCitation":"\\super 59\\nosupersub{}","plainCitation":"59","noteIndex":0},"citationItems":[{"id":4135,"uris":["http://zotero.org/users/270347/items/DWKESJZM"],"itemData":{"id":4135,"type":"article-journal","abstract":"Multiplexed imaging data are revolutionizing our understanding of the composition and organization of tissues and tumors (\"Catching up with Multiplexed Tissue Imaging,\" 2022). A critical aspect of such \"tissue profiling\" is quantifying the spatial relationships among cells at different scales from the interaction of neighboring cells to recurrent communities of cells of multiple types. This often involves statistical analysis of 107 or more cells in which up to 100 biomolecules (commonly proteins) have been measured. While software tools currently cater to the analysis of spatial transcriptomics data (Liu et al., 2022), there remains a need for toolkits explicitly tailored to the complexities of multiplexed imaging data including the need to seamlessly integrate image visualization with data analysis and exploration. We introduce SCIMAP, a Python package specifically crafted to address these challenges. With SCIMAP, users can efficiently preprocess, analyze, and visualize large datasets, facilitating the exploration of spatial relationships and their statistical significance. SCIMAP's modular design enables the integration of new algorithms, enhancing its capabilities for spatial analysis.","container-title":"Journal of Open Source Software","DOI":"10.21105/joss.06604","ISSN":"2475-9066","issue":"97","journalAbbreviation":"J Open Source Softw","language":"eng","page":"6604","PMID":"38873023","PMCID":"PMC11173324","source":"PubMed","title":"SCIMAP: A Python Toolkit for Integrated Spatial Analysis of Multiplexed Imaging Data","title-short":"SCIMAP","volume":"9","author":[{"family":"Nirmal","given":"Ajit J."},{"family":"Sorger","given":"Peter K."}],"issued":{"date-parts":[["2024"]]}}}],"schema":"https://github.com/citation-style-language/schema/raw/master/csl-citation.json"}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59</w:t>
      </w:r>
      <w:r w:rsidRPr="001E1EE9">
        <w:rPr>
          <w:rFonts w:ascii="Times New Roman" w:hAnsi="Times New Roman" w:cs="Times New Roman"/>
        </w:rPr>
        <w:fldChar w:fldCharType="end"/>
      </w:r>
      <w:r w:rsidRPr="001E1EE9">
        <w:rPr>
          <w:rFonts w:ascii="Times New Roman" w:hAnsi="Times New Roman" w:cs="Times New Roman"/>
        </w:rPr>
        <w:t xml:space="preserve">. Per-cell coordinates were loaded into an </w:t>
      </w:r>
      <w:proofErr w:type="spellStart"/>
      <w:r w:rsidRPr="001E1EE9">
        <w:rPr>
          <w:rFonts w:ascii="Times New Roman" w:hAnsi="Times New Roman" w:cs="Times New Roman"/>
        </w:rPr>
        <w:t>AnnData</w:t>
      </w:r>
      <w:proofErr w:type="spellEnd"/>
      <w:r w:rsidRPr="001E1EE9">
        <w:rPr>
          <w:rFonts w:ascii="Times New Roman" w:hAnsi="Times New Roman" w:cs="Times New Roman"/>
        </w:rPr>
        <w:t xml:space="preserve"> object with </w:t>
      </w:r>
      <w:proofErr w:type="spellStart"/>
      <w:r w:rsidRPr="001E1EE9">
        <w:rPr>
          <w:rFonts w:ascii="Times New Roman" w:hAnsi="Times New Roman" w:cs="Times New Roman"/>
        </w:rPr>
        <w:t>imageid</w:t>
      </w:r>
      <w:proofErr w:type="spellEnd"/>
      <w:r w:rsidRPr="001E1EE9">
        <w:rPr>
          <w:rFonts w:ascii="Times New Roman" w:hAnsi="Times New Roman" w:cs="Times New Roman"/>
        </w:rPr>
        <w:t>=</w:t>
      </w:r>
      <w:proofErr w:type="spellStart"/>
      <w:r w:rsidRPr="001E1EE9">
        <w:rPr>
          <w:rFonts w:ascii="Times New Roman" w:hAnsi="Times New Roman" w:cs="Times New Roman"/>
        </w:rPr>
        <w:t>slide_ID</w:t>
      </w:r>
      <w:proofErr w:type="spellEnd"/>
      <w:r w:rsidRPr="001E1EE9">
        <w:rPr>
          <w:rFonts w:ascii="Times New Roman" w:hAnsi="Times New Roman" w:cs="Times New Roman"/>
        </w:rPr>
        <w:t xml:space="preserve">. We then ran </w:t>
      </w:r>
      <w:proofErr w:type="spellStart"/>
      <w:r w:rsidRPr="001E1EE9">
        <w:rPr>
          <w:rFonts w:ascii="Times New Roman" w:hAnsi="Times New Roman" w:cs="Times New Roman"/>
        </w:rPr>
        <w:t>sm.tl.spatial_interaction</w:t>
      </w:r>
      <w:proofErr w:type="spellEnd"/>
      <w:r w:rsidRPr="001E1EE9">
        <w:rPr>
          <w:rFonts w:ascii="Times New Roman" w:hAnsi="Times New Roman" w:cs="Times New Roman"/>
        </w:rPr>
        <w:t xml:space="preserve"> with method="</w:t>
      </w:r>
      <w:proofErr w:type="spellStart"/>
      <w:r w:rsidRPr="001E1EE9">
        <w:rPr>
          <w:rFonts w:ascii="Times New Roman" w:hAnsi="Times New Roman" w:cs="Times New Roman"/>
        </w:rPr>
        <w:t>knn</w:t>
      </w:r>
      <w:proofErr w:type="spellEnd"/>
      <w:r w:rsidRPr="001E1EE9">
        <w:rPr>
          <w:rFonts w:ascii="Times New Roman" w:hAnsi="Times New Roman" w:cs="Times New Roman"/>
        </w:rPr>
        <w:t xml:space="preserve">", </w:t>
      </w:r>
      <w:proofErr w:type="spellStart"/>
      <w:r w:rsidRPr="001E1EE9">
        <w:rPr>
          <w:rFonts w:ascii="Times New Roman" w:hAnsi="Times New Roman" w:cs="Times New Roman"/>
        </w:rPr>
        <w:t>knn</w:t>
      </w:r>
      <w:proofErr w:type="spellEnd"/>
      <w:r w:rsidRPr="001E1EE9">
        <w:rPr>
          <w:rFonts w:ascii="Times New Roman" w:hAnsi="Times New Roman" w:cs="Times New Roman"/>
        </w:rPr>
        <w:t xml:space="preserve">=10, permutation=1000, and </w:t>
      </w:r>
      <w:proofErr w:type="spellStart"/>
      <w:r w:rsidRPr="001E1EE9">
        <w:rPr>
          <w:rFonts w:ascii="Times New Roman" w:hAnsi="Times New Roman" w:cs="Times New Roman"/>
        </w:rPr>
        <w:t>pval_method</w:t>
      </w:r>
      <w:proofErr w:type="spellEnd"/>
      <w:r w:rsidRPr="001E1EE9">
        <w:rPr>
          <w:rFonts w:ascii="Times New Roman" w:hAnsi="Times New Roman" w:cs="Times New Roman"/>
        </w:rPr>
        <w:t>="</w:t>
      </w:r>
      <w:proofErr w:type="spellStart"/>
      <w:r w:rsidRPr="001E1EE9">
        <w:rPr>
          <w:rFonts w:ascii="Times New Roman" w:hAnsi="Times New Roman" w:cs="Times New Roman"/>
        </w:rPr>
        <w:t>zscore</w:t>
      </w:r>
      <w:proofErr w:type="spellEnd"/>
      <w:r w:rsidRPr="001E1EE9">
        <w:rPr>
          <w:rFonts w:ascii="Times New Roman" w:hAnsi="Times New Roman" w:cs="Times New Roman"/>
        </w:rPr>
        <w:t xml:space="preserve">", yielding slide-level, directional Z-scores and permutation p-values for every ordered pair </w:t>
      </w:r>
      <w:proofErr w:type="spellStart"/>
      <w:r w:rsidRPr="001E1EE9">
        <w:rPr>
          <w:rFonts w:ascii="Times New Roman" w:hAnsi="Times New Roman" w:cs="Times New Roman"/>
          <w:i/>
          <w:iCs/>
        </w:rPr>
        <w:t>i→j</w:t>
      </w:r>
      <w:proofErr w:type="spellEnd"/>
      <w:r w:rsidRPr="001E1EE9">
        <w:rPr>
          <w:rFonts w:ascii="Times New Roman" w:hAnsi="Times New Roman" w:cs="Times New Roman"/>
        </w:rPr>
        <w:t xml:space="preserve"> (enrichment if Z&gt;0, avoidance if Z&lt;0). </w:t>
      </w:r>
    </w:p>
    <w:p w14:paraId="604B2BCB" w14:textId="77777777" w:rsidR="003F745D" w:rsidRPr="001E1EE9" w:rsidRDefault="003F745D" w:rsidP="003F745D">
      <w:pPr>
        <w:spacing w:line="480" w:lineRule="auto"/>
        <w:jc w:val="both"/>
        <w:rPr>
          <w:rFonts w:ascii="Times New Roman" w:hAnsi="Times New Roman" w:cs="Times New Roman"/>
        </w:rPr>
      </w:pPr>
    </w:p>
    <w:p w14:paraId="3EDC0268" w14:textId="77777777" w:rsidR="003F745D" w:rsidRPr="001E1EE9" w:rsidRDefault="003F745D" w:rsidP="003F745D">
      <w:pPr>
        <w:spacing w:line="480" w:lineRule="auto"/>
        <w:jc w:val="both"/>
        <w:rPr>
          <w:rFonts w:ascii="Times New Roman" w:hAnsi="Times New Roman" w:cs="Times New Roman"/>
        </w:rPr>
      </w:pPr>
      <w:r w:rsidRPr="001E1EE9">
        <w:rPr>
          <w:rFonts w:ascii="Times New Roman" w:hAnsi="Times New Roman" w:cs="Times New Roman"/>
        </w:rPr>
        <w:t xml:space="preserve">Directional outputs were exported to long format, then symmetrised within each slide by averaging </w:t>
      </w:r>
      <w:proofErr w:type="spellStart"/>
      <w:r w:rsidRPr="001E1EE9">
        <w:rPr>
          <w:rFonts w:ascii="Times New Roman" w:hAnsi="Times New Roman" w:cs="Times New Roman"/>
          <w:i/>
          <w:iCs/>
        </w:rPr>
        <w:t>i→j</w:t>
      </w:r>
      <w:proofErr w:type="spellEnd"/>
      <w:r w:rsidRPr="001E1EE9">
        <w:rPr>
          <w:rFonts w:ascii="Times New Roman" w:hAnsi="Times New Roman" w:cs="Times New Roman"/>
        </w:rPr>
        <w:t xml:space="preserve"> and </w:t>
      </w:r>
      <w:proofErr w:type="spellStart"/>
      <w:r w:rsidRPr="001E1EE9">
        <w:rPr>
          <w:rFonts w:ascii="Times New Roman" w:hAnsi="Times New Roman" w:cs="Times New Roman"/>
          <w:i/>
          <w:iCs/>
        </w:rPr>
        <w:t>j→i</w:t>
      </w:r>
      <w:proofErr w:type="spellEnd"/>
      <w:r w:rsidRPr="001E1EE9">
        <w:rPr>
          <w:rFonts w:ascii="Times New Roman" w:hAnsi="Times New Roman" w:cs="Times New Roman"/>
        </w:rPr>
        <w:t xml:space="preserve"> scores (and the corresponding per-slide p-values). </w:t>
      </w:r>
    </w:p>
    <w:p w14:paraId="19552CB2" w14:textId="77777777" w:rsidR="003F745D" w:rsidRPr="001E1EE9" w:rsidRDefault="003F745D" w:rsidP="003F745D">
      <w:pPr>
        <w:spacing w:line="480" w:lineRule="auto"/>
        <w:jc w:val="both"/>
        <w:rPr>
          <w:rFonts w:ascii="Times New Roman" w:hAnsi="Times New Roman" w:cs="Times New Roman"/>
        </w:rPr>
      </w:pPr>
    </w:p>
    <w:p w14:paraId="73A06521" w14:textId="77777777" w:rsidR="003F745D" w:rsidRPr="001E1EE9" w:rsidRDefault="003F745D" w:rsidP="003F745D">
      <w:pPr>
        <w:spacing w:line="480" w:lineRule="auto"/>
        <w:jc w:val="both"/>
        <w:rPr>
          <w:rFonts w:ascii="Times New Roman" w:hAnsi="Times New Roman" w:cs="Times New Roman"/>
        </w:rPr>
      </w:pPr>
      <w:r w:rsidRPr="001E1EE9">
        <w:rPr>
          <w:rFonts w:ascii="Times New Roman" w:hAnsi="Times New Roman" w:cs="Times New Roman"/>
          <w:noProof/>
        </w:rPr>
        <w:drawing>
          <wp:inline distT="0" distB="0" distL="0" distR="0" wp14:anchorId="1D39D83E" wp14:editId="4F2978FF">
            <wp:extent cx="5727700" cy="821055"/>
            <wp:effectExtent l="0" t="0" r="0" b="4445"/>
            <wp:docPr id="600559460" name="Picture 2" descr="A close up of a 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40966" name="Picture 2" descr="A close up of a word&#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5727700" cy="821055"/>
                    </a:xfrm>
                    <a:prstGeom prst="rect">
                      <a:avLst/>
                    </a:prstGeom>
                  </pic:spPr>
                </pic:pic>
              </a:graphicData>
            </a:graphic>
          </wp:inline>
        </w:drawing>
      </w:r>
    </w:p>
    <w:p w14:paraId="6B54933B" w14:textId="77777777" w:rsidR="003F745D" w:rsidRPr="001E1EE9" w:rsidRDefault="003F745D" w:rsidP="003F745D">
      <w:pPr>
        <w:spacing w:line="480" w:lineRule="auto"/>
        <w:jc w:val="both"/>
        <w:rPr>
          <w:rFonts w:ascii="Times New Roman" w:hAnsi="Times New Roman" w:cs="Times New Roman"/>
        </w:rPr>
      </w:pPr>
    </w:p>
    <w:p w14:paraId="26A11C05" w14:textId="77777777" w:rsidR="003F745D" w:rsidRDefault="003F745D" w:rsidP="003F745D">
      <w:pPr>
        <w:spacing w:line="480" w:lineRule="auto"/>
        <w:jc w:val="both"/>
        <w:rPr>
          <w:rFonts w:ascii="Times New Roman" w:hAnsi="Times New Roman" w:cs="Times New Roman"/>
        </w:rPr>
      </w:pPr>
      <w:r w:rsidRPr="001E1EE9">
        <w:rPr>
          <w:rFonts w:ascii="Times New Roman" w:hAnsi="Times New Roman" w:cs="Times New Roman"/>
        </w:rPr>
        <w:t xml:space="preserve">Across slides, the cohort summary for each unordered cell-type pair used the mean symmetrised Z-score, and a conservative aggregate p-value given by the maximum across slides. Pairs were displayed in non-grey colours only if the per-slide (symmetrised) p-value was &lt;0.05 on every slide. Final figures show a lower-triangular heatmap ordered by a curated cell-type list, with a centred diverging colour map (saturating at ±1 Z), and non-significant cells were masked in grey. </w:t>
      </w:r>
    </w:p>
    <w:p w14:paraId="2224308C" w14:textId="77777777" w:rsidR="003F745D" w:rsidRPr="001E1EE9" w:rsidRDefault="003F745D" w:rsidP="003F745D">
      <w:pPr>
        <w:spacing w:line="480" w:lineRule="auto"/>
        <w:jc w:val="both"/>
        <w:rPr>
          <w:rFonts w:ascii="Times New Roman" w:hAnsi="Times New Roman" w:cs="Times New Roman"/>
        </w:rPr>
      </w:pPr>
    </w:p>
    <w:p w14:paraId="56E1C5CB" w14:textId="77A881A6" w:rsidR="00AB7B78" w:rsidRPr="001E1EE9" w:rsidRDefault="00AB7B78" w:rsidP="00AB7B78">
      <w:pPr>
        <w:spacing w:line="480" w:lineRule="auto"/>
        <w:jc w:val="center"/>
        <w:rPr>
          <w:rFonts w:ascii="Times New Roman" w:hAnsi="Times New Roman" w:cs="Times New Roman"/>
          <w:b/>
          <w:bCs/>
        </w:rPr>
      </w:pPr>
      <w:r>
        <w:rPr>
          <w:rFonts w:ascii="Times New Roman" w:hAnsi="Times New Roman" w:cs="Times New Roman"/>
          <w:b/>
          <w:bCs/>
        </w:rPr>
        <w:t>Higher-order spatial cell-cell interaction analyses</w:t>
      </w:r>
    </w:p>
    <w:p w14:paraId="2E6DEF64" w14:textId="77777777" w:rsidR="00AB7B78" w:rsidRPr="001E1EE9" w:rsidRDefault="00AB7B78" w:rsidP="00AB7B78">
      <w:pPr>
        <w:spacing w:line="480" w:lineRule="auto"/>
        <w:jc w:val="both"/>
        <w:rPr>
          <w:rFonts w:ascii="Times New Roman" w:hAnsi="Times New Roman" w:cs="Times New Roman"/>
          <w:b/>
          <w:bCs/>
        </w:rPr>
      </w:pPr>
      <w:r w:rsidRPr="001E1EE9">
        <w:rPr>
          <w:rFonts w:ascii="Times New Roman" w:hAnsi="Times New Roman" w:cs="Times New Roman"/>
          <w:b/>
          <w:bCs/>
        </w:rPr>
        <w:t>Cross-Pair Correlation Function (PCF)</w:t>
      </w:r>
    </w:p>
    <w:p w14:paraId="4A858D38" w14:textId="77777777" w:rsidR="00AB7B78" w:rsidRPr="001E1EE9" w:rsidRDefault="00AB7B78" w:rsidP="00AB7B78">
      <w:pPr>
        <w:spacing w:line="480" w:lineRule="auto"/>
        <w:jc w:val="both"/>
        <w:rPr>
          <w:rFonts w:ascii="Times New Roman" w:hAnsi="Times New Roman" w:cs="Times New Roman"/>
        </w:rPr>
      </w:pPr>
      <w:r>
        <w:rPr>
          <w:rFonts w:ascii="Times New Roman" w:hAnsi="Times New Roman" w:cs="Times New Roman"/>
        </w:rPr>
        <w:lastRenderedPageBreak/>
        <w:t>The</w:t>
      </w:r>
      <w:r w:rsidRPr="001E1EE9">
        <w:rPr>
          <w:rFonts w:ascii="Times New Roman" w:hAnsi="Times New Roman" w:cs="Times New Roman"/>
        </w:rPr>
        <w:t xml:space="preserve"> </w:t>
      </w:r>
      <w:proofErr w:type="spellStart"/>
      <w:r w:rsidRPr="001E1EE9">
        <w:rPr>
          <w:rFonts w:ascii="Times New Roman" w:hAnsi="Times New Roman" w:cs="Times New Roman"/>
        </w:rPr>
        <w:t>Muspan</w:t>
      </w:r>
      <w:proofErr w:type="spellEnd"/>
      <w:r w:rsidRPr="001E1EE9">
        <w:rPr>
          <w:rFonts w:ascii="Times New Roman" w:hAnsi="Times New Roman" w:cs="Times New Roman"/>
        </w:rPr>
        <w:t xml:space="preserve"> spatial-statistics package (v1.1.1) compute</w:t>
      </w:r>
      <w:r>
        <w:rPr>
          <w:rFonts w:ascii="Times New Roman" w:hAnsi="Times New Roman" w:cs="Times New Roman"/>
        </w:rPr>
        <w:t>d</w:t>
      </w:r>
      <w:r w:rsidRPr="001E1EE9">
        <w:rPr>
          <w:rFonts w:ascii="Times New Roman" w:hAnsi="Times New Roman" w:cs="Times New Roman"/>
        </w:rPr>
        <w:t xml:space="preserve"> cross-pair correlation functions (cross-PCF), </w:t>
      </w:r>
      <w:proofErr w:type="spellStart"/>
      <w:r w:rsidRPr="001E1EE9">
        <w:rPr>
          <w:rFonts w:ascii="Times New Roman" w:hAnsi="Times New Roman" w:cs="Times New Roman"/>
        </w:rPr>
        <w:t>gij</w:t>
      </w:r>
      <w:proofErr w:type="spellEnd"/>
      <w:r w:rsidRPr="001E1EE9">
        <w:rPr>
          <w:rFonts w:ascii="Times New Roman" w:hAnsi="Times New Roman" w:cs="Times New Roman"/>
        </w:rPr>
        <w:t>(r), for every ROI in each dataset</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{"citationID":"x0Ex9ojY","properties":{"formattedCitation":"\\super 75\\nosupersub{}","plainCitation":"75","noteIndex":0},"citationItems":[{"id":4101,"uris":["http://zotero.org/users/270347/items/PXCIKBAI"],"itemData":{"id":4101,"type":"article","abstract":"Advances in multiplex imaging and spatial omics have revolutionised spatial data generation in biology, revealing complex tissue organisation across multiple scales. However, methods for analysing these data have lagged behind, with fragmented, study-specific pipelines and limited guidance for tool selection. To address this, we introduce MuSpAn, a Multiscale Spatial Analysis package offering intuitive, flexible access to a wide range of mathematical tools - including spatial statistics, topological data analysis, geometry, and networks - within a unified framework. MuSpAn supports efficient data querying, is agnostic to imaging modality, and provides extensive documentation and community support. It enables users to create custom pipelines or conduct unbiased exploratory analyses. We demonstrate MuSpAn’s capacity to interrogate cross-compartmental cell interactions at multiple length scales in both normal and neoplastic tissue using mouse intestinal spatial transcriptomic datasets. Applied to a CMS4-like murine intestinal cancer model, MuSpAn identifies a continuum of fibroblastic functional phenotypes associated with discrete and coordinated fibroblast–immune interactions, highlighting its utility as a discovery tool across diverse biological contexts.","DOI":"10.1101/2024.12.06.627195","language":"en","license":"© 2025, Posted by Cold Spring Harbor Laboratory. This pre-print is available under a Creative Commons License (Attribution 4.0 International), CC BY 4.0, as described at http://creativecommons.org/licenses/by/4.0/","note":"ISSN: 2692-8205\npage: 2024.12.06.627195\nsection: New Results","publisher":"bioRxiv","source":"bioRxiv","title":"MuSpAn: A Toolbox for Multiscale Spatial Analysis","title-short":"MuSpAn","URL":"https://www.biorxiv.org/content/10.1101/2024.12.06.627195v4","author":[{"family":"Bull","given":"Joshua A."},{"family":"Moore","given":"Joshua W."},{"family":"Corry","given":"Shania M."},{"family":"Lin","given":"Muyang"},{"family":"Belnoue-Davis","given":"Hayley L."},{"family":"Mulholland-Illingworth","given":"Eoghan J."},{"family":"Leedham","given":"Simon J."},{"family":"Byrne","given":"Helen M."}],"accessed":{"date-parts":[["2025",9,30]]},"issued":{"date-parts":[["2025",9,24]]}}}],"schema":"https://github.com/citation-style-language/schema/raw/master/csl-citation.json"}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75</w:t>
      </w:r>
      <w:r w:rsidRPr="001E1EE9">
        <w:rPr>
          <w:rFonts w:ascii="Times New Roman" w:hAnsi="Times New Roman" w:cs="Times New Roman"/>
        </w:rPr>
        <w:fldChar w:fldCharType="end"/>
      </w:r>
      <w:r w:rsidRPr="001E1EE9">
        <w:rPr>
          <w:rFonts w:ascii="Times New Roman" w:hAnsi="Times New Roman" w:cs="Times New Roman"/>
        </w:rPr>
        <w:t xml:space="preserve">. ROI-level curves were then pooled within each cohort (Cell DIVE and </w:t>
      </w:r>
      <w:proofErr w:type="spellStart"/>
      <w:r w:rsidRPr="001E1EE9">
        <w:rPr>
          <w:rFonts w:ascii="Times New Roman" w:hAnsi="Times New Roman" w:cs="Times New Roman"/>
        </w:rPr>
        <w:t>CosMx</w:t>
      </w:r>
      <w:proofErr w:type="spellEnd"/>
      <w:r w:rsidRPr="001E1EE9">
        <w:rPr>
          <w:rFonts w:ascii="Times New Roman" w:hAnsi="Times New Roman" w:cs="Times New Roman"/>
        </w:rPr>
        <w:t>)</w:t>
      </w:r>
      <w:r>
        <w:rPr>
          <w:rFonts w:ascii="Times New Roman" w:hAnsi="Times New Roman" w:cs="Times New Roman"/>
        </w:rPr>
        <w:t xml:space="preserve"> </w:t>
      </w:r>
      <w:r w:rsidRPr="001E1EE9">
        <w:rPr>
          <w:rFonts w:ascii="Times New Roman" w:hAnsi="Times New Roman" w:cs="Times New Roman"/>
        </w:rPr>
        <w:t>to generate cohort-level summaries. For each ROI, per-cell coordinates (</w:t>
      </w:r>
      <w:r w:rsidRPr="00EF4B80">
        <w:rPr>
          <w:rFonts w:ascii="Times New Roman" w:hAnsi="Times New Roman" w:cs="Times New Roman"/>
        </w:rPr>
        <w:t>µ</w:t>
      </w:r>
      <w:r>
        <w:rPr>
          <w:rFonts w:ascii="Times New Roman" w:hAnsi="Times New Roman" w:cs="Times New Roman"/>
        </w:rPr>
        <w:t>m</w:t>
      </w:r>
      <w:r w:rsidRPr="001E1EE9">
        <w:rPr>
          <w:rFonts w:ascii="Times New Roman" w:hAnsi="Times New Roman" w:cs="Times New Roman"/>
        </w:rPr>
        <w:t xml:space="preserve">) were registered in a </w:t>
      </w:r>
      <w:proofErr w:type="spellStart"/>
      <w:r w:rsidRPr="001E1EE9">
        <w:rPr>
          <w:rFonts w:ascii="Times New Roman" w:hAnsi="Times New Roman" w:cs="Times New Roman"/>
        </w:rPr>
        <w:t>muspan</w:t>
      </w:r>
      <w:proofErr w:type="spellEnd"/>
      <w:r w:rsidRPr="001E1EE9">
        <w:rPr>
          <w:rFonts w:ascii="Times New Roman" w:hAnsi="Times New Roman" w:cs="Times New Roman"/>
        </w:rPr>
        <w:t xml:space="preserve"> domain alongside categorical </w:t>
      </w:r>
      <w:proofErr w:type="spellStart"/>
      <w:r w:rsidRPr="001E1EE9">
        <w:rPr>
          <w:rFonts w:ascii="Times New Roman" w:hAnsi="Times New Roman" w:cs="Times New Roman"/>
        </w:rPr>
        <w:t>cell_type</w:t>
      </w:r>
      <w:proofErr w:type="spellEnd"/>
      <w:r w:rsidRPr="001E1EE9">
        <w:rPr>
          <w:rFonts w:ascii="Times New Roman" w:hAnsi="Times New Roman" w:cs="Times New Roman"/>
        </w:rPr>
        <w:t xml:space="preserve"> labels, and boundaries were estimated with an alpha-shape hull (α=95 </w:t>
      </w:r>
      <w:proofErr w:type="spellStart"/>
      <w:r w:rsidRPr="001E1EE9">
        <w:rPr>
          <w:rFonts w:ascii="Times New Roman" w:hAnsi="Times New Roman" w:cs="Times New Roman"/>
        </w:rPr>
        <w:t>μm</w:t>
      </w:r>
      <w:proofErr w:type="spellEnd"/>
      <w:r w:rsidRPr="001E1EE9">
        <w:rPr>
          <w:rFonts w:ascii="Times New Roman" w:hAnsi="Times New Roman" w:cs="Times New Roman"/>
        </w:rPr>
        <w:t xml:space="preserve">) with a 10 µm boundary exclusion for edge correction. In a small number of ROIs (n = 3), where the α = 95 </w:t>
      </w:r>
      <w:proofErr w:type="spellStart"/>
      <w:r w:rsidRPr="001E1EE9">
        <w:rPr>
          <w:rFonts w:ascii="Times New Roman" w:hAnsi="Times New Roman" w:cs="Times New Roman"/>
        </w:rPr>
        <w:t>μm</w:t>
      </w:r>
      <w:proofErr w:type="spellEnd"/>
      <w:r w:rsidRPr="001E1EE9">
        <w:rPr>
          <w:rFonts w:ascii="Times New Roman" w:hAnsi="Times New Roman" w:cs="Times New Roman"/>
        </w:rPr>
        <w:t xml:space="preserve"> hull was suboptimal, we re-estimated the boundary with α = 120 </w:t>
      </w:r>
      <w:proofErr w:type="spellStart"/>
      <w:r w:rsidRPr="001E1EE9">
        <w:rPr>
          <w:rFonts w:ascii="Times New Roman" w:hAnsi="Times New Roman" w:cs="Times New Roman"/>
        </w:rPr>
        <w:t>μm</w:t>
      </w:r>
      <w:proofErr w:type="spellEnd"/>
      <w:r w:rsidRPr="001E1EE9">
        <w:rPr>
          <w:rFonts w:ascii="Times New Roman" w:hAnsi="Times New Roman" w:cs="Times New Roman"/>
        </w:rPr>
        <w:t xml:space="preserve"> and recomputed PCFs for those ROIs only. We exhaustively enumerated all ordered cell-type pairs (including self–self) and evaluated cross-PCFs on a common distance grid (0–250 µm; 5 µm steps; 10 µm annuli). Pairs undefined </w:t>
      </w:r>
      <w:proofErr w:type="gramStart"/>
      <w:r w:rsidRPr="001E1EE9">
        <w:rPr>
          <w:rFonts w:ascii="Times New Roman" w:hAnsi="Times New Roman" w:cs="Times New Roman"/>
        </w:rPr>
        <w:t>in a given</w:t>
      </w:r>
      <w:proofErr w:type="gramEnd"/>
      <w:r w:rsidRPr="001E1EE9">
        <w:rPr>
          <w:rFonts w:ascii="Times New Roman" w:hAnsi="Times New Roman" w:cs="Times New Roman"/>
        </w:rPr>
        <w:t xml:space="preserve"> ROI (one or both cell types absent) were written as </w:t>
      </w:r>
      <w:proofErr w:type="spellStart"/>
      <w:r w:rsidRPr="001E1EE9">
        <w:rPr>
          <w:rFonts w:ascii="Times New Roman" w:hAnsi="Times New Roman" w:cs="Times New Roman"/>
        </w:rPr>
        <w:t>NaN</w:t>
      </w:r>
      <w:proofErr w:type="spellEnd"/>
      <w:r w:rsidRPr="001E1EE9">
        <w:rPr>
          <w:rFonts w:ascii="Times New Roman" w:hAnsi="Times New Roman" w:cs="Times New Roman"/>
        </w:rPr>
        <w:t xml:space="preserve"> and omitted from aggregation using </w:t>
      </w:r>
      <w:proofErr w:type="spellStart"/>
      <w:r w:rsidRPr="001E1EE9">
        <w:rPr>
          <w:rFonts w:ascii="Times New Roman" w:hAnsi="Times New Roman" w:cs="Times New Roman"/>
        </w:rPr>
        <w:t>NaN</w:t>
      </w:r>
      <w:proofErr w:type="spellEnd"/>
      <w:r w:rsidRPr="001E1EE9">
        <w:rPr>
          <w:rFonts w:ascii="Times New Roman" w:hAnsi="Times New Roman" w:cs="Times New Roman"/>
        </w:rPr>
        <w:t xml:space="preserve">-aware means and standard deviations. Outputs from each ROI were recorded under undirected pair labels (“A </w:t>
      </w:r>
      <w:r w:rsidRPr="001E1EE9">
        <w:rPr>
          <w:rFonts w:ascii="Cambria Math" w:hAnsi="Cambria Math" w:cs="Cambria Math"/>
        </w:rPr>
        <w:t>⟷</w:t>
      </w:r>
      <w:r w:rsidRPr="001E1EE9">
        <w:rPr>
          <w:rFonts w:ascii="Times New Roman" w:hAnsi="Times New Roman" w:cs="Times New Roman"/>
        </w:rPr>
        <w:t xml:space="preserve"> B”), zero-distance artefacts were suppressed (</w:t>
      </w:r>
      <w:proofErr w:type="spellStart"/>
      <w:r w:rsidRPr="001E1EE9">
        <w:rPr>
          <w:rFonts w:ascii="Times New Roman" w:hAnsi="Times New Roman" w:cs="Times New Roman"/>
        </w:rPr>
        <w:t>exclude_zero</w:t>
      </w:r>
      <w:proofErr w:type="spellEnd"/>
      <w:r w:rsidRPr="001E1EE9">
        <w:rPr>
          <w:rFonts w:ascii="Times New Roman" w:hAnsi="Times New Roman" w:cs="Times New Roman"/>
        </w:rPr>
        <w:t xml:space="preserve">=True), and ROI computations were parallelised per slide. For cohort summaries, curves were aligned to the common grid and averaged only across ROIs in which the pair occurred. Uncertainty was visualised with approximate 95% confidence bands using the normal approximation μ±1.96 σ/√n, where n is the number of contributing ROIs per pair. For display, we generated overlay plots of pre-specified cell-type pairs, showing cohort-level mean </w:t>
      </w:r>
      <w:proofErr w:type="spellStart"/>
      <w:r w:rsidRPr="001E1EE9">
        <w:rPr>
          <w:rFonts w:ascii="Times New Roman" w:hAnsi="Times New Roman" w:cs="Times New Roman"/>
        </w:rPr>
        <w:t>gij</w:t>
      </w:r>
      <w:proofErr w:type="spellEnd"/>
      <w:r w:rsidRPr="001E1EE9">
        <w:rPr>
          <w:rFonts w:ascii="Times New Roman" w:hAnsi="Times New Roman" w:cs="Times New Roman"/>
        </w:rPr>
        <w:t xml:space="preserve">(r) curves with the 95% confidence bands and the complete randomness reference line at </w:t>
      </w:r>
      <w:proofErr w:type="spellStart"/>
      <w:r w:rsidRPr="001E1EE9">
        <w:rPr>
          <w:rFonts w:ascii="Times New Roman" w:hAnsi="Times New Roman" w:cs="Times New Roman"/>
        </w:rPr>
        <w:t>gij</w:t>
      </w:r>
      <w:proofErr w:type="spellEnd"/>
      <w:r w:rsidRPr="001E1EE9">
        <w:rPr>
          <w:rFonts w:ascii="Times New Roman" w:hAnsi="Times New Roman" w:cs="Times New Roman"/>
        </w:rPr>
        <w:t xml:space="preserve">(r) = 1. The same workflow was applied independently to the Cell DIVE and </w:t>
      </w:r>
      <w:proofErr w:type="spellStart"/>
      <w:r w:rsidRPr="001E1EE9">
        <w:rPr>
          <w:rFonts w:ascii="Times New Roman" w:hAnsi="Times New Roman" w:cs="Times New Roman"/>
        </w:rPr>
        <w:t>CosMx</w:t>
      </w:r>
      <w:proofErr w:type="spellEnd"/>
      <w:r w:rsidRPr="001E1EE9">
        <w:rPr>
          <w:rFonts w:ascii="Times New Roman" w:hAnsi="Times New Roman" w:cs="Times New Roman"/>
        </w:rPr>
        <w:t xml:space="preserve"> cohorts, yielding whole-cohort cross-PCF summaries that indicate cell-cell clustering (</w:t>
      </w:r>
      <w:proofErr w:type="spellStart"/>
      <w:r w:rsidRPr="001E1EE9">
        <w:rPr>
          <w:rFonts w:ascii="Times New Roman" w:hAnsi="Times New Roman" w:cs="Times New Roman"/>
        </w:rPr>
        <w:t>gij</w:t>
      </w:r>
      <w:proofErr w:type="spellEnd"/>
      <w:r w:rsidRPr="001E1EE9">
        <w:rPr>
          <w:rFonts w:ascii="Times New Roman" w:hAnsi="Times New Roman" w:cs="Times New Roman"/>
        </w:rPr>
        <w:t>(r)&gt;1), randomness (</w:t>
      </w:r>
      <w:proofErr w:type="spellStart"/>
      <w:r w:rsidRPr="001E1EE9">
        <w:rPr>
          <w:rFonts w:ascii="Times New Roman" w:hAnsi="Times New Roman" w:cs="Times New Roman"/>
        </w:rPr>
        <w:t>gij</w:t>
      </w:r>
      <w:proofErr w:type="spellEnd"/>
      <w:r w:rsidRPr="001E1EE9">
        <w:rPr>
          <w:rFonts w:ascii="Times New Roman" w:hAnsi="Times New Roman" w:cs="Times New Roman"/>
        </w:rPr>
        <w:t>(r)=1), and exclusion (</w:t>
      </w:r>
      <w:proofErr w:type="spellStart"/>
      <w:r w:rsidRPr="001E1EE9">
        <w:rPr>
          <w:rFonts w:ascii="Times New Roman" w:hAnsi="Times New Roman" w:cs="Times New Roman"/>
        </w:rPr>
        <w:t>gij</w:t>
      </w:r>
      <w:proofErr w:type="spellEnd"/>
      <w:r w:rsidRPr="001E1EE9">
        <w:rPr>
          <w:rFonts w:ascii="Times New Roman" w:hAnsi="Times New Roman" w:cs="Times New Roman"/>
        </w:rPr>
        <w:t>(r)&lt;1) across spatial scales.</w:t>
      </w:r>
    </w:p>
    <w:p w14:paraId="00877889" w14:textId="77777777" w:rsidR="00AB7B78" w:rsidRPr="001E1EE9" w:rsidRDefault="00AB7B78" w:rsidP="00AB7B78">
      <w:pPr>
        <w:spacing w:line="480" w:lineRule="auto"/>
        <w:jc w:val="both"/>
        <w:rPr>
          <w:rFonts w:ascii="Times New Roman" w:hAnsi="Times New Roman" w:cs="Times New Roman"/>
        </w:rPr>
      </w:pPr>
    </w:p>
    <w:p w14:paraId="6827D56B" w14:textId="77777777" w:rsidR="00AB7B78" w:rsidRPr="001E1EE9" w:rsidRDefault="00AB7B78" w:rsidP="00AB7B78">
      <w:pPr>
        <w:spacing w:line="480" w:lineRule="auto"/>
        <w:jc w:val="both"/>
        <w:rPr>
          <w:rFonts w:ascii="Times New Roman" w:hAnsi="Times New Roman" w:cs="Times New Roman"/>
          <w:b/>
          <w:bCs/>
        </w:rPr>
      </w:pPr>
      <w:r w:rsidRPr="001E1EE9">
        <w:rPr>
          <w:rFonts w:ascii="Times New Roman" w:hAnsi="Times New Roman" w:cs="Times New Roman"/>
          <w:b/>
          <w:bCs/>
        </w:rPr>
        <w:t>Topographical Data Analysis (TDA)</w:t>
      </w:r>
    </w:p>
    <w:p w14:paraId="5B3345CF" w14:textId="77777777" w:rsidR="00AB7B78" w:rsidRPr="001E1EE9" w:rsidRDefault="00AB7B78" w:rsidP="00AB7B78">
      <w:pPr>
        <w:spacing w:line="480" w:lineRule="auto"/>
        <w:jc w:val="both"/>
        <w:rPr>
          <w:rFonts w:ascii="Times New Roman" w:hAnsi="Times New Roman" w:cs="Times New Roman"/>
        </w:rPr>
      </w:pPr>
      <w:r w:rsidRPr="001E1EE9">
        <w:rPr>
          <w:rFonts w:ascii="Times New Roman" w:hAnsi="Times New Roman" w:cs="Times New Roman"/>
        </w:rPr>
        <w:t xml:space="preserve">TDA was applied to neighbourhood-labelled point clouds in each ROI within the Cell DIVE dataset. Two modes were analysed: single-cluster (centroids of all cells from one </w:t>
      </w:r>
      <w:r w:rsidRPr="001E1EE9">
        <w:rPr>
          <w:rFonts w:ascii="Times New Roman" w:hAnsi="Times New Roman" w:cs="Times New Roman"/>
        </w:rPr>
        <w:lastRenderedPageBreak/>
        <w:t xml:space="preserve">neighbourhood cluster) and pairwise-cluster (centroids of all cells from both members of an unordered cluster pair, pooled into a single point set). Vietoris–Rips filtrations were computed with </w:t>
      </w:r>
      <w:proofErr w:type="spellStart"/>
      <w:r w:rsidRPr="001E1EE9">
        <w:rPr>
          <w:rFonts w:ascii="Times New Roman" w:hAnsi="Times New Roman" w:cs="Times New Roman"/>
        </w:rPr>
        <w:t>muspan</w:t>
      </w:r>
      <w:proofErr w:type="spellEnd"/>
      <w:r w:rsidRPr="001E1EE9">
        <w:rPr>
          <w:rFonts w:ascii="Times New Roman" w:hAnsi="Times New Roman" w:cs="Times New Roman"/>
        </w:rPr>
        <w:t xml:space="preserve"> (v1.1.1) using a maximum distance of 707 µm (the diagonal of a 500 µm × 500 µm ROI), and persistent homology was evaluated up to dimension 1 to obtain H0 (connected components) and H1 (loops) barcodes</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{"citationID":"ovuzK0fJ","properties":{"formattedCitation":"\\super 76\\nosupersub{}","plainCitation":"76","noteIndex":0},"citationItems":[{"id":4103,"uris":["http://zotero.org/users/270347/items/I5YHCD6W"],"itemData":{"id":4103,"type":"article-journal","abstract":"Persistent homology (PH) is a method used in topological data analysis (TDA) to study qualitative features of data that persist across multiple scales. It is robust to perturbations of input data, independent of dimensions and coordinates, and provides a compact representation of the qualitative features of the input. The computation of PH is an open area with numerous important and fascinating challenges. The field of PH computation is evolving rapidly, and new algorithms and software implementations are being updated and released at a rapid pace. The purposes of our article are to (1) introduce theory and computational methods for PH to a broad range of computational scientists and (2) provide benchmarks of state-of-the-art implementations for the computation of PH. We give a friendly introduction to PH, navigate the pipeline for the computation of PH with an eye towards applications, and use a range of synthetic and real-world data sets to evaluate currently available open-source implementations for the computation of PH. Based on our benchmarking, we indicate which algorithms and implementations are best suited to different types of data sets. In an accompanying tutorial, we provide guidelines for the computation of PH. We make publicly available all scripts that we wrote for the tutorial, and we make available the processed version of the data sets used in the benchmarking.","container-title":"EPJ Data Science","DOI":"10.1140/epjds/s13688-017-0109-5","ISSN":"2193-1127","issue":"1","journalAbbreviation":"EPJ Data Sci.","language":"en","license":"2017 The Author(s)","page":"1-38","publisher":"SpringerOpen","source":"epjdatascience.springeropen.com","title":"A roadmap for the computation of persistent homology","volume":"6","author":[{"family":"Otter","given":"Nina"},{"family":"Porter","given":"Mason A."},{"family":"Tillmann","given":"Ulrike"},{"family":"Grindrod","given":"Peter"},{"family":"Harrington","given":"Heather A."}],"issued":{"date-parts":[["2017",12]]}}}],"schema":"https://github.com/citation-style-language/schema/raw/master/csl-citation.json"}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76</w:t>
      </w:r>
      <w:r w:rsidRPr="001E1EE9">
        <w:rPr>
          <w:rFonts w:ascii="Times New Roman" w:hAnsi="Times New Roman" w:cs="Times New Roman"/>
        </w:rPr>
        <w:fldChar w:fldCharType="end"/>
      </w:r>
      <w:r w:rsidRPr="001E1EE9">
        <w:rPr>
          <w:rFonts w:ascii="Times New Roman" w:hAnsi="Times New Roman" w:cs="Times New Roman"/>
        </w:rPr>
        <w:t xml:space="preserve">. Analyses were restricted to clusters or cluster pairs with at least three cells per ROI, and persistence diagrams for each ROI were saved for all valid clusters and pairs in that ROI. </w:t>
      </w:r>
    </w:p>
    <w:p w14:paraId="5909F6A1" w14:textId="77777777" w:rsidR="00AB7B78" w:rsidRPr="001E1EE9" w:rsidRDefault="00AB7B78" w:rsidP="00AB7B78">
      <w:pPr>
        <w:spacing w:line="480" w:lineRule="auto"/>
        <w:jc w:val="both"/>
        <w:rPr>
          <w:rFonts w:ascii="Times New Roman" w:hAnsi="Times New Roman" w:cs="Times New Roman"/>
        </w:rPr>
      </w:pPr>
    </w:p>
    <w:p w14:paraId="6E4775EC" w14:textId="77777777" w:rsidR="00AB7B78" w:rsidRPr="001E1EE9" w:rsidRDefault="00AB7B78" w:rsidP="00AB7B78">
      <w:pPr>
        <w:spacing w:line="480" w:lineRule="auto"/>
        <w:jc w:val="both"/>
        <w:rPr>
          <w:rFonts w:ascii="Times New Roman" w:hAnsi="Times New Roman" w:cs="Times New Roman"/>
        </w:rPr>
      </w:pPr>
      <w:r w:rsidRPr="001E1EE9">
        <w:rPr>
          <w:rFonts w:ascii="Times New Roman" w:hAnsi="Times New Roman" w:cs="Times New Roman"/>
        </w:rPr>
        <w:t>TDA persistence diagrams were vectorised into interpretable features</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{"citationID":"rDcqHxzr","properties":{"formattedCitation":"\\super 77\\nosupersub{}","plainCitation":"77","noteIndex":0},"citationItems":[{"id":4105,"uris":["http://zotero.org/users/270347/items/B2VV6R9J"],"itemData":{"id":4105,"type":"article-journal","abstract":"Attempts to incorporate topological information in supervised learning tasks have resulted in the creation of several techniques for vectorizing persistent homology barcodes. In this paper, we study thirteen such methods. Besides describing an organizational framework for these methods, we comprehensively benchmark them against three well-known classification tasks. Surprisingly, we discover that the best-performing method is a simple vectorization, which consists only of a few elementary summary statistics. Finally, we provide a convenient web application which has been designed to facilitate exploration and experimentation with various vectorization methods.","container-title":"IEEE Transactions on Pattern Analysis and Machine Intelligence","DOI":"10.1109/TPAMI.2023.3308391","ISSN":"1939-3539","issue":"12","page":"14069-14080","source":"IEEE Xplore","title":"A Survey of Vectorization Methods in Topological Data Analysis","volume":"45","author":[{"family":"Ali","given":"Dashti"},{"family":"Asaad","given":"Aras"},{"family":"Jimenez","given":"Maria-Jose"},{"family":"Nanda","given":"Vidit"},{"family":"Paluzo-Hidalgo","given":"Eduardo"},{"family":"Soriano-Trigueros","given":"Manuel"}],"issued":{"date-parts":[["2023",12]]}}}],"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77</w:t>
      </w:r>
      <w:r w:rsidRPr="001E1EE9">
        <w:rPr>
          <w:rFonts w:ascii="Times New Roman" w:hAnsi="Times New Roman" w:cs="Times New Roman"/>
        </w:rPr>
        <w:fldChar w:fldCharType="end"/>
      </w:r>
      <w:r w:rsidRPr="001E1EE9">
        <w:rPr>
          <w:rFonts w:ascii="Times New Roman" w:hAnsi="Times New Roman" w:cs="Times New Roman"/>
        </w:rPr>
        <w:t>, including means, standard deviations and selected percentiles of births, deaths, lifespans and midpoints, plus persistence entropy. To emphasise biologically salient structure, we additionally derived “</w:t>
      </w:r>
      <w:proofErr w:type="gramStart"/>
      <w:r w:rsidRPr="001E1EE9">
        <w:rPr>
          <w:rFonts w:ascii="Times New Roman" w:hAnsi="Times New Roman" w:cs="Times New Roman"/>
        </w:rPr>
        <w:t>significant-bar</w:t>
      </w:r>
      <w:proofErr w:type="gramEnd"/>
      <w:r w:rsidRPr="001E1EE9">
        <w:rPr>
          <w:rFonts w:ascii="Times New Roman" w:hAnsi="Times New Roman" w:cs="Times New Roman"/>
        </w:rPr>
        <w:t xml:space="preserve">” features after thresholding at ≥50 µm for H0 ≥10 µm for H1. For H0, the significant-bar count was incremented by one to reflect the number of components present just before merges at the 50 µm threshold. ROIs were retained if at least one targeted cluster or cluster pair exhibited a significant H0 component. The final ROI-level panel (1520 ROIs) comprised significant bar counts for H0 and H1, and the means and standard deviations of significant H0/H1 lifespans and significant H1 birth times. UMAPs were generated using the top features ranked by random-forest importance (mean decrease in impurity; Cell DIVE: N = 30). For hypothesis testing, ROI-level feature values were averaged across ROIs from the same slide within the same tissue region to yield one slide-level value per region per slide. </w:t>
      </w:r>
    </w:p>
    <w:p w14:paraId="4683CD1B" w14:textId="77777777" w:rsidR="00AB7B78" w:rsidRPr="001E1EE9" w:rsidRDefault="00AB7B78" w:rsidP="00AB7B78">
      <w:pPr>
        <w:spacing w:line="480" w:lineRule="auto"/>
        <w:jc w:val="both"/>
        <w:rPr>
          <w:rFonts w:ascii="Times New Roman" w:hAnsi="Times New Roman" w:cs="Times New Roman"/>
        </w:rPr>
      </w:pPr>
    </w:p>
    <w:p w14:paraId="49604DB7" w14:textId="77777777" w:rsidR="00AB7B78" w:rsidRPr="001E1EE9" w:rsidRDefault="00AB7B78" w:rsidP="00AB7B78">
      <w:pPr>
        <w:spacing w:line="480" w:lineRule="auto"/>
        <w:jc w:val="both"/>
        <w:rPr>
          <w:rFonts w:ascii="Times New Roman" w:hAnsi="Times New Roman" w:cs="Times New Roman"/>
        </w:rPr>
      </w:pPr>
      <w:r w:rsidRPr="001E1EE9">
        <w:rPr>
          <w:rFonts w:ascii="Times New Roman" w:hAnsi="Times New Roman" w:cs="Times New Roman"/>
        </w:rPr>
        <w:t>Random forest feature redundancy was screened using pairwise Spearman correlations and Benjamini–Hochberg adjustment; “strong” correlation was predefined as R2≥0.7 (4.7% of tests), supporting the full selected feature panel for classification</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{"citationID":"8c2mMDed","properties":{"formattedCitation":"\\super 78\\nosupersub{}","plainCitation":"78","noteIndex":0},"citationItems":[{"id":4107,"uris":["http://zotero.org/users/270347/items/C2ZN52KN"],"itemData":{"id":4107,"type":"article-journal","abstract":"This paper is about variable selection with the random forests algorithm in presence of correlated predictors. In high-dimensional regression or classification frameworks, variable selection is a difficult task, that becomes even more challenging in the presence of highly correlated predictors. Firstly we provide a theoretical study of the permutation importance measure for an additive regression model. This allows us to describe how the correlation between predictors impacts the permutation importance. Our results motivate the use of the recursive feature elimination (RFE) algorithm for variable selection in this context. This algorithm recursively eliminates the variables using permutation importance measure as a ranking criterion. Next various simulation experiments illustrate the efficiency of the RFE algorithm for selecting a small number of variables together with a good prediction error. Finally, this selection algorithm is tested on the Landsat Satellite data from the UCI Machine Learning Repository.","container-title":"Statistics and Computing","DOI":"10.1007/s11222-016-9646-1","ISSN":"1573-1375","issue":"3","journalAbbreviation":"Stat Comput","language":"en","license":"2016 Springer Science+Business Media New York","note":"Company: Springer\nDistributor: Springer\nInstitution: Springer\nLabel: Springer","page":"659-678","publisher":"Springer US","source":"link-springer-com.ezproxy-prd.bodleian.ox.ac.uk","title":"Correlation and variable importance in random forests","volume":"27","author":[{"family":"Gregorutti","given":"Baptiste"},{"family":"Michel","given":"Bertrand"},{"family":"Saint-Pierre","given":"Philippe"}],"issued":{"date-parts":[["2017",5,1]]}}}],"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78</w:t>
      </w:r>
      <w:r w:rsidRPr="001E1EE9">
        <w:rPr>
          <w:rFonts w:ascii="Times New Roman" w:hAnsi="Times New Roman" w:cs="Times New Roman"/>
        </w:rPr>
        <w:fldChar w:fldCharType="end"/>
      </w:r>
      <w:r w:rsidRPr="001E1EE9">
        <w:rPr>
          <w:rFonts w:ascii="Times New Roman" w:hAnsi="Times New Roman" w:cs="Times New Roman"/>
        </w:rPr>
        <w:t xml:space="preserve">. Region discrimination was evaluated with random forests trained on ROI-level TDA features (scikit-learn v1.6.1, 1,000 </w:t>
      </w:r>
      <w:r w:rsidRPr="001E1EE9">
        <w:rPr>
          <w:rFonts w:ascii="Times New Roman" w:hAnsi="Times New Roman" w:cs="Times New Roman"/>
        </w:rPr>
        <w:lastRenderedPageBreak/>
        <w:t>trees) using grouped five-fold cross-validation by slide</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{"citationID":"4t6iqBIM","properties":{"formattedCitation":"\\super 79\\nosupersub{}","plainCitation":"79","noteIndex":0},"citationItems":[{"id":4109,"uris":["http://zotero.org/users/270347/items/HUMRT54V"],"itemData":{"id":4109,"type":"article-journal","abstract":"Random forests are a combination of tree predictors such that each tree depends on the values of a random vector sampled independently and with the same distribution for all trees in the forest. The generalization error for forests converges a.s. to a limit as the number of trees in the forest becomes large. The generalization error of a forest of tree classifiers depends on the strength of the individual trees in the forest and the correlation between them. Using a random selection of features to split each node yields error rates that compare favorably to Adaboost (Y. Freund &amp; R. Schapire, Machine Learning: Proceedings of the Thirteenth International conference, ***, 148–156), but are more robust with respect to noise. Internal estimates monitor error, strength, and correlation and these are used to show the response to increasing the number of features used in the splitting. Internal estimates are also used to measure variable importance. These ideas are also applicable to regression.","container-title":"Machine Learning","DOI":"10.1023/A:1010933404324","ISSN":"1573-0565","issue":"1","journalAbbreviation":"Machine Learning","language":"en","license":"2001 Kluwer Academic Publishers","note":"Company: Springer\nDistributor: Springer\nInstitution: Springer\nLabel: Springer","page":"5-32","publisher":"Kluwer Academic Publishers","source":"link-springer-com.ezproxy-prd.bodleian.ox.ac.uk","title":"Random Forests","volume":"45","author":[{"family":"Breiman","given":"Leo"}],"issued":{"date-parts":[["2001",10,1]]}}}],"schema":"https://github.com/citation-style-language/schema/raw/master/csl-citation.json"}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79</w:t>
      </w:r>
      <w:r w:rsidRPr="001E1EE9">
        <w:rPr>
          <w:rFonts w:ascii="Times New Roman" w:hAnsi="Times New Roman" w:cs="Times New Roman"/>
        </w:rPr>
        <w:fldChar w:fldCharType="end"/>
      </w:r>
      <w:r w:rsidRPr="001E1EE9">
        <w:rPr>
          <w:rFonts w:ascii="Times New Roman" w:hAnsi="Times New Roman" w:cs="Times New Roman"/>
        </w:rPr>
        <w:t xml:space="preserve">. Accuracy is reported as mean ± standard deviation across folds, and features were ranked by mean decrease in impurity. </w:t>
      </w:r>
    </w:p>
    <w:p w14:paraId="0E923535" w14:textId="77777777" w:rsidR="00AB7B78" w:rsidRPr="001E1EE9" w:rsidRDefault="00AB7B78" w:rsidP="00AB7B78">
      <w:pPr>
        <w:spacing w:line="480" w:lineRule="auto"/>
        <w:jc w:val="both"/>
        <w:rPr>
          <w:rFonts w:ascii="Times New Roman" w:hAnsi="Times New Roman" w:cs="Times New Roman"/>
        </w:rPr>
      </w:pPr>
    </w:p>
    <w:p w14:paraId="1A0FEFEC" w14:textId="77777777" w:rsidR="00AB7B78" w:rsidRPr="001E1EE9" w:rsidRDefault="00AB7B78" w:rsidP="00AB7B78">
      <w:pPr>
        <w:spacing w:line="480" w:lineRule="auto"/>
        <w:jc w:val="both"/>
        <w:rPr>
          <w:rFonts w:ascii="Times New Roman" w:hAnsi="Times New Roman" w:cs="Times New Roman"/>
        </w:rPr>
      </w:pPr>
      <w:r w:rsidRPr="001E1EE9">
        <w:rPr>
          <w:rFonts w:ascii="Times New Roman" w:hAnsi="Times New Roman" w:cs="Times New Roman"/>
        </w:rPr>
        <w:t xml:space="preserve">To visualise the spatial pattern of targeted neighbourhood clusters within individual ROIs, we generated ROI-level scatter plots from the per-cell metadata containing cluster labels. Clusters 0, 4, 5, and 7 were highlighted using distinct colours, while all other clusters were rendered light grey to provide context (matplotlib v3.10.1). To visualise H0 structure at the biologically motivated threshold (50 µm), we produced ROI-level component maps for selected neighbourhood clusters. For a chosen ROI and cluster, cells were subset, and a undirected graph was built by connecting points within 50 µm (scikit-learn v1.6.1, </w:t>
      </w:r>
      <w:proofErr w:type="spellStart"/>
      <w:r w:rsidRPr="001E1EE9">
        <w:rPr>
          <w:rFonts w:ascii="Times New Roman" w:hAnsi="Times New Roman" w:cs="Times New Roman"/>
        </w:rPr>
        <w:t>radius_neighbors_graph</w:t>
      </w:r>
      <w:proofErr w:type="spellEnd"/>
      <w:r w:rsidRPr="001E1EE9">
        <w:rPr>
          <w:rFonts w:ascii="Times New Roman" w:hAnsi="Times New Roman" w:cs="Times New Roman"/>
        </w:rPr>
        <w:t xml:space="preserve">), and connected components were identified (SciPy v1.15.2, </w:t>
      </w:r>
      <w:proofErr w:type="spellStart"/>
      <w:r w:rsidRPr="001E1EE9">
        <w:rPr>
          <w:rFonts w:ascii="Times New Roman" w:hAnsi="Times New Roman" w:cs="Times New Roman"/>
        </w:rPr>
        <w:t>connected_components</w:t>
      </w:r>
      <w:proofErr w:type="spellEnd"/>
      <w:r w:rsidRPr="001E1EE9">
        <w:rPr>
          <w:rFonts w:ascii="Times New Roman" w:hAnsi="Times New Roman" w:cs="Times New Roman"/>
        </w:rPr>
        <w:t>)</w:t>
      </w:r>
      <w:r w:rsidRPr="001E1EE9">
        <w:rPr>
          <w:rFonts w:ascii="Times New Roman" w:hAnsi="Times New Roman" w:cs="Times New Roman"/>
        </w:rPr>
        <w:fldChar w:fldCharType="begin"/>
      </w:r>
      <w:r w:rsidRPr="001E1EE9">
        <w:rPr>
          <w:rFonts w:ascii="Times New Roman" w:hAnsi="Times New Roman" w:cs="Times New Roman"/>
        </w:rPr>
        <w:instrText xml:space="preserve"> ADDIN ZOTERO_ITEM CSL_CITATION {"citationID":"QlFJ2ZLo","properties":{"formattedCitation":"\\super 80\\nosupersub{}","plainCitation":"80","noteIndex":0},"citationItems":[{"id":4131,"uris":["http://zotero.org/users/270347/items/Z5JWWZ5B"],"itemData":{"id":4131,"type":"article-journal","abstract":"SciPy is an open-source scientific computing library for the Python programming language. Since its initial release in 2001, SciPy has become a de facto standard for leveraging scientific algorithms in Python, with over 600 unique code contributors, thousands of dependent packages, over 100,000 dependent repositories and millions of downloads per year. In this work, we provide an overview of the capabilities and development practices of SciPy 1.0 and highlight some recent technical developments.","container-title":"Nature Methods","DOI":"10.1038/s41592-019-0686-2","ISSN":"1548-7105","issue":"3","journalAbbreviation":"Nat Methods","language":"en","license":"2020 The Author(s)","page":"261-272","publisher":"Nature Publishing Group","source":"www.nature.com","title":"SciPy 1.0: fundamental algorithms for scientific computing in Python","title-short":"SciPy 1.0","volume":"17","author":[{"family":"Virtanen","given":"Pauli"},{"family":"Gommers","given":"Ralf"},{"family":"Oliphant","given":"Travis E."},{"family":"Haberland","given":"Matt"},{"family":"Reddy","given":"Tyler"},{"family":"Cournapeau","given":"David"},{"family":"Burovski","given":"Evgeni"},{"family":"Peterson","given":"Pearu"},{"family":"Weckesser","given":"Warren"},{"family":"Bright","given":"Jonathan"},{"family":"Walt","given":"Stéfan J.","non-dropping-particle":"van der"},{"family":"Brett","given":"Matthew"},{"family":"Wilson","given":"Joshua"},{"family":"Millman","given":"K. Jarrod"},{"family":"Mayorov","given":"Nikolay"},{"family":"Nelson","given":"Andrew R. J."},{"family":"Jones","given":"Eric"},{"family":"Kern","given":"Robert"},{"family":"Larson","given":"Eric"},{"family":"Carey","given":"C. J."},{"family":"Polat","given":"İlhan"},{"family":"Feng","given":"Yu"},{"family":"Moore","given":"Eric W."},{"family":"VanderPlas","given":"Jake"},{"family":"Laxalde","given":"Denis"},{"family":"Perktold","given":"Josef"},{"family":"Cimrman","given":"Robert"},{"family":"Henriksen","given":"Ian"},{"family":"Quintero","given":"E. A."},{"family":"Harris","given":"Charles R."},{"family":"Archibald","given":"Anne M."},{"family":"Ribeiro","given":"Antônio H."},{"family":"Pedregosa","given":"Fabian"},{"family":"Mulbregt","given":"Paul","non-dropping-particle":"van"}],"issued":{"date-parts":[["2020",3]]}}}],"schema":"https://github.com/citation-style-language/schema/raw/master/csl-citation.json"} </w:instrText>
      </w:r>
      <w:r w:rsidRPr="001E1EE9">
        <w:rPr>
          <w:rFonts w:ascii="Times New Roman" w:hAnsi="Times New Roman" w:cs="Times New Roman"/>
        </w:rPr>
        <w:fldChar w:fldCharType="separate"/>
      </w:r>
      <w:r w:rsidRPr="001E1EE9">
        <w:rPr>
          <w:rFonts w:ascii="Times New Roman" w:hAnsi="Times New Roman" w:cs="Times New Roman"/>
          <w:kern w:val="0"/>
          <w:vertAlign w:val="superscript"/>
        </w:rPr>
        <w:t>80</w:t>
      </w:r>
      <w:r w:rsidRPr="001E1EE9">
        <w:rPr>
          <w:rFonts w:ascii="Times New Roman" w:hAnsi="Times New Roman" w:cs="Times New Roman"/>
        </w:rPr>
        <w:fldChar w:fldCharType="end"/>
      </w:r>
      <w:r w:rsidRPr="001E1EE9">
        <w:rPr>
          <w:rFonts w:ascii="Times New Roman" w:hAnsi="Times New Roman" w:cs="Times New Roman"/>
        </w:rPr>
        <w:t>. Each component was plotted in a distinct colour with all other cells shown in light grey for context, using equal axis scaling in micrometres.</w:t>
      </w:r>
    </w:p>
    <w:p w14:paraId="6ED07DDF" w14:textId="77777777" w:rsidR="003F745D" w:rsidRPr="003F745D" w:rsidRDefault="003F745D" w:rsidP="00987255">
      <w:pPr>
        <w:spacing w:line="480" w:lineRule="auto"/>
        <w:jc w:val="both"/>
        <w:rPr>
          <w:rFonts w:ascii="Times New Roman" w:hAnsi="Times New Roman" w:cs="Times New Roman"/>
          <w:b/>
          <w:bCs/>
        </w:rPr>
      </w:pPr>
    </w:p>
    <w:p w14:paraId="78CD408F" w14:textId="77777777" w:rsidR="00987255" w:rsidRDefault="00987255" w:rsidP="00987255">
      <w:pPr>
        <w:spacing w:line="480" w:lineRule="auto"/>
        <w:jc w:val="both"/>
        <w:rPr>
          <w:rFonts w:ascii="Times New Roman" w:hAnsi="Times New Roman" w:cs="Times New Roman"/>
        </w:rPr>
      </w:pPr>
    </w:p>
    <w:p w14:paraId="6224F9A4" w14:textId="77777777" w:rsidR="00EF647F" w:rsidRDefault="00EF647F" w:rsidP="00987255">
      <w:pPr>
        <w:spacing w:line="480" w:lineRule="auto"/>
        <w:jc w:val="both"/>
        <w:rPr>
          <w:rFonts w:ascii="Times New Roman" w:hAnsi="Times New Roman" w:cs="Times New Roman"/>
        </w:rPr>
      </w:pPr>
    </w:p>
    <w:p w14:paraId="2958222E" w14:textId="77777777" w:rsidR="00EF647F" w:rsidRDefault="00EF647F" w:rsidP="00987255">
      <w:pPr>
        <w:spacing w:line="480" w:lineRule="auto"/>
        <w:jc w:val="both"/>
        <w:rPr>
          <w:rFonts w:ascii="Times New Roman" w:hAnsi="Times New Roman" w:cs="Times New Roman"/>
        </w:rPr>
      </w:pPr>
    </w:p>
    <w:p w14:paraId="32770514" w14:textId="77777777" w:rsidR="00987255" w:rsidRDefault="00987255" w:rsidP="00987255">
      <w:pPr>
        <w:spacing w:line="480" w:lineRule="auto"/>
        <w:jc w:val="both"/>
        <w:rPr>
          <w:rFonts w:ascii="Times New Roman" w:hAnsi="Times New Roman" w:cs="Times New Roman"/>
        </w:rPr>
      </w:pPr>
    </w:p>
    <w:p w14:paraId="00B43BF0" w14:textId="77777777" w:rsidR="00987255" w:rsidRPr="00987255" w:rsidRDefault="00987255" w:rsidP="00987255">
      <w:pPr>
        <w:spacing w:line="480" w:lineRule="auto"/>
        <w:jc w:val="both"/>
        <w:rPr>
          <w:rFonts w:ascii="Times New Roman" w:hAnsi="Times New Roman" w:cs="Times New Roman"/>
        </w:rPr>
      </w:pPr>
    </w:p>
    <w:sectPr w:rsidR="00987255" w:rsidRPr="00987255" w:rsidSect="004E052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B47"/>
    <w:rsid w:val="0012221E"/>
    <w:rsid w:val="001E798A"/>
    <w:rsid w:val="00290B47"/>
    <w:rsid w:val="002F5487"/>
    <w:rsid w:val="00374E38"/>
    <w:rsid w:val="003870AF"/>
    <w:rsid w:val="003F745D"/>
    <w:rsid w:val="004E0522"/>
    <w:rsid w:val="006B45E8"/>
    <w:rsid w:val="009005CE"/>
    <w:rsid w:val="00987255"/>
    <w:rsid w:val="00A9162D"/>
    <w:rsid w:val="00AB7B78"/>
    <w:rsid w:val="00C076F8"/>
    <w:rsid w:val="00C348D7"/>
    <w:rsid w:val="00C742B6"/>
    <w:rsid w:val="00E75F43"/>
    <w:rsid w:val="00ED27C0"/>
    <w:rsid w:val="00EF64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16901E"/>
  <w15:chartTrackingRefBased/>
  <w15:docId w15:val="{6F3C8D96-0292-E847-A027-CB3C7E73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B47"/>
  </w:style>
  <w:style w:type="paragraph" w:styleId="Heading1">
    <w:name w:val="heading 1"/>
    <w:basedOn w:val="Normal"/>
    <w:next w:val="Normal"/>
    <w:link w:val="Heading1Char"/>
    <w:uiPriority w:val="9"/>
    <w:qFormat/>
    <w:rsid w:val="00290B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B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B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B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B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B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B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B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B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B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B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B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B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B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B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B47"/>
    <w:rPr>
      <w:rFonts w:eastAsiaTheme="majorEastAsia" w:cstheme="majorBidi"/>
      <w:color w:val="272727" w:themeColor="text1" w:themeTint="D8"/>
    </w:rPr>
  </w:style>
  <w:style w:type="paragraph" w:styleId="Title">
    <w:name w:val="Title"/>
    <w:basedOn w:val="Normal"/>
    <w:next w:val="Normal"/>
    <w:link w:val="TitleChar"/>
    <w:uiPriority w:val="10"/>
    <w:qFormat/>
    <w:rsid w:val="00290B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B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B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B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B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0B47"/>
    <w:rPr>
      <w:i/>
      <w:iCs/>
      <w:color w:val="404040" w:themeColor="text1" w:themeTint="BF"/>
    </w:rPr>
  </w:style>
  <w:style w:type="paragraph" w:styleId="ListParagraph">
    <w:name w:val="List Paragraph"/>
    <w:basedOn w:val="Normal"/>
    <w:uiPriority w:val="34"/>
    <w:qFormat/>
    <w:rsid w:val="00290B47"/>
    <w:pPr>
      <w:ind w:left="720"/>
      <w:contextualSpacing/>
    </w:pPr>
  </w:style>
  <w:style w:type="character" w:styleId="IntenseEmphasis">
    <w:name w:val="Intense Emphasis"/>
    <w:basedOn w:val="DefaultParagraphFont"/>
    <w:uiPriority w:val="21"/>
    <w:qFormat/>
    <w:rsid w:val="00290B47"/>
    <w:rPr>
      <w:i/>
      <w:iCs/>
      <w:color w:val="0F4761" w:themeColor="accent1" w:themeShade="BF"/>
    </w:rPr>
  </w:style>
  <w:style w:type="paragraph" w:styleId="IntenseQuote">
    <w:name w:val="Intense Quote"/>
    <w:basedOn w:val="Normal"/>
    <w:next w:val="Normal"/>
    <w:link w:val="IntenseQuoteChar"/>
    <w:uiPriority w:val="30"/>
    <w:qFormat/>
    <w:rsid w:val="00290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B47"/>
    <w:rPr>
      <w:i/>
      <w:iCs/>
      <w:color w:val="0F4761" w:themeColor="accent1" w:themeShade="BF"/>
    </w:rPr>
  </w:style>
  <w:style w:type="character" w:styleId="IntenseReference">
    <w:name w:val="Intense Reference"/>
    <w:basedOn w:val="DefaultParagraphFont"/>
    <w:uiPriority w:val="32"/>
    <w:qFormat/>
    <w:rsid w:val="00290B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8196</Words>
  <Characters>46722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Gordon-Weeks</dc:creator>
  <cp:keywords/>
  <dc:description/>
  <cp:lastModifiedBy>Alex Gordon-Weeks</cp:lastModifiedBy>
  <cp:revision>7</cp:revision>
  <dcterms:created xsi:type="dcterms:W3CDTF">2026-04-14T12:05:00Z</dcterms:created>
  <dcterms:modified xsi:type="dcterms:W3CDTF">2026-04-14T16:27:00Z</dcterms:modified>
</cp:coreProperties>
</file>