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1DB05">
      <w:pPr>
        <w:spacing w:line="360" w:lineRule="auto"/>
        <w:rPr>
          <w:rFonts w:ascii="Arial" w:hAnsi="Arial" w:eastAsia="宋体" w:cs="Arial"/>
          <w:b/>
          <w:color w:val="000000"/>
          <w:kern w:val="24"/>
          <w:sz w:val="24"/>
          <w:szCs w:val="24"/>
        </w:rPr>
      </w:pPr>
      <w:r>
        <w:rPr>
          <w:rFonts w:ascii="Arial" w:hAnsi="Arial" w:eastAsia="宋体" w:cs="Arial"/>
          <w:b/>
          <w:color w:val="000000"/>
          <w:kern w:val="24"/>
          <w:sz w:val="24"/>
          <w:szCs w:val="24"/>
        </w:rPr>
        <w:t xml:space="preserve">Table </w:t>
      </w:r>
      <w:r>
        <w:rPr>
          <w:rFonts w:hint="eastAsia" w:ascii="Arial" w:hAnsi="Arial" w:eastAsia="宋体" w:cs="Arial"/>
          <w:b/>
          <w:color w:val="000000"/>
          <w:kern w:val="24"/>
          <w:sz w:val="24"/>
          <w:szCs w:val="24"/>
        </w:rPr>
        <w:t>S</w:t>
      </w:r>
      <w:r>
        <w:rPr>
          <w:rFonts w:hint="eastAsia" w:ascii="Arial" w:hAnsi="Arial" w:eastAsia="宋体" w:cs="Arial"/>
          <w:b/>
          <w:color w:val="000000"/>
          <w:kern w:val="24"/>
          <w:sz w:val="24"/>
          <w:szCs w:val="24"/>
          <w:lang w:val="en-US" w:eastAsia="zh-CN"/>
        </w:rPr>
        <w:t>3</w:t>
      </w:r>
      <w:bookmarkStart w:id="0" w:name="_GoBack"/>
      <w:bookmarkEnd w:id="0"/>
      <w:r>
        <w:rPr>
          <w:rFonts w:ascii="Arial" w:hAnsi="Arial" w:eastAsia="宋体" w:cs="Arial"/>
          <w:b/>
          <w:color w:val="000000"/>
          <w:kern w:val="24"/>
          <w:sz w:val="24"/>
          <w:szCs w:val="24"/>
        </w:rPr>
        <w:t xml:space="preserve">: Univariate and multivariate analyses of prognostic factors for overall survival </w:t>
      </w:r>
      <w:r>
        <w:rPr>
          <w:rFonts w:hint="eastAsia" w:ascii="Arial" w:hAnsi="Arial" w:eastAsia="宋体" w:cs="Arial"/>
          <w:b/>
          <w:color w:val="000000"/>
          <w:kern w:val="24"/>
          <w:sz w:val="24"/>
          <w:szCs w:val="24"/>
        </w:rPr>
        <w:t xml:space="preserve">among 432 </w:t>
      </w:r>
      <w:r>
        <w:rPr>
          <w:rFonts w:ascii="Arial" w:hAnsi="Arial" w:eastAsia="宋体" w:cs="Arial"/>
          <w:b/>
          <w:color w:val="000000"/>
          <w:kern w:val="24"/>
          <w:sz w:val="24"/>
          <w:szCs w:val="24"/>
        </w:rPr>
        <w:t>colorectal cancer patients.</w:t>
      </w:r>
    </w:p>
    <w:p w14:paraId="2FA9BAC9">
      <w:pPr>
        <w:rPr>
          <w:rFonts w:ascii="Arial" w:hAnsi="Arial" w:cs="Arial"/>
          <w:sz w:val="24"/>
          <w:szCs w:val="28"/>
        </w:rPr>
      </w:pPr>
    </w:p>
    <w:tbl>
      <w:tblPr>
        <w:tblStyle w:val="2"/>
        <w:tblpPr w:leftFromText="180" w:rightFromText="180" w:vertAnchor="text" w:horzAnchor="page" w:tblpX="853" w:tblpY="69"/>
        <w:tblOverlap w:val="never"/>
        <w:tblW w:w="1026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6"/>
        <w:gridCol w:w="2603"/>
        <w:gridCol w:w="1311"/>
        <w:gridCol w:w="2539"/>
        <w:gridCol w:w="1313"/>
      </w:tblGrid>
      <w:tr w14:paraId="591499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496" w:type="dxa"/>
            <w:vMerge w:val="restart"/>
            <w:tcBorders>
              <w:top w:val="single" w:color="auto" w:sz="4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87DC6F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Factors</w:t>
            </w:r>
            <w:r>
              <w:rPr>
                <w:rFonts w:ascii="Arial" w:hAnsi="Arial" w:cs="Arial"/>
                <w:szCs w:val="21"/>
              </w:rPr>
              <w:t xml:space="preserve"> </w:t>
            </w:r>
          </w:p>
        </w:tc>
        <w:tc>
          <w:tcPr>
            <w:tcW w:w="3914" w:type="dxa"/>
            <w:gridSpan w:val="2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929C85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Univariate</w:t>
            </w:r>
          </w:p>
        </w:tc>
        <w:tc>
          <w:tcPr>
            <w:tcW w:w="3852" w:type="dxa"/>
            <w:gridSpan w:val="2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2B27C2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Multi</w:t>
            </w:r>
            <w:r>
              <w:rPr>
                <w:rFonts w:ascii="Arial" w:hAnsi="Arial" w:cs="Arial"/>
                <w:szCs w:val="21"/>
              </w:rPr>
              <w:t>variate</w:t>
            </w:r>
            <w:r>
              <w:rPr>
                <w:rFonts w:hint="eastAsia" w:ascii="Arial" w:hAnsi="Arial" w:cs="Arial"/>
                <w:szCs w:val="21"/>
              </w:rPr>
              <w:t>*</w:t>
            </w:r>
          </w:p>
        </w:tc>
      </w:tr>
      <w:tr w14:paraId="71ADD1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496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vAlign w:val="center"/>
          </w:tcPr>
          <w:p w14:paraId="59AB7476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2603" w:type="dxa"/>
            <w:tcBorders>
              <w:top w:val="single" w:color="auto" w:sz="4" w:space="0"/>
              <w:left w:val="single" w:color="FFFFFF" w:sz="24" w:space="0"/>
              <w:bottom w:val="single" w:color="auto" w:sz="4" w:space="0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25AB30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HR</w:t>
            </w:r>
            <w:r>
              <w:rPr>
                <w:rFonts w:hint="eastAsia" w:ascii="Arial" w:hAnsi="Arial" w:cs="Arial"/>
                <w:szCs w:val="21"/>
              </w:rPr>
              <w:t xml:space="preserve"> (95% CI)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E79C9D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i/>
                <w:iCs/>
                <w:szCs w:val="21"/>
              </w:rPr>
              <w:t>P</w:t>
            </w:r>
            <w:r>
              <w:rPr>
                <w:rFonts w:ascii="Arial" w:hAnsi="Arial" w:cs="Arial"/>
                <w:szCs w:val="21"/>
              </w:rPr>
              <w:t xml:space="preserve"> value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2F5450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HR</w:t>
            </w:r>
            <w:r>
              <w:rPr>
                <w:rFonts w:hint="eastAsia" w:ascii="Arial" w:hAnsi="Arial" w:cs="Arial"/>
                <w:szCs w:val="21"/>
              </w:rPr>
              <w:t xml:space="preserve"> (95% CI)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D0AB1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i/>
                <w:iCs/>
                <w:szCs w:val="21"/>
              </w:rPr>
              <w:t>P</w:t>
            </w:r>
            <w:r>
              <w:rPr>
                <w:rFonts w:ascii="Arial" w:hAnsi="Arial" w:cs="Arial"/>
                <w:szCs w:val="21"/>
              </w:rPr>
              <w:t xml:space="preserve"> value</w:t>
            </w:r>
          </w:p>
        </w:tc>
      </w:tr>
      <w:tr w14:paraId="146AA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2496" w:type="dxa"/>
            <w:tcBorders>
              <w:top w:val="single" w:color="auto" w:sz="4" w:space="0"/>
              <w:left w:val="single" w:color="FFFFFF" w:sz="8" w:space="0"/>
              <w:bottom w:val="nil"/>
              <w:right w:val="single" w:color="FFFFFF" w:sz="8" w:space="0"/>
            </w:tcBorders>
            <w:vAlign w:val="center"/>
          </w:tcPr>
          <w:p w14:paraId="067D9FA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Age </w:t>
            </w:r>
          </w:p>
          <w:p w14:paraId="3E538861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(&lt;</w:t>
            </w:r>
            <w:r>
              <w:rPr>
                <w:rFonts w:hint="eastAsia" w:ascii="Arial" w:hAnsi="Arial" w:cs="Arial"/>
                <w:szCs w:val="21"/>
              </w:rPr>
              <w:t>=</w:t>
            </w:r>
            <w:r>
              <w:rPr>
                <w:rFonts w:ascii="Arial" w:hAnsi="Arial" w:cs="Arial"/>
                <w:szCs w:val="21"/>
              </w:rPr>
              <w:t>60/&gt;60)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FFFFFF" w:sz="24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12D8F5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0.565 (0.361-0.884)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85E111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0.012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E36316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2.136 (1.414-3.228)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275B3E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0.000</w:t>
            </w:r>
          </w:p>
        </w:tc>
      </w:tr>
      <w:tr w14:paraId="150ED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AB8FC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Gender</w:t>
            </w:r>
          </w:p>
          <w:p w14:paraId="1D9F6657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(male/female)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0D65F7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1.824 (1.214-2.740)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AD2776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0.004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F24001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/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334616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/</w:t>
            </w:r>
          </w:p>
        </w:tc>
      </w:tr>
      <w:tr w14:paraId="2AB6A1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2496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vAlign w:val="center"/>
          </w:tcPr>
          <w:p w14:paraId="561D5DB4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TNM stage</w:t>
            </w:r>
          </w:p>
          <w:p w14:paraId="0AC66AD7">
            <w:pPr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(</w:t>
            </w:r>
            <w:r>
              <w:rPr>
                <w:rFonts w:ascii="Arial" w:hAnsi="Arial" w:cs="Arial"/>
                <w:szCs w:val="21"/>
              </w:rPr>
              <w:t>Ⅰ-Ⅱ/Ⅲ-Ⅳ)</w:t>
            </w:r>
          </w:p>
        </w:tc>
        <w:tc>
          <w:tcPr>
            <w:tcW w:w="2603" w:type="dxa"/>
            <w:tcBorders>
              <w:top w:val="nil"/>
              <w:left w:val="single" w:color="FFFFFF" w:sz="24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8FCE62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3.443 (2.033-5.829)</w:t>
            </w:r>
          </w:p>
        </w:tc>
        <w:tc>
          <w:tcPr>
            <w:tcW w:w="1311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3757C6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0.000</w:t>
            </w:r>
          </w:p>
        </w:tc>
        <w:tc>
          <w:tcPr>
            <w:tcW w:w="2539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57FAD6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3.094 (1.735-5.519)</w:t>
            </w:r>
          </w:p>
        </w:tc>
        <w:tc>
          <w:tcPr>
            <w:tcW w:w="1313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89461F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0.000</w:t>
            </w:r>
          </w:p>
        </w:tc>
      </w:tr>
      <w:tr w14:paraId="2EF75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2496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vAlign w:val="center"/>
          </w:tcPr>
          <w:p w14:paraId="228617AC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Histological grade</w:t>
            </w:r>
          </w:p>
          <w:p w14:paraId="7E8C960A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(well, mode</w:t>
            </w:r>
            <w:r>
              <w:rPr>
                <w:rFonts w:hint="eastAsia" w:ascii="Arial" w:hAnsi="Arial" w:cs="Arial"/>
                <w:szCs w:val="21"/>
              </w:rPr>
              <w:t>r</w:t>
            </w:r>
            <w:r>
              <w:rPr>
                <w:rFonts w:ascii="Arial" w:hAnsi="Arial" w:cs="Arial"/>
                <w:szCs w:val="21"/>
              </w:rPr>
              <w:t>a</w:t>
            </w:r>
            <w:r>
              <w:rPr>
                <w:rFonts w:hint="eastAsia" w:ascii="Arial" w:hAnsi="Arial" w:cs="Arial"/>
                <w:szCs w:val="21"/>
              </w:rPr>
              <w:t>t</w:t>
            </w:r>
            <w:r>
              <w:rPr>
                <w:rFonts w:ascii="Arial" w:hAnsi="Arial" w:cs="Arial"/>
                <w:szCs w:val="21"/>
              </w:rPr>
              <w:t>e/poor)</w:t>
            </w:r>
          </w:p>
        </w:tc>
        <w:tc>
          <w:tcPr>
            <w:tcW w:w="2603" w:type="dxa"/>
            <w:tcBorders>
              <w:top w:val="nil"/>
              <w:left w:val="single" w:color="FFFFFF" w:sz="24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E6BDE2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1.563 (0.999-2.446)</w:t>
            </w:r>
          </w:p>
        </w:tc>
        <w:tc>
          <w:tcPr>
            <w:tcW w:w="1311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170E73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0.051</w:t>
            </w:r>
          </w:p>
        </w:tc>
        <w:tc>
          <w:tcPr>
            <w:tcW w:w="2539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B74A65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/</w:t>
            </w:r>
          </w:p>
        </w:tc>
        <w:tc>
          <w:tcPr>
            <w:tcW w:w="1313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DF53B0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/</w:t>
            </w:r>
          </w:p>
        </w:tc>
      </w:tr>
      <w:tr w14:paraId="40B249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2496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vAlign w:val="center"/>
          </w:tcPr>
          <w:p w14:paraId="7A8CC12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Tumor depth</w:t>
            </w:r>
          </w:p>
          <w:p w14:paraId="26D01E5D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(m, sm, mp/ss, se, si)</w:t>
            </w:r>
          </w:p>
        </w:tc>
        <w:tc>
          <w:tcPr>
            <w:tcW w:w="2603" w:type="dxa"/>
            <w:tcBorders>
              <w:top w:val="nil"/>
              <w:left w:val="single" w:color="FFFFFF" w:sz="24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336D9C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1.705 (0.745-3.900)</w:t>
            </w:r>
          </w:p>
        </w:tc>
        <w:tc>
          <w:tcPr>
            <w:tcW w:w="1311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F361E5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0.206</w:t>
            </w:r>
          </w:p>
        </w:tc>
        <w:tc>
          <w:tcPr>
            <w:tcW w:w="2539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6D0B3A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/</w:t>
            </w:r>
          </w:p>
        </w:tc>
        <w:tc>
          <w:tcPr>
            <w:tcW w:w="1313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174E61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/</w:t>
            </w:r>
          </w:p>
        </w:tc>
      </w:tr>
      <w:tr w14:paraId="3D3521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2496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vAlign w:val="center"/>
          </w:tcPr>
          <w:p w14:paraId="67F0DCB6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Vascular invasion</w:t>
            </w:r>
          </w:p>
          <w:p w14:paraId="14E2EFFC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(absent</w:t>
            </w:r>
            <w:r>
              <w:rPr>
                <w:rFonts w:hint="eastAsia" w:ascii="Arial" w:hAnsi="Arial" w:cs="Arial"/>
                <w:szCs w:val="21"/>
              </w:rPr>
              <w:t>/</w:t>
            </w:r>
            <w:r>
              <w:rPr>
                <w:rFonts w:ascii="Arial" w:hAnsi="Arial" w:cs="Arial"/>
                <w:szCs w:val="21"/>
              </w:rPr>
              <w:t>present)</w:t>
            </w:r>
          </w:p>
        </w:tc>
        <w:tc>
          <w:tcPr>
            <w:tcW w:w="2603" w:type="dxa"/>
            <w:tcBorders>
              <w:top w:val="nil"/>
              <w:left w:val="single" w:color="FFFFFF" w:sz="24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CEE9BE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3.929 (2.607-5.921)</w:t>
            </w:r>
          </w:p>
        </w:tc>
        <w:tc>
          <w:tcPr>
            <w:tcW w:w="1311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99B846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0.000</w:t>
            </w:r>
          </w:p>
        </w:tc>
        <w:tc>
          <w:tcPr>
            <w:tcW w:w="2539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85D4C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1.685 (1.031-2.745)</w:t>
            </w:r>
          </w:p>
        </w:tc>
        <w:tc>
          <w:tcPr>
            <w:tcW w:w="1313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CA9216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0.037</w:t>
            </w:r>
          </w:p>
        </w:tc>
      </w:tr>
      <w:tr w14:paraId="54C3A1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2496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vAlign w:val="center"/>
          </w:tcPr>
          <w:p w14:paraId="5B6C0FB6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Perineural invasion</w:t>
            </w:r>
          </w:p>
          <w:p w14:paraId="684BFE26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(absent</w:t>
            </w:r>
            <w:r>
              <w:rPr>
                <w:rFonts w:hint="eastAsia" w:ascii="Arial" w:hAnsi="Arial" w:cs="Arial"/>
                <w:szCs w:val="21"/>
              </w:rPr>
              <w:t>/</w:t>
            </w:r>
            <w:r>
              <w:rPr>
                <w:rFonts w:ascii="Arial" w:hAnsi="Arial" w:cs="Arial"/>
                <w:szCs w:val="21"/>
              </w:rPr>
              <w:t>present)</w:t>
            </w:r>
          </w:p>
        </w:tc>
        <w:tc>
          <w:tcPr>
            <w:tcW w:w="2603" w:type="dxa"/>
            <w:tcBorders>
              <w:top w:val="nil"/>
              <w:left w:val="single" w:color="FFFFFF" w:sz="24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CA418A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3.193 (2.049-4.977)</w:t>
            </w:r>
          </w:p>
        </w:tc>
        <w:tc>
          <w:tcPr>
            <w:tcW w:w="1311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63491F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0.000</w:t>
            </w:r>
          </w:p>
        </w:tc>
        <w:tc>
          <w:tcPr>
            <w:tcW w:w="2539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78A34D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2.088 (1.269-3.435)</w:t>
            </w:r>
          </w:p>
        </w:tc>
        <w:tc>
          <w:tcPr>
            <w:tcW w:w="1313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6E2D3A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0.004</w:t>
            </w:r>
          </w:p>
        </w:tc>
      </w:tr>
      <w:tr w14:paraId="1BD17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463F1">
            <w:pPr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METTL3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szCs w:val="21"/>
              </w:rPr>
              <w:t>e</w:t>
            </w:r>
            <w:r>
              <w:rPr>
                <w:rFonts w:ascii="Arial" w:hAnsi="Arial" w:cs="Arial"/>
                <w:szCs w:val="21"/>
              </w:rPr>
              <w:t>xpression</w:t>
            </w:r>
          </w:p>
          <w:p w14:paraId="539D5EA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(</w:t>
            </w:r>
            <w:r>
              <w:rPr>
                <w:rFonts w:hint="eastAsia" w:ascii="Arial" w:hAnsi="Arial" w:cs="Arial"/>
                <w:szCs w:val="21"/>
              </w:rPr>
              <w:t>low</w:t>
            </w:r>
            <w:r>
              <w:rPr>
                <w:rFonts w:ascii="Arial" w:hAnsi="Arial" w:cs="Arial"/>
                <w:szCs w:val="21"/>
              </w:rPr>
              <w:t>/</w:t>
            </w:r>
            <w:r>
              <w:rPr>
                <w:rFonts w:hint="eastAsia" w:ascii="Arial" w:hAnsi="Arial" w:cs="Arial"/>
                <w:szCs w:val="21"/>
              </w:rPr>
              <w:t>high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FB146D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3.750 (2.316-6.072)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D1529E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0.000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0D600C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3.259 (1.919-5.536)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55DB29">
            <w:pPr>
              <w:jc w:val="center"/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0.000</w:t>
            </w:r>
          </w:p>
        </w:tc>
      </w:tr>
      <w:tr w14:paraId="49A7F3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FDF0E">
            <w:pPr>
              <w:rPr>
                <w:rFonts w:ascii="Arial" w:hAnsi="Arial" w:eastAsia="等线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SOX2 expression</w:t>
            </w:r>
            <w:r>
              <w:rPr>
                <w:rFonts w:hint="eastAsia" w:ascii="Arial" w:hAnsi="Arial" w:cs="Arial"/>
                <w:szCs w:val="21"/>
              </w:rPr>
              <w:br w:type="textWrapping"/>
            </w:r>
            <w:r>
              <w:rPr>
                <w:rFonts w:ascii="Arial" w:hAnsi="Arial" w:cs="Arial"/>
                <w:szCs w:val="21"/>
              </w:rPr>
              <w:t>(</w:t>
            </w:r>
            <w:r>
              <w:rPr>
                <w:rFonts w:hint="eastAsia" w:ascii="Arial" w:hAnsi="Arial" w:cs="Arial"/>
                <w:szCs w:val="21"/>
              </w:rPr>
              <w:t>low</w:t>
            </w:r>
            <w:r>
              <w:rPr>
                <w:rFonts w:ascii="Arial" w:hAnsi="Arial" w:cs="Arial"/>
                <w:szCs w:val="21"/>
              </w:rPr>
              <w:t>/</w:t>
            </w:r>
            <w:r>
              <w:rPr>
                <w:rFonts w:hint="eastAsia" w:ascii="Arial" w:hAnsi="Arial" w:cs="Arial"/>
                <w:szCs w:val="21"/>
              </w:rPr>
              <w:t>high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18DF2D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2.904 (1.905-4.427)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8C1FC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0.000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0B403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1.694 (1.042-2.756)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2F0D1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0.034</w:t>
            </w:r>
          </w:p>
        </w:tc>
      </w:tr>
      <w:tr w14:paraId="59C63C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249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F39E31A">
            <w:pPr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IGF2BP2 expression</w:t>
            </w:r>
            <w:r>
              <w:rPr>
                <w:rFonts w:hint="eastAsia" w:ascii="Arial" w:hAnsi="Arial" w:cs="Arial"/>
                <w:szCs w:val="21"/>
              </w:rPr>
              <w:br w:type="textWrapping"/>
            </w:r>
            <w:r>
              <w:rPr>
                <w:rFonts w:ascii="Arial" w:hAnsi="Arial" w:cs="Arial"/>
                <w:szCs w:val="21"/>
              </w:rPr>
              <w:t>(</w:t>
            </w:r>
            <w:r>
              <w:rPr>
                <w:rFonts w:hint="eastAsia" w:ascii="Arial" w:hAnsi="Arial" w:cs="Arial"/>
                <w:szCs w:val="21"/>
              </w:rPr>
              <w:t>low</w:t>
            </w:r>
            <w:r>
              <w:rPr>
                <w:rFonts w:ascii="Arial" w:hAnsi="Arial" w:cs="Arial"/>
                <w:szCs w:val="21"/>
              </w:rPr>
              <w:t>/</w:t>
            </w:r>
            <w:r>
              <w:rPr>
                <w:rFonts w:hint="eastAsia" w:ascii="Arial" w:hAnsi="Arial" w:cs="Arial"/>
                <w:szCs w:val="21"/>
              </w:rPr>
              <w:t>high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260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BC02A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2.175 (1.416-3.343)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671AD4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0.000</w:t>
            </w:r>
          </w:p>
        </w:tc>
        <w:tc>
          <w:tcPr>
            <w:tcW w:w="253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750A96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1.713 (1.101-2.666)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090FE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0.017</w:t>
            </w:r>
          </w:p>
        </w:tc>
      </w:tr>
      <w:tr w14:paraId="5F79E1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atLeast"/>
        </w:trPr>
        <w:tc>
          <w:tcPr>
            <w:tcW w:w="10262" w:type="dxa"/>
            <w:gridSpan w:val="5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4" w:space="0"/>
            </w:tcBorders>
            <w:vAlign w:val="center"/>
          </w:tcPr>
          <w:p w14:paraId="233D181C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Abbreviations: CRC: Colorectal cancer; m: tumor invasion of mucosa; sm: submocosa; mp: muscular is propria; ss:subserose; se: serosa penetration; si: invasion to adjacent structures. HR: hazard ratio; CI: confidence interval.</w:t>
            </w:r>
          </w:p>
          <w:p w14:paraId="32409F5D">
            <w:pPr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 xml:space="preserve">* </w:t>
            </w:r>
            <w:r>
              <w:rPr>
                <w:rFonts w:ascii="Arial" w:hAnsi="Arial" w:cs="Arial"/>
                <w:szCs w:val="21"/>
              </w:rPr>
              <w:t xml:space="preserve">For the multivariate model, HR and </w:t>
            </w:r>
            <w:r>
              <w:rPr>
                <w:rFonts w:ascii="Arial" w:hAnsi="Arial" w:cs="Arial"/>
                <w:i/>
                <w:iCs/>
                <w:szCs w:val="21"/>
              </w:rPr>
              <w:t>P</w:t>
            </w:r>
            <w:r>
              <w:rPr>
                <w:rFonts w:ascii="Arial" w:hAnsi="Arial" w:cs="Arial"/>
                <w:szCs w:val="21"/>
              </w:rPr>
              <w:t xml:space="preserve"> values were shown </w:t>
            </w:r>
            <w:r>
              <w:rPr>
                <w:rFonts w:hint="eastAsia" w:ascii="Arial" w:hAnsi="Arial" w:cs="Arial"/>
                <w:szCs w:val="21"/>
              </w:rPr>
              <w:t>by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szCs w:val="21"/>
              </w:rPr>
              <w:t>backward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szCs w:val="21"/>
              </w:rPr>
              <w:t>method</w:t>
            </w:r>
            <w:r>
              <w:rPr>
                <w:rFonts w:ascii="Arial" w:hAnsi="Arial" w:cs="Arial"/>
                <w:szCs w:val="21"/>
              </w:rPr>
              <w:t xml:space="preserve"> only.</w:t>
            </w:r>
          </w:p>
        </w:tc>
      </w:tr>
    </w:tbl>
    <w:p w14:paraId="00429CC0">
      <w:pPr>
        <w:spacing w:line="360" w:lineRule="auto"/>
        <w:jc w:val="center"/>
        <w:rPr>
          <w:rFonts w:ascii="Arial" w:hAnsi="Arial" w:eastAsia="等线" w:cs="Arial"/>
          <w:sz w:val="24"/>
          <w:szCs w:val="24"/>
        </w:rPr>
      </w:pPr>
    </w:p>
    <w:p w14:paraId="3E900B0F">
      <w:pPr>
        <w:spacing w:line="360" w:lineRule="auto"/>
        <w:jc w:val="center"/>
        <w:rPr>
          <w:rFonts w:ascii="Arial" w:hAnsi="Arial" w:eastAsia="等线" w:cs="Arial"/>
          <w:sz w:val="24"/>
          <w:szCs w:val="24"/>
        </w:rPr>
      </w:pPr>
    </w:p>
    <w:p w14:paraId="12C7254A">
      <w:pPr>
        <w:spacing w:line="360" w:lineRule="auto"/>
        <w:rPr>
          <w:rFonts w:ascii="Arial" w:hAnsi="Arial" w:eastAsia="等线" w:cs="Arial"/>
          <w:b/>
          <w:sz w:val="24"/>
          <w:szCs w:val="24"/>
        </w:rPr>
      </w:pPr>
    </w:p>
    <w:p w14:paraId="5912EC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4F2B31BB"/>
    <w:rsid w:val="0009467F"/>
    <w:rsid w:val="00771E65"/>
    <w:rsid w:val="14856F5D"/>
    <w:rsid w:val="4F2B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EndNote Bibliography"/>
    <w:basedOn w:val="1"/>
    <w:qFormat/>
    <w:uiPriority w:val="0"/>
    <w:rPr>
      <w:rFonts w:ascii="Calibri" w:hAnsi="Calibri" w:cs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165</Words>
  <Characters>1088</Characters>
  <Lines>78</Lines>
  <Paragraphs>68</Paragraphs>
  <TotalTime>0</TotalTime>
  <ScaleCrop>false</ScaleCrop>
  <LinksUpToDate>false</LinksUpToDate>
  <CharactersWithSpaces>1185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2019-03-27T16:18:00Z</dcterms:created>
  <dc:creator>Lydia.</dc:creator>
  <cp:lastModifiedBy>WPS_1764072874</cp:lastModifiedBy>
  <dcterms:modified xsi:type="dcterms:W3CDTF">2026-08-11T05:42:13Z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eyJoZGlkIjoiMzEwNTM5NzYwMDRjMzkwZTVkZjY2ODkwMGIxNGU0OTUiLCJ1c2VySWQiOiIxNzc1MjkzNDg5In0=</vt:lpwstr>
  </property>
  <property fmtid="{D5CDD505-2E9C-101B-9397-08002B2CF9AE}" pid="4" name="ICV">
    <vt:lpwstr>1C16C0B10CF14C209C204425474A9D91_12</vt:lpwstr>
  </property>
</Properties>
</file>