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5AF" w:rsidRPr="00E43F3E" w:rsidRDefault="008515AF" w:rsidP="008515AF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:rsidR="008515AF" w:rsidRPr="00E43F3E" w:rsidRDefault="00AD0637" w:rsidP="008515AF">
      <w:pPr>
        <w:spacing w:after="0"/>
        <w:rPr>
          <w:rFonts w:ascii="Times New Roman" w:hAnsi="Times New Roman"/>
          <w:lang w:val="en-US"/>
        </w:rPr>
      </w:pPr>
      <w:r w:rsidRPr="00E43F3E">
        <w:rPr>
          <w:rFonts w:ascii="Times New Roman" w:hAnsi="Times New Roman"/>
          <w:lang w:val="en-US"/>
        </w:rPr>
        <w:t xml:space="preserve">Table </w:t>
      </w:r>
      <w:r>
        <w:rPr>
          <w:rFonts w:ascii="Times New Roman" w:hAnsi="Times New Roman"/>
          <w:lang w:val="en-US"/>
        </w:rPr>
        <w:t>S</w:t>
      </w:r>
      <w:r w:rsidR="008515AF" w:rsidRPr="00E43F3E">
        <w:rPr>
          <w:rFonts w:ascii="Times New Roman" w:hAnsi="Times New Roman"/>
          <w:lang w:val="en-US"/>
        </w:rPr>
        <w:t>1: Sociodemographic</w:t>
      </w:r>
      <w:r w:rsidR="00E43F3E" w:rsidRPr="00E43F3E">
        <w:rPr>
          <w:rFonts w:ascii="Times New Roman" w:hAnsi="Times New Roman"/>
          <w:lang w:val="en-US"/>
        </w:rPr>
        <w:t xml:space="preserve"> and comorbidities</w:t>
      </w:r>
      <w:r w:rsidR="008515AF" w:rsidRPr="00E43F3E">
        <w:rPr>
          <w:rFonts w:ascii="Times New Roman" w:hAnsi="Times New Roman"/>
          <w:lang w:val="en-US"/>
        </w:rPr>
        <w:t xml:space="preserve"> at start of treatment comparing brand-name vs. generic by type of statin.</w:t>
      </w:r>
    </w:p>
    <w:p w:rsidR="008515AF" w:rsidRPr="00E43F3E" w:rsidRDefault="008515AF" w:rsidP="008515AF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tbl>
      <w:tblPr>
        <w:tblW w:w="1414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6"/>
        <w:gridCol w:w="1603"/>
        <w:gridCol w:w="1602"/>
        <w:gridCol w:w="1553"/>
        <w:gridCol w:w="635"/>
        <w:gridCol w:w="146"/>
        <w:gridCol w:w="1603"/>
        <w:gridCol w:w="1603"/>
        <w:gridCol w:w="1553"/>
        <w:gridCol w:w="760"/>
      </w:tblGrid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Type of statin</w:t>
            </w:r>
          </w:p>
        </w:tc>
        <w:tc>
          <w:tcPr>
            <w:tcW w:w="53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Atorvastatin</w:t>
            </w:r>
          </w:p>
        </w:tc>
        <w:tc>
          <w:tcPr>
            <w:tcW w:w="146" w:type="dxa"/>
            <w:tcBorders>
              <w:top w:val="single" w:sz="4" w:space="0" w:color="auto"/>
              <w:left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551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Simvastatin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Subgroup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Generic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Brand-name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Total</w:t>
            </w:r>
          </w:p>
        </w:tc>
        <w:tc>
          <w:tcPr>
            <w:tcW w:w="635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p</w:t>
            </w:r>
          </w:p>
        </w:tc>
        <w:tc>
          <w:tcPr>
            <w:tcW w:w="146" w:type="dxa"/>
            <w:tcBorders>
              <w:left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Generic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Brand-name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Total</w:t>
            </w:r>
          </w:p>
        </w:tc>
        <w:tc>
          <w:tcPr>
            <w:tcW w:w="7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p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Number of records, %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4,957 (79.1%)</w:t>
            </w:r>
          </w:p>
        </w:tc>
        <w:tc>
          <w:tcPr>
            <w:tcW w:w="16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1,313 (20.9%)</w:t>
            </w:r>
          </w:p>
        </w:tc>
        <w:tc>
          <w:tcPr>
            <w:tcW w:w="155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6,270 (100%)</w:t>
            </w:r>
          </w:p>
        </w:tc>
        <w:tc>
          <w:tcPr>
            <w:tcW w:w="635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46" w:type="dxa"/>
            <w:tcBorders>
              <w:left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5,280 (75.7%)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1,694 (24.3%)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6,974 (100%)</w:t>
            </w:r>
          </w:p>
        </w:tc>
        <w:tc>
          <w:tcPr>
            <w:tcW w:w="7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Mean age, years</w:t>
            </w:r>
          </w:p>
        </w:tc>
        <w:tc>
          <w:tcPr>
            <w:tcW w:w="16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62.9 (10.5)</w:t>
            </w:r>
          </w:p>
        </w:tc>
        <w:tc>
          <w:tcPr>
            <w:tcW w:w="16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62.9 (11.2)</w:t>
            </w:r>
          </w:p>
        </w:tc>
        <w:tc>
          <w:tcPr>
            <w:tcW w:w="1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62.9 (10.6)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0.801</w:t>
            </w:r>
          </w:p>
        </w:tc>
        <w:tc>
          <w:tcPr>
            <w:tcW w:w="146" w:type="dxa"/>
            <w:tcBorders>
              <w:left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59.7 (11.9)</w:t>
            </w:r>
          </w:p>
        </w:tc>
        <w:tc>
          <w:tcPr>
            <w:tcW w:w="16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60.2 (12.0)</w:t>
            </w:r>
          </w:p>
        </w:tc>
        <w:tc>
          <w:tcPr>
            <w:tcW w:w="1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59.8 (11,9)</w:t>
            </w:r>
          </w:p>
        </w:tc>
        <w:tc>
          <w:tcPr>
            <w:tcW w:w="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0.144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Sex (women)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51</w:t>
            </w:r>
            <w:r>
              <w:rPr>
                <w:rFonts w:ascii="Times New Roman" w:hAnsi="Times New Roman"/>
                <w:color w:val="000000"/>
                <w:lang w:val="en-US" w:eastAsia="es-ES"/>
              </w:rPr>
              <w:t>.</w:t>
            </w: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5%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53</w:t>
            </w:r>
            <w:r>
              <w:rPr>
                <w:rFonts w:ascii="Times New Roman" w:hAnsi="Times New Roman"/>
                <w:color w:val="000000"/>
                <w:lang w:val="en-US" w:eastAsia="es-ES"/>
              </w:rPr>
              <w:t>.</w:t>
            </w: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2%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51</w:t>
            </w:r>
            <w:r>
              <w:rPr>
                <w:rFonts w:ascii="Times New Roman" w:hAnsi="Times New Roman"/>
                <w:color w:val="000000"/>
                <w:lang w:val="en-US" w:eastAsia="es-ES"/>
              </w:rPr>
              <w:t>.</w:t>
            </w: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8%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</w:t>
            </w:r>
            <w:r>
              <w:rPr>
                <w:rFonts w:ascii="Times New Roman" w:hAnsi="Times New Roman"/>
                <w:color w:val="000000"/>
                <w:lang w:val="en-US" w:eastAsia="es-ES"/>
              </w:rPr>
              <w:t>.</w:t>
            </w: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279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53.4%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52</w:t>
            </w:r>
            <w:r>
              <w:rPr>
                <w:rFonts w:ascii="Times New Roman" w:hAnsi="Times New Roman"/>
                <w:color w:val="000000"/>
                <w:lang w:val="es-ES" w:eastAsia="es-ES"/>
              </w:rPr>
              <w:t>.</w:t>
            </w: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4%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53</w:t>
            </w:r>
            <w:r>
              <w:rPr>
                <w:rFonts w:ascii="Times New Roman" w:hAnsi="Times New Roman"/>
                <w:color w:val="000000"/>
                <w:lang w:val="es-ES" w:eastAsia="es-ES"/>
              </w:rPr>
              <w:t>.</w:t>
            </w: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2%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0</w:t>
            </w:r>
            <w:r>
              <w:rPr>
                <w:rFonts w:ascii="Times New Roman" w:hAnsi="Times New Roman"/>
                <w:color w:val="000000"/>
                <w:lang w:val="es-ES" w:eastAsia="es-ES"/>
              </w:rPr>
              <w:t>.</w:t>
            </w: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461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rPr>
                <w:rFonts w:ascii="Times New Roman" w:hAnsi="Times New Roman"/>
                <w:i/>
                <w:iCs/>
                <w:lang w:val="es-ES" w:eastAsia="es-ES"/>
              </w:rPr>
            </w:pPr>
            <w:r>
              <w:rPr>
                <w:rFonts w:ascii="Times New Roman" w:hAnsi="Times New Roman"/>
                <w:i/>
                <w:iCs/>
                <w:lang w:val="es-ES" w:eastAsia="es-ES"/>
              </w:rPr>
              <w:t xml:space="preserve">General </w:t>
            </w:r>
            <w:proofErr w:type="spellStart"/>
            <w:r>
              <w:rPr>
                <w:rFonts w:ascii="Times New Roman" w:hAnsi="Times New Roman"/>
                <w:i/>
                <w:iCs/>
                <w:lang w:val="es-ES" w:eastAsia="es-ES"/>
              </w:rPr>
              <w:t>comorbidity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6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s-ES" w:eastAsia="es-ES"/>
              </w:rPr>
            </w:pP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rPr>
                <w:rFonts w:ascii="Times New Roman" w:hAnsi="Times New Roman"/>
                <w:lang w:val="es-ES" w:eastAsia="es-ES"/>
              </w:rPr>
            </w:pPr>
            <w:r>
              <w:rPr>
                <w:rFonts w:ascii="Times New Roman" w:hAnsi="Times New Roman"/>
                <w:lang w:val="es-ES" w:eastAsia="es-ES"/>
              </w:rPr>
              <w:t xml:space="preserve">Mean </w:t>
            </w:r>
            <w:proofErr w:type="spellStart"/>
            <w:r>
              <w:rPr>
                <w:rFonts w:ascii="Times New Roman" w:hAnsi="Times New Roman"/>
                <w:lang w:val="es-ES" w:eastAsia="es-ES"/>
              </w:rPr>
              <w:t>number</w:t>
            </w:r>
            <w:proofErr w:type="spellEnd"/>
            <w:r>
              <w:rPr>
                <w:rFonts w:ascii="Times New Roman" w:hAnsi="Times New Roman"/>
                <w:lang w:val="es-ES" w:eastAsia="es-ES"/>
              </w:rPr>
              <w:t xml:space="preserve"> of </w:t>
            </w:r>
            <w:proofErr w:type="spellStart"/>
            <w:r>
              <w:rPr>
                <w:rFonts w:ascii="Times New Roman" w:hAnsi="Times New Roman"/>
                <w:lang w:val="es-ES" w:eastAsia="es-ES"/>
              </w:rPr>
              <w:t>comorbidities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6,8 (3,4)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6,7 (3,5)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6,8 (3,4)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0,100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6,2 (3,1)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6,6 (3,8)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6,3 (3,3)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4065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s-ES" w:eastAsia="es-ES"/>
              </w:rPr>
            </w:pPr>
            <w:r>
              <w:rPr>
                <w:rFonts w:ascii="Times New Roman" w:hAnsi="Times New Roman"/>
                <w:color w:val="000000"/>
                <w:lang w:val="es-ES" w:eastAsia="es-ES"/>
              </w:rPr>
              <w:t>&lt;</w:t>
            </w:r>
            <w:r w:rsidRPr="00E43F3E">
              <w:rPr>
                <w:rFonts w:ascii="Times New Roman" w:hAnsi="Times New Roman"/>
                <w:color w:val="000000"/>
                <w:lang w:val="es-ES" w:eastAsia="es-ES"/>
              </w:rPr>
              <w:t>0,00</w:t>
            </w:r>
            <w:r>
              <w:rPr>
                <w:rFonts w:ascii="Times New Roman" w:hAnsi="Times New Roman"/>
                <w:color w:val="000000"/>
                <w:lang w:val="es-ES" w:eastAsia="es-ES"/>
              </w:rPr>
              <w:t>1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Charlson</w:t>
            </w:r>
            <w:proofErr w:type="spellEnd"/>
            <w:r>
              <w:rPr>
                <w:rFonts w:ascii="Times New Roman" w:hAnsi="Times New Roman"/>
                <w:lang w:val="en-US" w:eastAsia="es-ES"/>
              </w:rPr>
              <w:t xml:space="preserve"> index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0,8 (0,9)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0,8 (1)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0,8 (0,9)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0,628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0,7 (1,1)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0,7 (1,0)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0,7 (1,1)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0,465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E43F3E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>
              <w:rPr>
                <w:rFonts w:ascii="Times New Roman" w:hAnsi="Times New Roman"/>
                <w:lang w:val="en-US" w:eastAsia="es-ES"/>
              </w:rPr>
              <w:t>Mean resources utilization band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3,0 (0,7)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3,0 (0,7)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3,0 (0,7)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0,931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2,9 (0,7)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2,9 (0,7)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2,9 (0,7)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0,607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1 (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comorbilidad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muy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baja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2,6%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3,7%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2,9%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4,2%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4,0%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4,2%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2 (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comorbilidad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baja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13,6%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11,9%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13,2%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16,0%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18,1%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16,5%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3 (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comorbilidad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moderada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67,2%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67,6%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67,3%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66,3%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63,9%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65,7%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4 (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comorbilidad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elevada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14,6%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14,5%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14,6%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11,8%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12,1%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11,9%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5 (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comorbilidad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muy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elevada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2,0%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2,3%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2,0%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0,168</w:t>
            </w:r>
          </w:p>
        </w:tc>
        <w:tc>
          <w:tcPr>
            <w:tcW w:w="146" w:type="dxa"/>
            <w:tcBorders>
              <w:top w:val="nil"/>
              <w:left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1,7%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1,9%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1,8%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0,339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i/>
                <w:iCs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i/>
                <w:iCs/>
                <w:lang w:val="en-US" w:eastAsia="es-ES"/>
              </w:rPr>
              <w:t>Comorbilidades</w:t>
            </w:r>
            <w:proofErr w:type="spellEnd"/>
            <w:r w:rsidRPr="00E43F3E">
              <w:rPr>
                <w:rFonts w:ascii="Times New Roman" w:hAnsi="Times New Roman"/>
                <w:i/>
                <w:iCs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i/>
                <w:iCs/>
                <w:lang w:val="en-US" w:eastAsia="es-ES"/>
              </w:rPr>
              <w:t>asociadas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46" w:type="dxa"/>
            <w:tcBorders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Hipertensión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arterial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50,1%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51,0%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50,2%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0,561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49,6%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47,9%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49,2%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0,227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Diabetes mellitus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23,9%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23,5%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23,8%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0,735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21,8%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22,7%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22,0%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0,413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Obesidad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20,2%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18,6%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19,8%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0,205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18,7%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20,7%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19,2%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0,071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Fumadores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activos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22,8%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22,4%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22,7%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0,732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25,0%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23,3%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24,6%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0,147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Alcoholismo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3,8%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4,1%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3,9%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0,592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3,2%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4,3%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3,5%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0,033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Cardiopatía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isquémica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7,7%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9,5%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8,1%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0,030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8,8%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9,3%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8,9%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0,579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Accidente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vasculocerebral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12,4%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10,8%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12,1%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0,120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9,7%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9,2%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9,6%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0,555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 xml:space="preserve">ECV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previo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20,1%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19,6%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20,0%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0,687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18,0%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17,3%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17,8%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0,515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Insuficiencias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orgánicas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18,9%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18,5%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18,8%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0,757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15,9%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17,0%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16,1%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0,271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Demencias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(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todos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los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tipos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>)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2,8%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3,0%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2,8%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0,611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2,1%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2,1%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2,1%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0,992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Síndrome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depresivo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21,6%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21,1%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21,5%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0,842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21,4%</w:t>
            </w: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21,8%</w:t>
            </w:r>
          </w:p>
        </w:tc>
        <w:tc>
          <w:tcPr>
            <w:tcW w:w="1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21,5%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0,701</w:t>
            </w:r>
          </w:p>
        </w:tc>
      </w:tr>
      <w:tr w:rsidR="000B5E50" w:rsidRPr="00E43F3E" w:rsidTr="000B5E50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B5E50" w:rsidRPr="00E43F3E" w:rsidRDefault="000B5E50" w:rsidP="001521E8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Neoplasias</w:t>
            </w:r>
            <w:proofErr w:type="spellEnd"/>
            <w:r w:rsidRPr="00E43F3E">
              <w:rPr>
                <w:rFonts w:ascii="Times New Roman" w:hAnsi="Times New Roman"/>
                <w:lang w:val="en-US" w:eastAsia="es-ES"/>
              </w:rPr>
              <w:t xml:space="preserve"> </w:t>
            </w:r>
            <w:proofErr w:type="spellStart"/>
            <w:r w:rsidRPr="00E43F3E">
              <w:rPr>
                <w:rFonts w:ascii="Times New Roman" w:hAnsi="Times New Roman"/>
                <w:lang w:val="en-US" w:eastAsia="es-ES"/>
              </w:rPr>
              <w:t>malignas</w:t>
            </w:r>
            <w:proofErr w:type="spellEnd"/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9,9%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9,4%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9,8%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0,602</w:t>
            </w:r>
          </w:p>
        </w:tc>
        <w:tc>
          <w:tcPr>
            <w:tcW w:w="1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8,9%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8,7%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8,9%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B5E50" w:rsidRPr="00E43F3E" w:rsidRDefault="000B5E50" w:rsidP="00E43F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en-US" w:eastAsia="es-ES"/>
              </w:rPr>
            </w:pPr>
            <w:r w:rsidRPr="00E43F3E">
              <w:rPr>
                <w:rFonts w:ascii="Times New Roman" w:hAnsi="Times New Roman"/>
                <w:color w:val="000000"/>
                <w:lang w:val="en-US" w:eastAsia="es-ES"/>
              </w:rPr>
              <w:t>0,799</w:t>
            </w:r>
          </w:p>
        </w:tc>
      </w:tr>
    </w:tbl>
    <w:p w:rsidR="008515AF" w:rsidRPr="000B5E50" w:rsidRDefault="008515AF" w:rsidP="0040656B">
      <w:pPr>
        <w:spacing w:before="60" w:after="0" w:line="240" w:lineRule="auto"/>
        <w:ind w:firstLine="142"/>
        <w:jc w:val="both"/>
        <w:rPr>
          <w:rFonts w:ascii="Times New Roman" w:hAnsi="Times New Roman"/>
          <w:sz w:val="18"/>
          <w:lang w:val="es-ES"/>
        </w:rPr>
      </w:pPr>
      <w:r w:rsidRPr="000B5E50">
        <w:rPr>
          <w:rFonts w:ascii="Times New Roman" w:hAnsi="Times New Roman"/>
          <w:sz w:val="18"/>
          <w:lang w:val="es-ES"/>
        </w:rPr>
        <w:t>Valores expresados en porcentaje o media (desviación estándar), p: significación estadística. ECV: evento cardiovascular.</w:t>
      </w:r>
    </w:p>
    <w:p w:rsidR="000B5E50" w:rsidRDefault="000B5E50">
      <w:pPr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br w:type="page"/>
      </w:r>
    </w:p>
    <w:p w:rsidR="000B5E50" w:rsidRPr="00E43F3E" w:rsidRDefault="00AD0637" w:rsidP="000B5E50">
      <w:pPr>
        <w:spacing w:after="0"/>
        <w:rPr>
          <w:rFonts w:ascii="Times New Roman" w:hAnsi="Times New Roman"/>
          <w:lang w:val="en-US"/>
        </w:rPr>
      </w:pPr>
      <w:bookmarkStart w:id="0" w:name="_GoBack"/>
      <w:r w:rsidRPr="00E43F3E">
        <w:rPr>
          <w:rFonts w:ascii="Times New Roman" w:hAnsi="Times New Roman"/>
          <w:lang w:val="en-US"/>
        </w:rPr>
        <w:lastRenderedPageBreak/>
        <w:t xml:space="preserve">Table </w:t>
      </w:r>
      <w:r>
        <w:rPr>
          <w:rFonts w:ascii="Times New Roman" w:hAnsi="Times New Roman"/>
          <w:lang w:val="en-US"/>
        </w:rPr>
        <w:t>S</w:t>
      </w:r>
      <w:r w:rsidR="000B5E50">
        <w:rPr>
          <w:rFonts w:ascii="Times New Roman" w:hAnsi="Times New Roman"/>
          <w:lang w:val="en-US"/>
        </w:rPr>
        <w:t xml:space="preserve">2: Distribution of statin dosages </w:t>
      </w:r>
      <w:r w:rsidR="000B5E50" w:rsidRPr="00E43F3E">
        <w:rPr>
          <w:rFonts w:ascii="Times New Roman" w:hAnsi="Times New Roman"/>
          <w:lang w:val="en-US"/>
        </w:rPr>
        <w:t>comparing brand-name vs. generic by type of statin.</w:t>
      </w:r>
      <w:bookmarkEnd w:id="0"/>
    </w:p>
    <w:p w:rsidR="00F109C3" w:rsidRPr="00312B21" w:rsidRDefault="00F109C3" w:rsidP="00F109C3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US"/>
        </w:rPr>
      </w:pPr>
    </w:p>
    <w:tbl>
      <w:tblPr>
        <w:tblW w:w="1414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6"/>
        <w:gridCol w:w="90"/>
        <w:gridCol w:w="1513"/>
        <w:gridCol w:w="52"/>
        <w:gridCol w:w="1550"/>
        <w:gridCol w:w="15"/>
        <w:gridCol w:w="1538"/>
        <w:gridCol w:w="27"/>
        <w:gridCol w:w="608"/>
        <w:gridCol w:w="88"/>
        <w:gridCol w:w="58"/>
        <w:gridCol w:w="1507"/>
        <w:gridCol w:w="96"/>
        <w:gridCol w:w="1469"/>
        <w:gridCol w:w="134"/>
        <w:gridCol w:w="1431"/>
        <w:gridCol w:w="122"/>
        <w:gridCol w:w="574"/>
        <w:gridCol w:w="186"/>
      </w:tblGrid>
      <w:tr w:rsidR="00F109C3" w:rsidRPr="00E43F3E" w:rsidTr="00F109C3">
        <w:trPr>
          <w:trHeight w:val="240"/>
          <w:jc w:val="center"/>
        </w:trPr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Type of statin</w:t>
            </w:r>
          </w:p>
        </w:tc>
        <w:tc>
          <w:tcPr>
            <w:tcW w:w="539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Atorvastatin</w:t>
            </w:r>
          </w:p>
        </w:tc>
        <w:tc>
          <w:tcPr>
            <w:tcW w:w="146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55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Simvastatin</w:t>
            </w:r>
          </w:p>
        </w:tc>
      </w:tr>
      <w:tr w:rsidR="00F109C3" w:rsidRPr="00E43F3E" w:rsidTr="00F109C3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Subgroup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Generic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Brand-name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Total</w:t>
            </w:r>
          </w:p>
        </w:tc>
        <w:tc>
          <w:tcPr>
            <w:tcW w:w="635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p</w:t>
            </w:r>
          </w:p>
        </w:tc>
        <w:tc>
          <w:tcPr>
            <w:tcW w:w="146" w:type="dxa"/>
            <w:gridSpan w:val="2"/>
            <w:tcBorders>
              <w:left w:val="nil"/>
              <w:right w:val="nil"/>
            </w:tcBorders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Generic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Brand-name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Total</w:t>
            </w:r>
          </w:p>
        </w:tc>
        <w:tc>
          <w:tcPr>
            <w:tcW w:w="76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p</w:t>
            </w:r>
          </w:p>
        </w:tc>
      </w:tr>
      <w:tr w:rsidR="00F109C3" w:rsidRPr="00E43F3E" w:rsidTr="00F109C3">
        <w:trPr>
          <w:trHeight w:val="240"/>
          <w:jc w:val="center"/>
        </w:trPr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09C3" w:rsidRPr="00E43F3E" w:rsidRDefault="00F109C3" w:rsidP="008F0490">
            <w:pPr>
              <w:spacing w:after="0" w:line="240" w:lineRule="auto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Number of records, %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4,957 (79.1%)</w:t>
            </w:r>
          </w:p>
        </w:tc>
        <w:tc>
          <w:tcPr>
            <w:tcW w:w="160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1,313 (20.9%)</w:t>
            </w:r>
          </w:p>
        </w:tc>
        <w:tc>
          <w:tcPr>
            <w:tcW w:w="155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6,270 (100%)</w:t>
            </w:r>
          </w:p>
        </w:tc>
        <w:tc>
          <w:tcPr>
            <w:tcW w:w="635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46" w:type="dxa"/>
            <w:gridSpan w:val="2"/>
            <w:tcBorders>
              <w:left w:val="nil"/>
              <w:right w:val="nil"/>
            </w:tcBorders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5,280 (75.7%)</w:t>
            </w:r>
          </w:p>
        </w:tc>
        <w:tc>
          <w:tcPr>
            <w:tcW w:w="16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1,694 (24.3%)</w:t>
            </w:r>
          </w:p>
        </w:tc>
        <w:tc>
          <w:tcPr>
            <w:tcW w:w="15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  <w:r w:rsidRPr="00E43F3E">
              <w:rPr>
                <w:rFonts w:ascii="Times New Roman" w:hAnsi="Times New Roman"/>
                <w:lang w:val="en-US" w:eastAsia="es-ES"/>
              </w:rPr>
              <w:t>6,974 (100%)</w:t>
            </w:r>
          </w:p>
        </w:tc>
        <w:tc>
          <w:tcPr>
            <w:tcW w:w="76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F109C3" w:rsidRPr="00E43F3E" w:rsidRDefault="00F109C3" w:rsidP="008F0490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s-ES"/>
              </w:rPr>
            </w:pPr>
          </w:p>
        </w:tc>
      </w:tr>
      <w:tr w:rsidR="00F109C3" w:rsidRPr="00F109C3" w:rsidTr="00F109C3">
        <w:trPr>
          <w:gridAfter w:val="1"/>
          <w:wAfter w:w="186" w:type="dxa"/>
          <w:trHeight w:val="240"/>
          <w:jc w:val="center"/>
        </w:trPr>
        <w:tc>
          <w:tcPr>
            <w:tcW w:w="3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109C3" w:rsidRPr="00F109C3" w:rsidRDefault="00F109C3" w:rsidP="00F10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 xml:space="preserve">   10 mg/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es-ES" w:eastAsia="es-ES"/>
              </w:rPr>
              <w:t>day</w:t>
            </w:r>
            <w:proofErr w:type="spellEnd"/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35,5%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33,5%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35,1%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18,1%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19,4%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18,4%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</w:tr>
      <w:tr w:rsidR="00F109C3" w:rsidRPr="00F109C3" w:rsidTr="00F109C3">
        <w:trPr>
          <w:gridAfter w:val="1"/>
          <w:wAfter w:w="186" w:type="dxa"/>
          <w:trHeight w:val="240"/>
          <w:jc w:val="center"/>
        </w:trPr>
        <w:tc>
          <w:tcPr>
            <w:tcW w:w="3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109C3" w:rsidRPr="00F109C3" w:rsidRDefault="00F109C3" w:rsidP="00F10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 xml:space="preserve">   20 mg/</w:t>
            </w:r>
            <w:proofErr w:type="spellStart"/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  <w:lang w:val="es-ES" w:eastAsia="es-ES"/>
              </w:rPr>
              <w:t>ay</w:t>
            </w:r>
            <w:proofErr w:type="spellEnd"/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41,7%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42,4%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41,8%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60,5%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60,3%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60,4%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</w:tr>
      <w:tr w:rsidR="00F109C3" w:rsidRPr="00F109C3" w:rsidTr="00F109C3">
        <w:trPr>
          <w:gridAfter w:val="1"/>
          <w:wAfter w:w="186" w:type="dxa"/>
          <w:trHeight w:val="240"/>
          <w:jc w:val="center"/>
        </w:trPr>
        <w:tc>
          <w:tcPr>
            <w:tcW w:w="3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109C3" w:rsidRPr="00F109C3" w:rsidRDefault="00F109C3" w:rsidP="00F10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 xml:space="preserve">   40 mg/</w:t>
            </w:r>
            <w:proofErr w:type="spellStart"/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  <w:lang w:val="es-ES" w:eastAsia="es-ES"/>
              </w:rPr>
              <w:t>ay</w:t>
            </w:r>
            <w:proofErr w:type="spellEnd"/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13,3%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14,1%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13,4%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21,4%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20,3%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21,2%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0,558</w:t>
            </w:r>
          </w:p>
        </w:tc>
      </w:tr>
      <w:tr w:rsidR="00F109C3" w:rsidRPr="00F109C3" w:rsidTr="00F109C3">
        <w:trPr>
          <w:gridAfter w:val="1"/>
          <w:wAfter w:w="186" w:type="dxa"/>
          <w:trHeight w:val="240"/>
          <w:jc w:val="center"/>
        </w:trPr>
        <w:tc>
          <w:tcPr>
            <w:tcW w:w="31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09C3" w:rsidRPr="00F109C3" w:rsidRDefault="00F109C3" w:rsidP="00F109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 xml:space="preserve">   80 mg/</w:t>
            </w:r>
            <w:proofErr w:type="spellStart"/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  <w:lang w:val="es-ES" w:eastAsia="es-ES"/>
              </w:rPr>
              <w:t>ay</w:t>
            </w:r>
            <w:proofErr w:type="spellEnd"/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9,5%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10,0%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F10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9,7%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color w:val="000000"/>
                <w:sz w:val="20"/>
                <w:szCs w:val="20"/>
                <w:lang w:val="es-ES" w:eastAsia="es-ES"/>
              </w:rPr>
              <w:t>0,691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109C3" w:rsidRPr="00F109C3" w:rsidRDefault="00F109C3" w:rsidP="008F049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 w:eastAsia="es-ES"/>
              </w:rPr>
            </w:pPr>
            <w:r w:rsidRPr="00F109C3">
              <w:rPr>
                <w:rFonts w:ascii="Times New Roman" w:hAnsi="Times New Roman"/>
                <w:sz w:val="20"/>
                <w:szCs w:val="20"/>
                <w:lang w:val="es-ES" w:eastAsia="es-ES"/>
              </w:rPr>
              <w:t> </w:t>
            </w:r>
          </w:p>
        </w:tc>
      </w:tr>
    </w:tbl>
    <w:p w:rsidR="000B5E50" w:rsidRPr="00F109C3" w:rsidRDefault="000B5E50">
      <w:pPr>
        <w:rPr>
          <w:rFonts w:ascii="Times New Roman" w:hAnsi="Times New Roman"/>
          <w:lang w:val="es-ES"/>
        </w:rPr>
      </w:pPr>
    </w:p>
    <w:sectPr w:rsidR="000B5E50" w:rsidRPr="00F109C3" w:rsidSect="008515A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5AF"/>
    <w:rsid w:val="000B5E50"/>
    <w:rsid w:val="00312B21"/>
    <w:rsid w:val="0040656B"/>
    <w:rsid w:val="004C5EB7"/>
    <w:rsid w:val="008515AF"/>
    <w:rsid w:val="00AD0637"/>
    <w:rsid w:val="00C207C1"/>
    <w:rsid w:val="00E43F3E"/>
    <w:rsid w:val="00F109C3"/>
    <w:rsid w:val="00F4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5AF"/>
    <w:rPr>
      <w:rFonts w:ascii="Calibri" w:eastAsia="Times New Roman" w:hAnsi="Calibri" w:cs="Times New Roman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5AF"/>
    <w:rPr>
      <w:rFonts w:ascii="Calibri" w:eastAsia="Times New Roman" w:hAnsi="Calibri" w:cs="Times New Roman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Pfizer Inc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Rejas, Javier</dc:creator>
  <cp:lastModifiedBy>TBANIGA</cp:lastModifiedBy>
  <cp:revision>7</cp:revision>
  <dcterms:created xsi:type="dcterms:W3CDTF">2018-05-04T07:30:00Z</dcterms:created>
  <dcterms:modified xsi:type="dcterms:W3CDTF">2018-11-19T22:12:00Z</dcterms:modified>
</cp:coreProperties>
</file>