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F2" w:rsidRPr="003B4A1B" w:rsidRDefault="00C874F7" w:rsidP="003B4A1B">
      <w:pPr>
        <w:spacing w:line="480" w:lineRule="auto"/>
        <w:jc w:val="center"/>
        <w:rPr>
          <w:rFonts w:ascii="Times New Roman" w:hAnsi="Times New Roman" w:cs="Times New Roman"/>
          <w:b/>
          <w:color w:val="242021"/>
          <w:szCs w:val="21"/>
        </w:rPr>
      </w:pPr>
      <w:r w:rsidRPr="00DD04F2">
        <w:rPr>
          <w:rFonts w:ascii="Times New Roman" w:hAnsi="Times New Roman" w:cs="Times New Roman" w:hint="eastAsia"/>
          <w:b/>
          <w:szCs w:val="21"/>
        </w:rPr>
        <w:t xml:space="preserve">Supplemental </w:t>
      </w:r>
      <w:r w:rsidR="00DD04F2">
        <w:rPr>
          <w:rFonts w:ascii="Times New Roman" w:hAnsi="Times New Roman" w:cs="Times New Roman" w:hint="eastAsia"/>
          <w:b/>
          <w:szCs w:val="21"/>
        </w:rPr>
        <w:t>t</w:t>
      </w:r>
      <w:r w:rsidRPr="00DD04F2">
        <w:rPr>
          <w:rFonts w:ascii="Times New Roman" w:hAnsi="Times New Roman" w:cs="Times New Roman" w:hint="eastAsia"/>
          <w:b/>
          <w:szCs w:val="21"/>
        </w:rPr>
        <w:t xml:space="preserve">able 1. </w:t>
      </w:r>
      <w:r w:rsidRPr="00DD04F2">
        <w:rPr>
          <w:rFonts w:ascii="Times New Roman" w:hAnsi="Times New Roman" w:cs="Times New Roman"/>
          <w:b/>
          <w:color w:val="242021"/>
          <w:szCs w:val="21"/>
        </w:rPr>
        <w:t>Correlation analysis of AIP with other variables</w:t>
      </w:r>
    </w:p>
    <w:tbl>
      <w:tblPr>
        <w:tblStyle w:val="a5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0"/>
        <w:gridCol w:w="807"/>
        <w:gridCol w:w="807"/>
        <w:gridCol w:w="807"/>
        <w:gridCol w:w="807"/>
        <w:gridCol w:w="807"/>
        <w:gridCol w:w="807"/>
        <w:gridCol w:w="858"/>
        <w:gridCol w:w="848"/>
      </w:tblGrid>
      <w:tr w:rsidR="00C874F7" w:rsidRPr="00DD04F2" w:rsidTr="00DE6DE0">
        <w:trPr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Age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BMI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GA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PALB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TG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HDL-C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LDL-C</w:t>
            </w:r>
          </w:p>
        </w:tc>
      </w:tr>
      <w:tr w:rsidR="00C874F7" w:rsidRPr="00DD04F2" w:rsidTr="00DE6DE0">
        <w:trPr>
          <w:jc w:val="center"/>
        </w:trPr>
        <w:tc>
          <w:tcPr>
            <w:tcW w:w="730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0.163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0.312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0.128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0.209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0.280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0.813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-0.573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0.076</w:t>
            </w:r>
          </w:p>
        </w:tc>
      </w:tr>
      <w:tr w:rsidR="00C874F7" w:rsidRPr="00DD04F2" w:rsidTr="00DE6DE0">
        <w:trPr>
          <w:jc w:val="center"/>
        </w:trPr>
        <w:tc>
          <w:tcPr>
            <w:tcW w:w="730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i/>
                <w:szCs w:val="21"/>
              </w:rPr>
              <w:t>P</w:t>
            </w:r>
          </w:p>
        </w:tc>
        <w:tc>
          <w:tcPr>
            <w:tcW w:w="807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&lt;</w:t>
            </w:r>
            <w:r w:rsidRPr="00DD04F2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807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&lt;</w:t>
            </w:r>
            <w:r w:rsidRPr="00DD04F2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807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&lt;</w:t>
            </w:r>
            <w:r w:rsidRPr="00DD04F2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807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&lt;</w:t>
            </w:r>
            <w:r w:rsidRPr="00DD04F2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807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&lt;</w:t>
            </w:r>
            <w:r w:rsidRPr="00DD04F2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807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&lt;</w:t>
            </w:r>
            <w:r w:rsidRPr="00DD04F2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858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&lt;</w:t>
            </w:r>
            <w:r w:rsidRPr="00DD04F2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848" w:type="dxa"/>
          </w:tcPr>
          <w:p w:rsidR="00C874F7" w:rsidRPr="00DD04F2" w:rsidRDefault="00C874F7" w:rsidP="003B4A1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 w:hint="eastAsia"/>
                <w:szCs w:val="21"/>
              </w:rPr>
              <w:t>0.003</w:t>
            </w:r>
          </w:p>
        </w:tc>
      </w:tr>
    </w:tbl>
    <w:p w:rsidR="00C874F7" w:rsidRPr="00DD04F2" w:rsidRDefault="00C874F7" w:rsidP="003B4A1B">
      <w:pPr>
        <w:spacing w:line="480" w:lineRule="auto"/>
        <w:rPr>
          <w:rFonts w:ascii="Times New Roman" w:hAnsi="Times New Roman" w:cs="Times New Roman"/>
          <w:szCs w:val="21"/>
        </w:rPr>
      </w:pPr>
      <w:r w:rsidRPr="00DD04F2">
        <w:rPr>
          <w:rFonts w:ascii="Times New Roman" w:hAnsi="Times New Roman" w:cs="Times New Roman"/>
          <w:szCs w:val="21"/>
        </w:rPr>
        <w:t>BMI, body mass index; GA,</w:t>
      </w:r>
      <w:r w:rsidRPr="00DD04F2">
        <w:rPr>
          <w:rFonts w:ascii="Times New Roman" w:hAnsi="Times New Roman" w:cs="Times New Roman"/>
          <w:szCs w:val="21"/>
          <w:shd w:val="clear" w:color="auto" w:fill="FFFFFF"/>
        </w:rPr>
        <w:t xml:space="preserve"> glycated albumin;</w:t>
      </w:r>
      <w:r w:rsidRPr="00DD04F2">
        <w:rPr>
          <w:rFonts w:ascii="Times New Roman" w:hAnsi="Times New Roman" w:cs="Times New Roman"/>
          <w:szCs w:val="21"/>
        </w:rPr>
        <w:t xml:space="preserve"> PALB, pre-albumin;</w:t>
      </w:r>
      <w:r w:rsidRPr="00DD04F2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DD04F2">
        <w:rPr>
          <w:rFonts w:ascii="Times New Roman" w:hAnsi="Times New Roman" w:cs="Times New Roman"/>
          <w:szCs w:val="21"/>
        </w:rPr>
        <w:t>TC, total cholesterol; TG, triglyceride; HDL-C, high-density lipoprotein cholesterol; LDL-C, low-density lipoprotein cholesterol; AIP, atherogenic index of plasma.</w:t>
      </w:r>
    </w:p>
    <w:p w:rsidR="00863D21" w:rsidRPr="00DD04F2" w:rsidRDefault="00863D21" w:rsidP="003B4A1B">
      <w:pPr>
        <w:spacing w:line="480" w:lineRule="auto"/>
        <w:rPr>
          <w:szCs w:val="21"/>
        </w:rPr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Default="00E54E6C" w:rsidP="003B4A1B">
      <w:pPr>
        <w:spacing w:line="480" w:lineRule="auto"/>
      </w:pPr>
    </w:p>
    <w:p w:rsidR="00E54E6C" w:rsidRPr="00C228BF" w:rsidRDefault="00DD04F2" w:rsidP="003B4A1B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lastRenderedPageBreak/>
        <w:t>Supplemental t</w:t>
      </w:r>
      <w:r w:rsidR="00E54E6C" w:rsidRPr="00BF68EB">
        <w:rPr>
          <w:rFonts w:ascii="Times New Roman" w:hAnsi="Times New Roman" w:cs="Times New Roman"/>
          <w:b/>
          <w:szCs w:val="21"/>
        </w:rPr>
        <w:t xml:space="preserve">able </w:t>
      </w:r>
      <w:r w:rsidR="00E54E6C" w:rsidRPr="00BF68EB">
        <w:rPr>
          <w:rFonts w:ascii="Times New Roman" w:hAnsi="Times New Roman" w:cs="Times New Roman" w:hint="eastAsia"/>
          <w:b/>
          <w:szCs w:val="21"/>
        </w:rPr>
        <w:t>2</w:t>
      </w:r>
      <w:r w:rsidR="00E54E6C" w:rsidRPr="00BF68EB">
        <w:rPr>
          <w:rFonts w:ascii="Times New Roman" w:hAnsi="Times New Roman" w:cs="Times New Roman"/>
          <w:b/>
          <w:szCs w:val="21"/>
        </w:rPr>
        <w:t xml:space="preserve">. </w:t>
      </w:r>
      <w:r w:rsidR="00E54E6C" w:rsidRPr="00BF68EB">
        <w:rPr>
          <w:rFonts w:ascii="Times New Roman" w:hAnsi="Times New Roman" w:cs="Times New Roman"/>
          <w:b/>
          <w:color w:val="000000"/>
          <w:szCs w:val="21"/>
        </w:rPr>
        <w:t xml:space="preserve">Clinical characteristics according to </w:t>
      </w:r>
      <w:r w:rsidR="00E54E6C" w:rsidRPr="00BF68EB">
        <w:rPr>
          <w:rFonts w:ascii="Times New Roman" w:hAnsi="Times New Roman" w:cs="Times New Roman" w:hint="eastAsia"/>
          <w:b/>
          <w:color w:val="000000"/>
          <w:szCs w:val="21"/>
        </w:rPr>
        <w:t>GS</w:t>
      </w:r>
      <w:r w:rsidR="00E54E6C" w:rsidRPr="00BF68EB">
        <w:rPr>
          <w:rFonts w:ascii="Times New Roman" w:hAnsi="Times New Roman" w:cs="Times New Roman"/>
          <w:b/>
          <w:color w:val="000000"/>
          <w:szCs w:val="21"/>
        </w:rPr>
        <w:t xml:space="preserve"> </w:t>
      </w:r>
      <w:r w:rsidR="00E54E6C" w:rsidRPr="00BF68EB">
        <w:rPr>
          <w:rFonts w:ascii="Times New Roman" w:hAnsi="Times New Roman" w:cs="Times New Roman" w:hint="eastAsia"/>
          <w:b/>
          <w:color w:val="000000"/>
          <w:szCs w:val="21"/>
        </w:rPr>
        <w:t>qua</w:t>
      </w:r>
      <w:r w:rsidR="00E54E6C" w:rsidRPr="00BF68EB">
        <w:rPr>
          <w:rFonts w:ascii="Times New Roman" w:hAnsi="Times New Roman" w:cs="Times New Roman"/>
          <w:b/>
          <w:color w:val="000000"/>
          <w:szCs w:val="21"/>
        </w:rPr>
        <w:t xml:space="preserve">rtiles in </w:t>
      </w:r>
      <w:r w:rsidR="00E54E6C" w:rsidRPr="00BF68EB">
        <w:rPr>
          <w:rFonts w:ascii="Times New Roman" w:hAnsi="Times New Roman" w:cs="Times New Roman" w:hint="eastAsia"/>
          <w:b/>
          <w:color w:val="000000"/>
          <w:szCs w:val="21"/>
        </w:rPr>
        <w:t xml:space="preserve">very young </w:t>
      </w:r>
      <w:r>
        <w:rPr>
          <w:rFonts w:ascii="Times New Roman" w:hAnsi="Times New Roman" w:cs="Times New Roman" w:hint="eastAsia"/>
          <w:b/>
          <w:color w:val="000000"/>
          <w:szCs w:val="21"/>
        </w:rPr>
        <w:t>adults</w:t>
      </w:r>
      <w:r w:rsidR="00E54E6C" w:rsidRPr="00BF68EB">
        <w:rPr>
          <w:rFonts w:ascii="Times New Roman" w:hAnsi="Times New Roman" w:cs="Times New Roman"/>
          <w:b/>
          <w:color w:val="000000"/>
          <w:szCs w:val="21"/>
        </w:rPr>
        <w:t xml:space="preserve"> with </w:t>
      </w:r>
      <w:r w:rsidR="00E54E6C" w:rsidRPr="00BF68EB">
        <w:rPr>
          <w:rFonts w:ascii="Times New Roman" w:hAnsi="Times New Roman" w:cs="Times New Roman" w:hint="eastAsia"/>
          <w:b/>
          <w:color w:val="000000"/>
          <w:szCs w:val="21"/>
        </w:rPr>
        <w:t>ACS</w:t>
      </w:r>
    </w:p>
    <w:tbl>
      <w:tblPr>
        <w:tblStyle w:val="a5"/>
        <w:tblW w:w="10797" w:type="dxa"/>
        <w:jc w:val="center"/>
        <w:tblInd w:w="-173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9"/>
        <w:gridCol w:w="1857"/>
        <w:gridCol w:w="1985"/>
        <w:gridCol w:w="1842"/>
        <w:gridCol w:w="1701"/>
        <w:gridCol w:w="993"/>
      </w:tblGrid>
      <w:tr w:rsidR="00E54E6C" w:rsidRPr="00DD04F2" w:rsidTr="003324B9">
        <w:trPr>
          <w:trHeight w:val="397"/>
          <w:jc w:val="center"/>
        </w:trPr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Q</w:t>
            </w:r>
            <w:r w:rsidRPr="00DD04F2">
              <w:rPr>
                <w:rFonts w:ascii="Times New Roman" w:hAnsi="Times New Roman" w:cs="Times New Roman"/>
                <w:color w:val="000000"/>
                <w:szCs w:val="21"/>
              </w:rPr>
              <w:t xml:space="preserve">uartile </w:t>
            </w:r>
            <w:r w:rsidRPr="00DD04F2">
              <w:rPr>
                <w:rFonts w:ascii="Times New Roman" w:hAnsi="Times New Roman" w:cs="Times New Roman"/>
                <w:szCs w:val="21"/>
              </w:rPr>
              <w:t>1 (≤12)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Q</w:t>
            </w:r>
            <w:r w:rsidRPr="00DD04F2">
              <w:rPr>
                <w:rFonts w:ascii="Times New Roman" w:hAnsi="Times New Roman" w:cs="Times New Roman"/>
                <w:color w:val="000000"/>
                <w:szCs w:val="21"/>
              </w:rPr>
              <w:t xml:space="preserve">uartile </w:t>
            </w:r>
            <w:r w:rsidRPr="00DD04F2">
              <w:rPr>
                <w:rFonts w:ascii="Times New Roman" w:hAnsi="Times New Roman" w:cs="Times New Roman"/>
                <w:szCs w:val="21"/>
              </w:rPr>
              <w:t>2 (12-32)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Q</w:t>
            </w:r>
            <w:r w:rsidRPr="00DD04F2">
              <w:rPr>
                <w:rFonts w:ascii="Times New Roman" w:hAnsi="Times New Roman" w:cs="Times New Roman"/>
                <w:color w:val="000000"/>
                <w:szCs w:val="21"/>
              </w:rPr>
              <w:t xml:space="preserve">uartile </w:t>
            </w:r>
            <w:r w:rsidRPr="00DD04F2">
              <w:rPr>
                <w:rFonts w:ascii="Times New Roman" w:hAnsi="Times New Roman" w:cs="Times New Roman"/>
                <w:szCs w:val="21"/>
              </w:rPr>
              <w:t>3 (32-64)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Q</w:t>
            </w:r>
            <w:r w:rsidRPr="00DD04F2">
              <w:rPr>
                <w:rFonts w:ascii="Times New Roman" w:hAnsi="Times New Roman" w:cs="Times New Roman"/>
                <w:color w:val="000000"/>
                <w:szCs w:val="21"/>
              </w:rPr>
              <w:t xml:space="preserve">uartile </w:t>
            </w:r>
            <w:r w:rsidRPr="00DD04F2">
              <w:rPr>
                <w:rFonts w:ascii="Times New Roman" w:hAnsi="Times New Roman" w:cs="Times New Roman"/>
                <w:szCs w:val="21"/>
              </w:rPr>
              <w:t>4 (&gt;64)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DD04F2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DD04F2">
              <w:rPr>
                <w:rFonts w:ascii="Times New Roman" w:hAnsi="Times New Roman" w:cs="Times New Roman"/>
                <w:i/>
                <w:szCs w:val="21"/>
                <w:vertAlign w:val="subscript"/>
              </w:rPr>
              <w:t>for trend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tcBorders>
              <w:top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kern w:val="0"/>
                <w:szCs w:val="21"/>
              </w:rPr>
              <w:t>Clinical Characteristics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33(30-34)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33(31-34)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33(31-34)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33(31-35)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0.335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Male, n(%)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240 (94.49)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293 (93.91)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215 (93.89)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257 (97.35)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0.142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BMI, kg/m</w:t>
            </w:r>
            <w:r w:rsidRPr="00DD04F2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27.56±4.10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28.22±4.30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28.79±4.17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28.07±3.93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0.094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Smoker, n(%)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167 (65.75)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224(71.79)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163(71.18)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198(75.00)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DD04F2">
              <w:rPr>
                <w:rFonts w:ascii="Times New Roman" w:hAnsi="Times New Roman" w:cs="Times New Roman"/>
                <w:b/>
                <w:szCs w:val="21"/>
              </w:rPr>
              <w:t>0.033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EH, n(%)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86(33.86)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110(35.26)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102(44.54)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91(34.47)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0.447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DM, n(%)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16(6.30)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23(7.37)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33(14.41)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38(14.39)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DD04F2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Dyslipidaemia, n(%)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28(11.02)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26(8.33)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21(9.17)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25(9.47)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0.680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Laboratory parameters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CR, mmol/L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77.97±14.63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76.36±17.31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76.76±17.28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76.34±15.2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0.320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DD04F2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FBG</w:t>
            </w:r>
            <w:r w:rsidR="00E54E6C" w:rsidRPr="00DD04F2">
              <w:rPr>
                <w:rFonts w:ascii="Times New Roman" w:hAnsi="Times New Roman" w:cs="Times New Roman"/>
                <w:szCs w:val="21"/>
              </w:rPr>
              <w:t>, mmol/L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5.65±1.44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5.91±1.84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5.90±1.79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6.24±2.38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DD04F2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TC, mmol/L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4.30±1.14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4.55±1.21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4.87±1.63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4.99±1.66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DD04F2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TG, mmol/L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1.81(1.28-2.62)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1.97(1.28-3.02)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2.01(1.39-2.83)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1.98(1.38-3.06)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0.077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HDL-C, mmol/L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0.92±0.20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0.94±0.23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0.89±0.18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0.90±0.20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DD04F2">
              <w:rPr>
                <w:rFonts w:ascii="Times New Roman" w:hAnsi="Times New Roman" w:cs="Times New Roman"/>
                <w:b/>
                <w:szCs w:val="21"/>
              </w:rPr>
              <w:t>0.020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LDL-C, mmol/L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2.69±1.01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2.82±0.94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3.17±1.35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3.24±1.44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DD04F2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E54E6C" w:rsidRPr="00DD04F2" w:rsidTr="003324B9">
        <w:trPr>
          <w:trHeight w:val="397"/>
          <w:jc w:val="center"/>
        </w:trPr>
        <w:tc>
          <w:tcPr>
            <w:tcW w:w="2419" w:type="dxa"/>
            <w:vAlign w:val="center"/>
          </w:tcPr>
          <w:p w:rsidR="00E54E6C" w:rsidRPr="00DD04F2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AIP</w:t>
            </w:r>
          </w:p>
        </w:tc>
        <w:tc>
          <w:tcPr>
            <w:tcW w:w="1857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0.32±0.27</w:t>
            </w:r>
          </w:p>
        </w:tc>
        <w:tc>
          <w:tcPr>
            <w:tcW w:w="1985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0.34±0.33</w:t>
            </w:r>
          </w:p>
        </w:tc>
        <w:tc>
          <w:tcPr>
            <w:tcW w:w="1842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0.38±0.27</w:t>
            </w:r>
          </w:p>
        </w:tc>
        <w:tc>
          <w:tcPr>
            <w:tcW w:w="1701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04F2">
              <w:rPr>
                <w:rFonts w:ascii="Times New Roman" w:hAnsi="Times New Roman" w:cs="Times New Roman"/>
                <w:szCs w:val="21"/>
              </w:rPr>
              <w:t>0.38±0.32</w:t>
            </w:r>
          </w:p>
        </w:tc>
        <w:tc>
          <w:tcPr>
            <w:tcW w:w="993" w:type="dxa"/>
            <w:vAlign w:val="center"/>
          </w:tcPr>
          <w:p w:rsidR="00E54E6C" w:rsidRPr="00DD04F2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DD04F2">
              <w:rPr>
                <w:rFonts w:ascii="Times New Roman" w:hAnsi="Times New Roman" w:cs="Times New Roman"/>
                <w:b/>
                <w:szCs w:val="21"/>
              </w:rPr>
              <w:t>0.010</w:t>
            </w:r>
          </w:p>
        </w:tc>
      </w:tr>
    </w:tbl>
    <w:p w:rsidR="00E54E6C" w:rsidRPr="00DD04F2" w:rsidRDefault="00E54E6C" w:rsidP="003B4A1B">
      <w:pPr>
        <w:spacing w:line="480" w:lineRule="auto"/>
        <w:rPr>
          <w:rFonts w:ascii="Times New Roman" w:hAnsi="Times New Roman" w:cs="Times New Roman"/>
          <w:szCs w:val="21"/>
        </w:rPr>
      </w:pPr>
      <w:r w:rsidRPr="00DD04F2">
        <w:rPr>
          <w:rFonts w:ascii="Times New Roman" w:hAnsi="Times New Roman" w:cs="Times New Roman"/>
          <w:szCs w:val="21"/>
        </w:rPr>
        <w:t xml:space="preserve">ACS, acute coronary syndrome; BMI, body mass index; DM, diabetes mellitus; EH, essential hypertension; CR, </w:t>
      </w:r>
      <w:r w:rsidRPr="00DD04F2">
        <w:rPr>
          <w:rFonts w:ascii="Times New Roman" w:hAnsi="Times New Roman" w:cs="Times New Roman"/>
          <w:szCs w:val="21"/>
          <w:shd w:val="clear" w:color="auto" w:fill="FFFFFF"/>
        </w:rPr>
        <w:t xml:space="preserve">creatinine; </w:t>
      </w:r>
      <w:r w:rsidR="00DD04F2" w:rsidRPr="00DD04F2">
        <w:rPr>
          <w:rFonts w:ascii="Times New Roman" w:hAnsi="Times New Roman" w:cs="Times New Roman" w:hint="eastAsia"/>
          <w:szCs w:val="21"/>
          <w:shd w:val="clear" w:color="auto" w:fill="FFFFFF"/>
        </w:rPr>
        <w:t>FBG, fasting blood</w:t>
      </w:r>
      <w:r w:rsidRPr="00DD04F2">
        <w:rPr>
          <w:rFonts w:ascii="Times New Roman" w:hAnsi="Times New Roman" w:cs="Times New Roman"/>
          <w:szCs w:val="21"/>
        </w:rPr>
        <w:t xml:space="preserve"> glucose; TC, total cholesterol; TG, triglyceride; HDL-C, high-density lipoprotein cholesterol; LDL-C, low-density lipoprotein cholesterol; AIP, </w:t>
      </w:r>
      <w:r w:rsidRPr="00DD04F2">
        <w:rPr>
          <w:rFonts w:ascii="Times New Roman" w:hAnsi="Times New Roman" w:cs="Times New Roman"/>
          <w:szCs w:val="21"/>
        </w:rPr>
        <w:lastRenderedPageBreak/>
        <w:t>atherogenic index of plasma; GS, Gensini score.</w:t>
      </w:r>
    </w:p>
    <w:p w:rsidR="00E54E6C" w:rsidRPr="00DD04F2" w:rsidRDefault="00E54E6C" w:rsidP="003B4A1B">
      <w:pPr>
        <w:spacing w:line="480" w:lineRule="auto"/>
        <w:rPr>
          <w:rFonts w:ascii="Times New Roman" w:hAnsi="Times New Roman" w:cs="Times New Roman"/>
          <w:szCs w:val="21"/>
        </w:rPr>
      </w:pPr>
      <w:r w:rsidRPr="00DD04F2">
        <w:rPr>
          <w:rFonts w:ascii="Times New Roman" w:hAnsi="Times New Roman" w:cs="Times New Roman"/>
          <w:color w:val="000000"/>
          <w:szCs w:val="21"/>
        </w:rPr>
        <w:t>Bold values indicate statistical significance.</w:t>
      </w:r>
    </w:p>
    <w:p w:rsidR="00E54E6C" w:rsidRPr="0078653F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Default="00E54E6C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:rsidR="003B4A1B" w:rsidRDefault="003B4A1B" w:rsidP="003B4A1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E54E6C" w:rsidRPr="0005000D" w:rsidRDefault="0005000D" w:rsidP="003B4A1B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05000D">
        <w:rPr>
          <w:rFonts w:ascii="Times New Roman" w:hAnsi="Times New Roman" w:cs="Times New Roman"/>
          <w:b/>
          <w:szCs w:val="21"/>
        </w:rPr>
        <w:lastRenderedPageBreak/>
        <w:t>Supplement t</w:t>
      </w:r>
      <w:r w:rsidR="00E54E6C" w:rsidRPr="0005000D">
        <w:rPr>
          <w:rFonts w:ascii="Times New Roman" w:hAnsi="Times New Roman" w:cs="Times New Roman"/>
          <w:b/>
          <w:szCs w:val="21"/>
        </w:rPr>
        <w:t xml:space="preserve">able 3. </w:t>
      </w:r>
      <w:r w:rsidR="00E54E6C" w:rsidRPr="0005000D">
        <w:rPr>
          <w:rFonts w:ascii="Times New Roman" w:hAnsi="Times New Roman" w:cs="Times New Roman"/>
          <w:b/>
          <w:color w:val="000000"/>
          <w:szCs w:val="21"/>
        </w:rPr>
        <w:t>Clinical characteristics according to number of lesion vessels in</w:t>
      </w:r>
      <w:r w:rsidRPr="0005000D">
        <w:rPr>
          <w:rFonts w:ascii="Times New Roman" w:hAnsi="Times New Roman" w:cs="Times New Roman"/>
          <w:b/>
          <w:color w:val="000000"/>
          <w:szCs w:val="21"/>
        </w:rPr>
        <w:t xml:space="preserve"> very young adults</w:t>
      </w:r>
      <w:r w:rsidR="00E54E6C" w:rsidRPr="0005000D">
        <w:rPr>
          <w:rFonts w:ascii="Times New Roman" w:hAnsi="Times New Roman" w:cs="Times New Roman"/>
          <w:b/>
          <w:color w:val="000000"/>
          <w:szCs w:val="21"/>
        </w:rPr>
        <w:t xml:space="preserve"> with ACS</w:t>
      </w:r>
    </w:p>
    <w:tbl>
      <w:tblPr>
        <w:tblStyle w:val="a5"/>
        <w:tblW w:w="0" w:type="auto"/>
        <w:jc w:val="center"/>
        <w:tblInd w:w="-121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5"/>
        <w:gridCol w:w="1671"/>
        <w:gridCol w:w="1680"/>
        <w:gridCol w:w="1681"/>
        <w:gridCol w:w="944"/>
      </w:tblGrid>
      <w:tr w:rsidR="00E54E6C" w:rsidRPr="0005000D" w:rsidTr="003324B9">
        <w:trPr>
          <w:trHeight w:val="397"/>
          <w:jc w:val="center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One (n=519)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Two (n=244)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Three (n=192)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05000D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tcBorders>
              <w:top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kern w:val="0"/>
                <w:szCs w:val="21"/>
              </w:rPr>
              <w:t>Clinical Characteristics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33 (30-34)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33 (31-35)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33 (31-35)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Male, n(%)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495 (95.38)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228 (93.44)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185 (96.35)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0.350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BMI, kg/m</w:t>
            </w:r>
            <w:r w:rsidRPr="0005000D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27.82±4.12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28.88±4.15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28.53±4.03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0.003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Smoker, n(%)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368 (70.91)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169 (69.26)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145 (75.52)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0.342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EH, n(%)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168 (32.37)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115 (47.13)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81 (42.19)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0.002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DM, n(%)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38 (7.32)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28 (11.48)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38 (19.79)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Dyslipidaemia, n(%)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45 (8.67)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24 (9.84)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19 (9.90)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0.560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Laboratory parameters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TC, mmol/L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4.43±1.16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4.99±1.60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5.25±1.84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TG, mmol/L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1.88 (1.27-2.78)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2.00 (1.54-3.06)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2.16 (1.35-3.50)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HDL-C, mmol/L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0.95±0.22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0.89±0.18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0.86±0.20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0.050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LDL-C, mmol/L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2.77±0.97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3.22±1.31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3.44±1.59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E54E6C" w:rsidRPr="0005000D" w:rsidTr="003324B9">
        <w:trPr>
          <w:trHeight w:val="397"/>
          <w:jc w:val="center"/>
        </w:trPr>
        <w:tc>
          <w:tcPr>
            <w:tcW w:w="2875" w:type="dxa"/>
            <w:vAlign w:val="center"/>
          </w:tcPr>
          <w:p w:rsidR="00E54E6C" w:rsidRPr="0005000D" w:rsidRDefault="00E54E6C" w:rsidP="003B4A1B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AIP</w:t>
            </w:r>
          </w:p>
        </w:tc>
        <w:tc>
          <w:tcPr>
            <w:tcW w:w="167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0.32±0.30</w:t>
            </w:r>
          </w:p>
        </w:tc>
        <w:tc>
          <w:tcPr>
            <w:tcW w:w="1680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0.39±0.29</w:t>
            </w:r>
          </w:p>
        </w:tc>
        <w:tc>
          <w:tcPr>
            <w:tcW w:w="1681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5000D">
              <w:rPr>
                <w:rFonts w:ascii="Times New Roman" w:hAnsi="Times New Roman" w:cs="Times New Roman"/>
                <w:szCs w:val="21"/>
              </w:rPr>
              <w:t>0.42±0.33</w:t>
            </w:r>
          </w:p>
        </w:tc>
        <w:tc>
          <w:tcPr>
            <w:tcW w:w="944" w:type="dxa"/>
            <w:vAlign w:val="center"/>
          </w:tcPr>
          <w:p w:rsidR="00E54E6C" w:rsidRPr="0005000D" w:rsidRDefault="00E54E6C" w:rsidP="003B4A1B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5000D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</w:tbl>
    <w:p w:rsidR="00E54E6C" w:rsidRPr="0005000D" w:rsidRDefault="0005000D" w:rsidP="003B4A1B">
      <w:pPr>
        <w:spacing w:line="480" w:lineRule="auto"/>
        <w:rPr>
          <w:rFonts w:ascii="Times New Roman" w:hAnsi="Times New Roman" w:cs="Times New Roman"/>
          <w:szCs w:val="21"/>
        </w:rPr>
      </w:pPr>
      <w:r w:rsidRPr="0005000D">
        <w:rPr>
          <w:rFonts w:ascii="Times New Roman" w:hAnsi="Times New Roman" w:cs="Times New Roman"/>
          <w:szCs w:val="21"/>
        </w:rPr>
        <w:t>AC</w:t>
      </w:r>
      <w:r w:rsidR="00E54E6C" w:rsidRPr="0005000D">
        <w:rPr>
          <w:rFonts w:ascii="Times New Roman" w:hAnsi="Times New Roman" w:cs="Times New Roman"/>
          <w:szCs w:val="21"/>
        </w:rPr>
        <w:t>S, acute coronary syndrome; BMI, body mass index; DM, diabetes mellitus; EH, essential hypertension; TC, total cholesterol; TG, triglyceride; HDL-C, high-density lipoprotein cholesterol; LDL-C, low-density lipoprotein cholesterol; AIP, atherogenic index of plasma; GS, Gensini score.</w:t>
      </w:r>
    </w:p>
    <w:p w:rsidR="00E54E6C" w:rsidRPr="0005000D" w:rsidRDefault="00E54E6C" w:rsidP="003B4A1B">
      <w:pPr>
        <w:spacing w:line="480" w:lineRule="auto"/>
        <w:rPr>
          <w:rFonts w:ascii="Times New Roman" w:hAnsi="Times New Roman" w:cs="Times New Roman"/>
          <w:szCs w:val="21"/>
        </w:rPr>
      </w:pPr>
      <w:r w:rsidRPr="0005000D">
        <w:rPr>
          <w:rFonts w:ascii="Times New Roman" w:hAnsi="Times New Roman" w:cs="Times New Roman"/>
          <w:color w:val="000000"/>
          <w:szCs w:val="21"/>
        </w:rPr>
        <w:t>Bold values indicate statistical significance.</w:t>
      </w:r>
    </w:p>
    <w:sectPr w:rsidR="00E54E6C" w:rsidRPr="0005000D" w:rsidSect="00081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B6B" w:rsidRDefault="00825B6B" w:rsidP="00C874F7">
      <w:r>
        <w:separator/>
      </w:r>
    </w:p>
  </w:endnote>
  <w:endnote w:type="continuationSeparator" w:id="1">
    <w:p w:rsidR="00825B6B" w:rsidRDefault="00825B6B" w:rsidP="00C87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B6B" w:rsidRDefault="00825B6B" w:rsidP="00C874F7">
      <w:r>
        <w:separator/>
      </w:r>
    </w:p>
  </w:footnote>
  <w:footnote w:type="continuationSeparator" w:id="1">
    <w:p w:rsidR="00825B6B" w:rsidRDefault="00825B6B" w:rsidP="00C874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4F7"/>
    <w:rsid w:val="00042CB5"/>
    <w:rsid w:val="0005000D"/>
    <w:rsid w:val="00081A3E"/>
    <w:rsid w:val="003B4A1B"/>
    <w:rsid w:val="00825B6B"/>
    <w:rsid w:val="00863D21"/>
    <w:rsid w:val="00C874F7"/>
    <w:rsid w:val="00CC5F1C"/>
    <w:rsid w:val="00DD04F2"/>
    <w:rsid w:val="00E5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7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74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7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74F7"/>
    <w:rPr>
      <w:sz w:val="18"/>
      <w:szCs w:val="18"/>
    </w:rPr>
  </w:style>
  <w:style w:type="table" w:styleId="a5">
    <w:name w:val="Table Grid"/>
    <w:basedOn w:val="a1"/>
    <w:uiPriority w:val="59"/>
    <w:rsid w:val="00C874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caigaojun</dc:creator>
  <cp:keywords/>
  <dc:description/>
  <cp:lastModifiedBy>caigaojun</cp:lastModifiedBy>
  <cp:revision>6</cp:revision>
  <dcterms:created xsi:type="dcterms:W3CDTF">2019-01-12T05:25:00Z</dcterms:created>
  <dcterms:modified xsi:type="dcterms:W3CDTF">2019-01-13T10:21:00Z</dcterms:modified>
</cp:coreProperties>
</file>