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745" w:rsidRPr="001F29AE" w:rsidRDefault="00F76745" w:rsidP="00F76745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1F29AE">
        <w:rPr>
          <w:rFonts w:ascii="Times New Roman" w:hAnsi="Times New Roman" w:cs="Times New Roman"/>
          <w:b/>
          <w:bCs/>
          <w:noProof/>
          <w:lang w:eastAsia="nb-NO"/>
        </w:rPr>
        <w:drawing>
          <wp:inline distT="0" distB="0" distL="0" distR="0" wp14:anchorId="06A96895" wp14:editId="2C1DCABC">
            <wp:extent cx="4813300" cy="36703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saturaser_kriterier_bmi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29AE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76745" w:rsidRPr="001F29AE" w:rsidRDefault="00C73DA3" w:rsidP="00F7674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3</w:t>
      </w:r>
      <w:bookmarkStart w:id="0" w:name="_GoBack"/>
      <w:bookmarkEnd w:id="0"/>
      <w:r w:rsidR="00F76745" w:rsidRPr="001F29AE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F76745" w:rsidRPr="001F29AE">
        <w:rPr>
          <w:rFonts w:ascii="Times New Roman" w:hAnsi="Times New Roman" w:cs="Times New Roman"/>
          <w:lang w:val="en-US"/>
        </w:rPr>
        <w:t xml:space="preserve">Association of criteria for metabolic health and estimated desaturase activities in BMI categories. </w:t>
      </w:r>
    </w:p>
    <w:p w:rsidR="00FE7465" w:rsidRPr="00F76745" w:rsidRDefault="00FE7465">
      <w:pPr>
        <w:rPr>
          <w:lang w:val="en-US"/>
        </w:rPr>
      </w:pPr>
    </w:p>
    <w:sectPr w:rsidR="00FE7465" w:rsidRPr="00F76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45"/>
    <w:rsid w:val="00C73DA3"/>
    <w:rsid w:val="00F76745"/>
    <w:rsid w:val="00F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9316"/>
  <w15:chartTrackingRefBased/>
  <w15:docId w15:val="{D41CE4A0-301B-48E5-B9FF-D76D0A88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Svendsen</dc:creator>
  <cp:keywords/>
  <dc:description/>
  <cp:lastModifiedBy>karsv_adm</cp:lastModifiedBy>
  <cp:revision>2</cp:revision>
  <dcterms:created xsi:type="dcterms:W3CDTF">2019-11-11T12:51:00Z</dcterms:created>
  <dcterms:modified xsi:type="dcterms:W3CDTF">2020-04-03T08:14:00Z</dcterms:modified>
</cp:coreProperties>
</file>