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6DA2A" w14:textId="25725AB7" w:rsidR="002626AD" w:rsidRPr="003F3B99" w:rsidRDefault="002626AD" w:rsidP="002626AD">
      <w:pPr>
        <w:wordWrap/>
        <w:spacing w:after="0" w:line="360" w:lineRule="auto"/>
        <w:ind w:left="708" w:hangingChars="295" w:hanging="708"/>
        <w:rPr>
          <w:rFonts w:ascii="Times New Roman" w:hAnsi="Times New Roman" w:cs="Times New Roman"/>
          <w:sz w:val="24"/>
          <w:szCs w:val="24"/>
        </w:rPr>
      </w:pPr>
      <w:r w:rsidRPr="00301198">
        <w:rPr>
          <w:rFonts w:ascii="Times New Roman" w:hAnsi="Times New Roman" w:cs="Times New Roman"/>
          <w:sz w:val="24"/>
          <w:szCs w:val="24"/>
        </w:rPr>
        <w:t xml:space="preserve">Supplemental Table 1. The </w:t>
      </w:r>
      <w:r w:rsidR="000E2B70" w:rsidRPr="00301198">
        <w:rPr>
          <w:rFonts w:ascii="Times New Roman" w:hAnsi="Times New Roman" w:cs="Times New Roman"/>
          <w:sz w:val="24"/>
          <w:szCs w:val="24"/>
        </w:rPr>
        <w:t xml:space="preserve">estimated </w:t>
      </w:r>
      <w:r w:rsidRPr="00301198">
        <w:rPr>
          <w:rFonts w:ascii="Times New Roman" w:hAnsi="Times New Roman" w:cs="Times New Roman"/>
          <w:sz w:val="24"/>
          <w:szCs w:val="24"/>
        </w:rPr>
        <w:t xml:space="preserve">logistic </w:t>
      </w:r>
      <w:r w:rsidR="000E2B70" w:rsidRPr="00301198">
        <w:rPr>
          <w:rFonts w:ascii="Times New Roman" w:hAnsi="Times New Roman" w:cs="Times New Roman"/>
          <w:sz w:val="24"/>
          <w:szCs w:val="24"/>
        </w:rPr>
        <w:t>regression</w:t>
      </w:r>
      <w:r w:rsidRPr="00301198">
        <w:rPr>
          <w:rFonts w:ascii="Times New Roman" w:hAnsi="Times New Roman" w:cs="Times New Roman"/>
          <w:sz w:val="24"/>
          <w:szCs w:val="24"/>
        </w:rPr>
        <w:t xml:space="preserve"> coefficients (β's), a</w:t>
      </w:r>
      <w:r w:rsidRPr="00301198">
        <w:rPr>
          <w:rFonts w:ascii="Times New Roman" w:eastAsiaTheme="majorHAnsi" w:hAnsi="Times New Roman" w:cs="Times New Roman"/>
          <w:sz w:val="24"/>
          <w:szCs w:val="24"/>
        </w:rPr>
        <w:t xml:space="preserve">djusted odds ratios and 95% confidence intervals for the risk of </w:t>
      </w:r>
      <w:r w:rsidR="000E2B70" w:rsidRPr="00301198">
        <w:rPr>
          <w:rFonts w:ascii="Times New Roman" w:eastAsiaTheme="majorHAnsi" w:hAnsi="Times New Roman" w:cs="Times New Roman"/>
          <w:sz w:val="24"/>
          <w:szCs w:val="24"/>
        </w:rPr>
        <w:t xml:space="preserve">various </w:t>
      </w:r>
      <w:r w:rsidRPr="00301198">
        <w:rPr>
          <w:rFonts w:ascii="Times New Roman" w:eastAsiaTheme="majorHAnsi" w:hAnsi="Times New Roman" w:cs="Times New Roman"/>
          <w:sz w:val="24"/>
          <w:szCs w:val="24"/>
        </w:rPr>
        <w:t>lipid profiles according to the alleles of the haplotype</w:t>
      </w:r>
      <w:r w:rsidRPr="00301198">
        <w:rPr>
          <w:rFonts w:ascii="Times New Roman" w:eastAsiaTheme="majorHAnsi" w:hAnsi="Times New Roman" w:cs="Times New Roman"/>
          <w:sz w:val="24"/>
          <w:szCs w:val="24"/>
          <w:vertAlign w:val="superscript"/>
        </w:rPr>
        <w:t>1</w:t>
      </w:r>
      <w:r w:rsidRPr="00301198">
        <w:rPr>
          <w:rFonts w:ascii="Times New Roman" w:eastAsiaTheme="majorHAnsi" w:hAnsi="Times New Roman" w:cs="Times New Roman"/>
          <w:sz w:val="24"/>
          <w:szCs w:val="24"/>
        </w:rPr>
        <w:t xml:space="preserve"> according to </w:t>
      </w:r>
      <w:r w:rsidRPr="000B38E2">
        <w:rPr>
          <w:rFonts w:ascii="Times New Roman" w:eastAsiaTheme="majorHAnsi" w:hAnsi="Times New Roman" w:cs="Times New Roman"/>
          <w:sz w:val="24"/>
          <w:szCs w:val="24"/>
        </w:rPr>
        <w:t>seru</w:t>
      </w:r>
      <w:bookmarkStart w:id="0" w:name="_GoBack"/>
      <w:bookmarkEnd w:id="0"/>
      <w:r w:rsidRPr="000B38E2">
        <w:rPr>
          <w:rFonts w:ascii="Times New Roman" w:eastAsiaTheme="majorHAnsi" w:hAnsi="Times New Roman" w:cs="Times New Roman"/>
          <w:sz w:val="24"/>
          <w:szCs w:val="24"/>
        </w:rPr>
        <w:t>m LDL cholesterol</w:t>
      </w:r>
      <w:r w:rsidR="003F3B99">
        <w:rPr>
          <w:rFonts w:ascii="Times New Roman" w:eastAsiaTheme="majorHAnsi" w:hAnsi="Times New Roman" w:cs="Times New Roman"/>
          <w:sz w:val="24"/>
          <w:szCs w:val="24"/>
        </w:rPr>
        <w:t xml:space="preserve"> </w:t>
      </w:r>
      <w:r w:rsidRPr="000B38E2">
        <w:rPr>
          <w:rFonts w:ascii="Times New Roman" w:eastAsiaTheme="majorHAnsi" w:hAnsi="Times New Roman" w:cs="Times New Roman"/>
          <w:sz w:val="24"/>
          <w:szCs w:val="24"/>
        </w:rPr>
        <w:t xml:space="preserve">concentrations after </w:t>
      </w:r>
      <w:r w:rsidRPr="003F3B99">
        <w:rPr>
          <w:rFonts w:ascii="Times New Roman" w:eastAsiaTheme="majorHAnsi" w:hAnsi="Times New Roman" w:cs="Times New Roman"/>
          <w:sz w:val="24"/>
          <w:szCs w:val="24"/>
        </w:rPr>
        <w:t xml:space="preserve">covariate adjustments </w:t>
      </w:r>
    </w:p>
    <w:tbl>
      <w:tblPr>
        <w:tblStyle w:val="a3"/>
        <w:tblW w:w="9493" w:type="dxa"/>
        <w:tblBorders>
          <w:top w:val="dashSmallGap" w:sz="4" w:space="0" w:color="auto"/>
          <w:left w:val="none" w:sz="0" w:space="0" w:color="auto"/>
          <w:bottom w:val="dashSmallGap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701"/>
        <w:gridCol w:w="1701"/>
        <w:gridCol w:w="1701"/>
        <w:gridCol w:w="1843"/>
      </w:tblGrid>
      <w:tr w:rsidR="002626AD" w:rsidRPr="003F3B99" w14:paraId="761495CB" w14:textId="77777777" w:rsidTr="002626AD">
        <w:tc>
          <w:tcPr>
            <w:tcW w:w="1413" w:type="dxa"/>
            <w:vMerge w:val="restart"/>
            <w:tcBorders>
              <w:top w:val="single" w:sz="4" w:space="0" w:color="auto"/>
              <w:bottom w:val="nil"/>
            </w:tcBorders>
          </w:tcPr>
          <w:p w14:paraId="3C0C3EF8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bottom w:val="nil"/>
              <w:right w:val="dashSmallGap" w:sz="4" w:space="0" w:color="auto"/>
            </w:tcBorders>
          </w:tcPr>
          <w:p w14:paraId="3CD89566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dashSmallGap" w:sz="4" w:space="0" w:color="auto"/>
              <w:bottom w:val="nil"/>
            </w:tcBorders>
          </w:tcPr>
          <w:p w14:paraId="5BE833B5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</w:tr>
      <w:tr w:rsidR="002626AD" w:rsidRPr="003F3B99" w14:paraId="0BE92FF2" w14:textId="77777777" w:rsidTr="002626AD">
        <w:tc>
          <w:tcPr>
            <w:tcW w:w="1413" w:type="dxa"/>
            <w:vMerge/>
            <w:tcBorders>
              <w:top w:val="nil"/>
              <w:bottom w:val="single" w:sz="4" w:space="0" w:color="auto"/>
            </w:tcBorders>
          </w:tcPr>
          <w:p w14:paraId="0EC3944B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001CCB5B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Major</w:t>
            </w:r>
          </w:p>
          <w:p w14:paraId="6BB207D2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ind w:right="-11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(n=1,782)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vAlign w:val="center"/>
          </w:tcPr>
          <w:p w14:paraId="27E2F21C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ind w:rightChars="2"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Heterozygote</w:t>
            </w:r>
          </w:p>
          <w:p w14:paraId="486EF6E9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(n=1,680)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64032135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Minor</w:t>
            </w:r>
          </w:p>
          <w:p w14:paraId="671DE2EA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(n=301)</w:t>
            </w:r>
          </w:p>
        </w:tc>
        <w:tc>
          <w:tcPr>
            <w:tcW w:w="1701" w:type="dxa"/>
            <w:tcBorders>
              <w:top w:val="nil"/>
              <w:left w:val="dashSmallGap" w:sz="4" w:space="0" w:color="auto"/>
              <w:bottom w:val="single" w:sz="4" w:space="0" w:color="auto"/>
            </w:tcBorders>
            <w:vAlign w:val="center"/>
          </w:tcPr>
          <w:p w14:paraId="00972419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ind w:rightChars="2" w:right="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Heterozygote</w:t>
            </w:r>
          </w:p>
          <w:p w14:paraId="41507493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(n=1,680)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46950CA9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Minor</w:t>
            </w:r>
          </w:p>
          <w:p w14:paraId="5F138BDB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(n=301)</w:t>
            </w:r>
          </w:p>
        </w:tc>
      </w:tr>
      <w:tr w:rsidR="002626AD" w:rsidRPr="003F3B99" w14:paraId="49C4EB9D" w14:textId="77777777" w:rsidTr="002626AD">
        <w:tc>
          <w:tcPr>
            <w:tcW w:w="1413" w:type="dxa"/>
            <w:tcBorders>
              <w:top w:val="single" w:sz="4" w:space="0" w:color="auto"/>
            </w:tcBorders>
            <w:vAlign w:val="center"/>
          </w:tcPr>
          <w:p w14:paraId="0BE11329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Total cholesterol</w:t>
            </w:r>
            <w:r w:rsidRPr="003F3B9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4A8C0DE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(mg/dl)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8FBEE98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3FD3747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-0.026, 0.806 (0.729, 0.891)</w:t>
            </w:r>
          </w:p>
        </w:tc>
        <w:tc>
          <w:tcPr>
            <w:tcW w:w="1701" w:type="dxa"/>
            <w:tcBorders>
              <w:top w:val="single" w:sz="4" w:space="0" w:color="auto"/>
              <w:right w:val="dashSmallGap" w:sz="4" w:space="0" w:color="auto"/>
            </w:tcBorders>
          </w:tcPr>
          <w:p w14:paraId="443E7483" w14:textId="77777777" w:rsidR="002626AD" w:rsidRPr="003F3B99" w:rsidRDefault="002626AD" w:rsidP="002626AD">
            <w:pPr>
              <w:wordWrap/>
              <w:spacing w:line="360" w:lineRule="auto"/>
              <w:ind w:rightChars="-51"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-0.163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0.703 (0.640, 0.772)</w:t>
            </w:r>
          </w:p>
        </w:tc>
        <w:tc>
          <w:tcPr>
            <w:tcW w:w="1701" w:type="dxa"/>
            <w:tcBorders>
              <w:top w:val="single" w:sz="4" w:space="0" w:color="auto"/>
              <w:left w:val="dashSmallGap" w:sz="4" w:space="0" w:color="auto"/>
            </w:tcBorders>
          </w:tcPr>
          <w:p w14:paraId="2B0897A3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-0.020, 0.810 (0.731, 0.899)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3AE1E16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-0.171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0.697 (0.632, 0.767)</w:t>
            </w:r>
          </w:p>
        </w:tc>
      </w:tr>
      <w:tr w:rsidR="002626AD" w:rsidRPr="003F3B99" w14:paraId="1E379F0E" w14:textId="77777777" w:rsidTr="002626AD">
        <w:tc>
          <w:tcPr>
            <w:tcW w:w="1413" w:type="dxa"/>
            <w:vAlign w:val="center"/>
          </w:tcPr>
          <w:p w14:paraId="228FB3AA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LDL</w:t>
            </w:r>
            <w:r w:rsidRPr="003F3B9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DEC3B20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(mg/dl) </w:t>
            </w:r>
          </w:p>
        </w:tc>
        <w:tc>
          <w:tcPr>
            <w:tcW w:w="1134" w:type="dxa"/>
          </w:tcPr>
          <w:p w14:paraId="6AA52792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CEBEA13" w14:textId="77777777" w:rsidR="002626AD" w:rsidRPr="003F3B99" w:rsidRDefault="002626AD" w:rsidP="002626AD">
            <w:pPr>
              <w:wordWrap/>
              <w:spacing w:line="360" w:lineRule="auto"/>
              <w:ind w:rightChars="-52"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-0.093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0.670 (0.568, 0.791)</w:t>
            </w:r>
          </w:p>
        </w:tc>
        <w:tc>
          <w:tcPr>
            <w:tcW w:w="1701" w:type="dxa"/>
            <w:tcBorders>
              <w:right w:val="dashSmallGap" w:sz="4" w:space="0" w:color="auto"/>
            </w:tcBorders>
          </w:tcPr>
          <w:p w14:paraId="617FB32B" w14:textId="77777777" w:rsidR="002626AD" w:rsidRPr="003F3B99" w:rsidRDefault="002626AD" w:rsidP="002626AD">
            <w:pPr>
              <w:wordWrap/>
              <w:spacing w:line="360" w:lineRule="auto"/>
              <w:ind w:rightChars="-55"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-0.214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0.594 (0.508, 0.695)</w:t>
            </w:r>
          </w:p>
        </w:tc>
        <w:tc>
          <w:tcPr>
            <w:tcW w:w="1701" w:type="dxa"/>
            <w:tcBorders>
              <w:left w:val="dashSmallGap" w:sz="4" w:space="0" w:color="auto"/>
            </w:tcBorders>
          </w:tcPr>
          <w:p w14:paraId="7B095168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-0.059, 0.769 (0.629, 0.939)</w:t>
            </w:r>
          </w:p>
        </w:tc>
        <w:tc>
          <w:tcPr>
            <w:tcW w:w="1843" w:type="dxa"/>
          </w:tcPr>
          <w:p w14:paraId="2F850C5A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-0.145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0.705 (0.584, 0.852)</w:t>
            </w:r>
          </w:p>
        </w:tc>
      </w:tr>
      <w:tr w:rsidR="002626AD" w:rsidRPr="003F3B99" w14:paraId="57FD4126" w14:textId="77777777" w:rsidTr="002626AD">
        <w:tc>
          <w:tcPr>
            <w:tcW w:w="1413" w:type="dxa"/>
            <w:vAlign w:val="center"/>
          </w:tcPr>
          <w:p w14:paraId="56DDA511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HDL</w:t>
            </w:r>
            <w:r w:rsidRPr="003F3B9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4</w:t>
            </w: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01253DF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(mg/dl) </w:t>
            </w:r>
          </w:p>
        </w:tc>
        <w:tc>
          <w:tcPr>
            <w:tcW w:w="1134" w:type="dxa"/>
          </w:tcPr>
          <w:p w14:paraId="2A284B8F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6E7739B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-0.046, 0.900 (0.806, 1.002)</w:t>
            </w:r>
          </w:p>
        </w:tc>
        <w:tc>
          <w:tcPr>
            <w:tcW w:w="1701" w:type="dxa"/>
            <w:tcBorders>
              <w:right w:val="dashSmallGap" w:sz="4" w:space="0" w:color="auto"/>
            </w:tcBorders>
          </w:tcPr>
          <w:p w14:paraId="584AE629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-0.016, 0.925 (0.835, 1.024)</w:t>
            </w:r>
          </w:p>
        </w:tc>
        <w:tc>
          <w:tcPr>
            <w:tcW w:w="1701" w:type="dxa"/>
            <w:tcBorders>
              <w:left w:val="dashSmallGap" w:sz="4" w:space="0" w:color="auto"/>
            </w:tcBorders>
          </w:tcPr>
          <w:p w14:paraId="4C6C9F77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-0.049, 0.860 (0.767, 0.965)</w:t>
            </w:r>
          </w:p>
        </w:tc>
        <w:tc>
          <w:tcPr>
            <w:tcW w:w="1843" w:type="dxa"/>
          </w:tcPr>
          <w:p w14:paraId="7E2E79A2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-0.053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0.856 (0.769, 0.953)</w:t>
            </w:r>
          </w:p>
        </w:tc>
      </w:tr>
      <w:tr w:rsidR="002626AD" w:rsidRPr="003F3B99" w14:paraId="33DD5A2B" w14:textId="77777777" w:rsidTr="002626AD">
        <w:tc>
          <w:tcPr>
            <w:tcW w:w="1413" w:type="dxa"/>
            <w:vAlign w:val="center"/>
          </w:tcPr>
          <w:p w14:paraId="29B92E0A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ind w:rightChars="-56" w:right="-112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Triglyceride</w:t>
            </w:r>
            <w:r w:rsidRPr="003F3B9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5</w:t>
            </w: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0280A4D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(mg/dl) </w:t>
            </w:r>
          </w:p>
        </w:tc>
        <w:tc>
          <w:tcPr>
            <w:tcW w:w="1134" w:type="dxa"/>
          </w:tcPr>
          <w:p w14:paraId="5B200F8D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8017D6B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-0.018, 1.094 (0.981, 1.220)</w:t>
            </w:r>
          </w:p>
        </w:tc>
        <w:tc>
          <w:tcPr>
            <w:tcW w:w="1701" w:type="dxa"/>
            <w:tcBorders>
              <w:right w:val="dashSmallGap" w:sz="4" w:space="0" w:color="auto"/>
            </w:tcBorders>
          </w:tcPr>
          <w:p w14:paraId="6C3572F8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0.126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1.263 (1.141, 1.398)</w:t>
            </w:r>
          </w:p>
        </w:tc>
        <w:tc>
          <w:tcPr>
            <w:tcW w:w="1701" w:type="dxa"/>
            <w:tcBorders>
              <w:left w:val="dashSmallGap" w:sz="4" w:space="0" w:color="auto"/>
            </w:tcBorders>
          </w:tcPr>
          <w:p w14:paraId="59889319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0.007, 1.202 (1.073, 1.347)</w:t>
            </w:r>
          </w:p>
        </w:tc>
        <w:tc>
          <w:tcPr>
            <w:tcW w:w="1843" w:type="dxa"/>
          </w:tcPr>
          <w:p w14:paraId="677FFB6C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0.170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 xml:space="preserve">, 1.202 (1.073, </w:t>
            </w:r>
            <w:proofErr w:type="gramStart"/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1.347)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proofErr w:type="gramEnd"/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  <w:tr w:rsidR="002626AD" w:rsidRPr="003F3B99" w14:paraId="5CBFFBFA" w14:textId="77777777" w:rsidTr="002626AD">
        <w:trPr>
          <w:trHeight w:val="952"/>
        </w:trPr>
        <w:tc>
          <w:tcPr>
            <w:tcW w:w="1413" w:type="dxa"/>
            <w:vAlign w:val="center"/>
          </w:tcPr>
          <w:p w14:paraId="4DD8E7BB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ind w:left="36" w:hangingChars="15" w:hanging="36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Ratio of LDL and HDL</w:t>
            </w:r>
            <w:r w:rsidRPr="003F3B9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zh-CN"/>
              </w:rPr>
              <w:t>6</w:t>
            </w:r>
          </w:p>
        </w:tc>
        <w:tc>
          <w:tcPr>
            <w:tcW w:w="1134" w:type="dxa"/>
          </w:tcPr>
          <w:p w14:paraId="153ECF0C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599B83B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-0.07, 0.742 (0.656, 0.838)</w:t>
            </w:r>
          </w:p>
        </w:tc>
        <w:tc>
          <w:tcPr>
            <w:tcW w:w="1701" w:type="dxa"/>
            <w:tcBorders>
              <w:right w:val="dashSmallGap" w:sz="4" w:space="0" w:color="auto"/>
            </w:tcBorders>
          </w:tcPr>
          <w:p w14:paraId="153D841B" w14:textId="77777777" w:rsidR="002626AD" w:rsidRPr="003F3B99" w:rsidRDefault="002626AD" w:rsidP="002626AD">
            <w:pPr>
              <w:wordWrap/>
              <w:spacing w:line="360" w:lineRule="auto"/>
              <w:ind w:rightChars="-55"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-0.158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0.679 (0.606, 0.761)</w:t>
            </w:r>
          </w:p>
        </w:tc>
        <w:tc>
          <w:tcPr>
            <w:tcW w:w="1701" w:type="dxa"/>
            <w:tcBorders>
              <w:left w:val="dashSmallGap" w:sz="4" w:space="0" w:color="auto"/>
            </w:tcBorders>
          </w:tcPr>
          <w:p w14:paraId="7401BD06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-0.041, 0.832 (0.723, 0.894)</w:t>
            </w:r>
          </w:p>
        </w:tc>
        <w:tc>
          <w:tcPr>
            <w:tcW w:w="1843" w:type="dxa"/>
          </w:tcPr>
          <w:p w14:paraId="01BD7862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-0.101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0.784 (0.687, 0.894)</w:t>
            </w:r>
          </w:p>
        </w:tc>
      </w:tr>
      <w:tr w:rsidR="002626AD" w:rsidRPr="003F3B99" w14:paraId="498C2945" w14:textId="77777777" w:rsidTr="002626AD">
        <w:tc>
          <w:tcPr>
            <w:tcW w:w="1413" w:type="dxa"/>
            <w:vAlign w:val="center"/>
          </w:tcPr>
          <w:p w14:paraId="4C327E63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ind w:leftChars="-52" w:left="-1" w:hangingChars="43" w:hanging="103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Cardiovascular diseases</w:t>
            </w:r>
          </w:p>
        </w:tc>
        <w:tc>
          <w:tcPr>
            <w:tcW w:w="1134" w:type="dxa"/>
          </w:tcPr>
          <w:p w14:paraId="48278145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E96FDB9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0.018, 0.941 (0.719, 1.080)</w:t>
            </w:r>
          </w:p>
        </w:tc>
        <w:tc>
          <w:tcPr>
            <w:tcW w:w="1701" w:type="dxa"/>
            <w:tcBorders>
              <w:right w:val="dashSmallGap" w:sz="4" w:space="0" w:color="auto"/>
            </w:tcBorders>
          </w:tcPr>
          <w:p w14:paraId="71906AE3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-0.096, 0.840 (0.653, 1.080)</w:t>
            </w:r>
          </w:p>
        </w:tc>
        <w:tc>
          <w:tcPr>
            <w:tcW w:w="1701" w:type="dxa"/>
            <w:tcBorders>
              <w:left w:val="dashSmallGap" w:sz="4" w:space="0" w:color="auto"/>
            </w:tcBorders>
          </w:tcPr>
          <w:p w14:paraId="4C6167A5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-0.032, 0.698 (0.535, 1.060)</w:t>
            </w:r>
          </w:p>
        </w:tc>
        <w:tc>
          <w:tcPr>
            <w:tcW w:w="1843" w:type="dxa"/>
          </w:tcPr>
          <w:p w14:paraId="4FD21568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-0.164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0.797 (0.535, 0.912)</w:t>
            </w:r>
          </w:p>
        </w:tc>
      </w:tr>
      <w:tr w:rsidR="002626AD" w:rsidRPr="003F3B99" w14:paraId="5933D726" w14:textId="77777777" w:rsidTr="002626AD">
        <w:tc>
          <w:tcPr>
            <w:tcW w:w="1413" w:type="dxa"/>
            <w:tcBorders>
              <w:bottom w:val="nil"/>
            </w:tcBorders>
            <w:vAlign w:val="center"/>
          </w:tcPr>
          <w:p w14:paraId="21182AE3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43645265"/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Myocardial infarction</w:t>
            </w:r>
            <w:bookmarkEnd w:id="1"/>
          </w:p>
        </w:tc>
        <w:tc>
          <w:tcPr>
            <w:tcW w:w="1134" w:type="dxa"/>
            <w:tcBorders>
              <w:bottom w:val="nil"/>
            </w:tcBorders>
          </w:tcPr>
          <w:p w14:paraId="373212BE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nil"/>
            </w:tcBorders>
          </w:tcPr>
          <w:p w14:paraId="1705D96B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0.016, 0.944 (0.690, 1.291)</w:t>
            </w:r>
          </w:p>
        </w:tc>
        <w:tc>
          <w:tcPr>
            <w:tcW w:w="1701" w:type="dxa"/>
            <w:tcBorders>
              <w:bottom w:val="nil"/>
              <w:right w:val="dashSmallGap" w:sz="4" w:space="0" w:color="auto"/>
            </w:tcBorders>
          </w:tcPr>
          <w:p w14:paraId="5672A1E8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-0.090, 0.848 (0.634, 1.135)</w:t>
            </w:r>
          </w:p>
        </w:tc>
        <w:tc>
          <w:tcPr>
            <w:tcW w:w="1701" w:type="dxa"/>
            <w:tcBorders>
              <w:left w:val="dashSmallGap" w:sz="4" w:space="0" w:color="auto"/>
              <w:bottom w:val="nil"/>
            </w:tcBorders>
          </w:tcPr>
          <w:p w14:paraId="06BA186D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-0.035, 0.794 (0.570, 1.104)</w:t>
            </w:r>
          </w:p>
        </w:tc>
        <w:tc>
          <w:tcPr>
            <w:tcW w:w="1843" w:type="dxa"/>
            <w:tcBorders>
              <w:bottom w:val="nil"/>
            </w:tcBorders>
          </w:tcPr>
          <w:p w14:paraId="2C47CA97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-0.161</w:t>
            </w:r>
            <w:r w:rsidRPr="003F3B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, 0.700 (0.514, 0.954)</w:t>
            </w:r>
          </w:p>
        </w:tc>
      </w:tr>
      <w:tr w:rsidR="002626AD" w:rsidRPr="003F3B99" w14:paraId="5B5CDA1A" w14:textId="77777777" w:rsidTr="002626AD">
        <w:tc>
          <w:tcPr>
            <w:tcW w:w="1413" w:type="dxa"/>
            <w:tcBorders>
              <w:top w:val="nil"/>
              <w:bottom w:val="single" w:sz="4" w:space="0" w:color="auto"/>
            </w:tcBorders>
            <w:vAlign w:val="center"/>
          </w:tcPr>
          <w:p w14:paraId="34D1B3E8" w14:textId="77777777" w:rsidR="002626AD" w:rsidRPr="003F3B99" w:rsidRDefault="002626AD" w:rsidP="002626AD">
            <w:pPr>
              <w:wordWrap/>
              <w:adjustRightInd w:val="0"/>
              <w:snapToGrid w:val="0"/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eastAsia="Calibri" w:hAnsi="Times New Roman" w:cs="Times New Roman"/>
                <w:sz w:val="24"/>
                <w:szCs w:val="24"/>
              </w:rPr>
              <w:t>Stroke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6BEFA2B8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3426C12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-0.030 0.842 (0.509, 1.394)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dashSmallGap" w:sz="4" w:space="0" w:color="auto"/>
            </w:tcBorders>
          </w:tcPr>
          <w:p w14:paraId="0638D8DE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-0.112, 0.775 (0.483, 1.244)</w:t>
            </w:r>
          </w:p>
        </w:tc>
        <w:tc>
          <w:tcPr>
            <w:tcW w:w="1701" w:type="dxa"/>
            <w:tcBorders>
              <w:top w:val="nil"/>
              <w:left w:val="dashSmallGap" w:sz="4" w:space="0" w:color="auto"/>
              <w:bottom w:val="single" w:sz="4" w:space="0" w:color="auto"/>
            </w:tcBorders>
          </w:tcPr>
          <w:p w14:paraId="4DE46675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-0.71, 0.740 (0.435, 1.257)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E3B7DFB" w14:textId="77777777" w:rsidR="002626AD" w:rsidRPr="003F3B99" w:rsidRDefault="002626AD" w:rsidP="002626AD">
            <w:pPr>
              <w:wordWrap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B99">
              <w:rPr>
                <w:rFonts w:ascii="Times New Roman" w:hAnsi="Times New Roman" w:cs="Times New Roman"/>
                <w:sz w:val="24"/>
                <w:szCs w:val="24"/>
              </w:rPr>
              <w:t>-0.159, 0.677 (0.411, 1.116)</w:t>
            </w:r>
          </w:p>
        </w:tc>
      </w:tr>
    </w:tbl>
    <w:p w14:paraId="14280212" w14:textId="74421991" w:rsidR="002626AD" w:rsidRPr="00301198" w:rsidRDefault="002626AD" w:rsidP="002626AD">
      <w:pPr>
        <w:wordWrap/>
        <w:spacing w:after="0" w:line="360" w:lineRule="auto"/>
        <w:ind w:left="708" w:hangingChars="295" w:hanging="708"/>
        <w:rPr>
          <w:rFonts w:ascii="Times New Roman" w:hAnsi="Times New Roman" w:cs="Times New Roman"/>
          <w:sz w:val="24"/>
          <w:szCs w:val="24"/>
        </w:rPr>
      </w:pPr>
      <w:r w:rsidRPr="00301198">
        <w:rPr>
          <w:rFonts w:ascii="Times New Roman" w:hAnsi="Times New Roman" w:cs="Times New Roman"/>
          <w:sz w:val="24"/>
          <w:szCs w:val="24"/>
        </w:rPr>
        <w:t>Values represent odd</w:t>
      </w:r>
      <w:r w:rsidR="008F15A4" w:rsidRPr="00301198">
        <w:rPr>
          <w:rFonts w:ascii="Times New Roman" w:hAnsi="Times New Roman" w:cs="Times New Roman"/>
          <w:sz w:val="24"/>
          <w:szCs w:val="24"/>
        </w:rPr>
        <w:t>s</w:t>
      </w:r>
      <w:r w:rsidRPr="00301198">
        <w:rPr>
          <w:rFonts w:ascii="Times New Roman" w:hAnsi="Times New Roman" w:cs="Times New Roman"/>
          <w:sz w:val="24"/>
          <w:szCs w:val="24"/>
        </w:rPr>
        <w:t xml:space="preserve"> ratios and 95% confidence intervals.</w:t>
      </w:r>
    </w:p>
    <w:p w14:paraId="5DE43239" w14:textId="4614D031" w:rsidR="002626AD" w:rsidRPr="00301198" w:rsidRDefault="002626AD" w:rsidP="002626AD">
      <w:pPr>
        <w:wordWrap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1198">
        <w:rPr>
          <w:rFonts w:ascii="Times New Roman" w:eastAsiaTheme="majorHAnsi" w:hAnsi="Times New Roman" w:cs="Times New Roman"/>
          <w:sz w:val="24"/>
          <w:szCs w:val="24"/>
          <w:vertAlign w:val="superscript"/>
        </w:rPr>
        <w:t>1</w:t>
      </w:r>
      <w:r w:rsidRPr="00301198">
        <w:rPr>
          <w:rFonts w:ascii="Times New Roman" w:eastAsia="맑은 고딕" w:hAnsi="Times New Roman" w:cs="Times New Roman"/>
          <w:sz w:val="24"/>
          <w:szCs w:val="24"/>
        </w:rPr>
        <w:t>Haplotype</w:t>
      </w:r>
      <w:r w:rsidR="008F15A4" w:rsidRPr="00301198">
        <w:rPr>
          <w:rFonts w:ascii="Times New Roman" w:eastAsia="맑은 고딕" w:hAnsi="Times New Roman" w:cs="Times New Roman"/>
          <w:sz w:val="24"/>
          <w:szCs w:val="24"/>
        </w:rPr>
        <w:t>s</w:t>
      </w:r>
      <w:r w:rsidRPr="00301198">
        <w:rPr>
          <w:rFonts w:ascii="Times New Roman" w:eastAsia="맑은 고딕" w:hAnsi="Times New Roman" w:cs="Times New Roman"/>
          <w:sz w:val="24"/>
          <w:szCs w:val="24"/>
        </w:rPr>
        <w:t xml:space="preserve"> of </w:t>
      </w:r>
      <w:r w:rsidRPr="00301198">
        <w:rPr>
          <w:rFonts w:ascii="Times New Roman" w:eastAsia="맑은 고딕" w:hAnsi="Times New Roman" w:cs="Times New Roman"/>
          <w:i/>
          <w:sz w:val="24"/>
          <w:szCs w:val="24"/>
        </w:rPr>
        <w:t>APOE,</w:t>
      </w:r>
      <w:r w:rsidRPr="00301198">
        <w:rPr>
          <w:rFonts w:ascii="Times New Roman" w:hAnsi="Times New Roman" w:cs="Times New Roman"/>
          <w:sz w:val="24"/>
          <w:szCs w:val="24"/>
        </w:rPr>
        <w:t xml:space="preserve"> </w:t>
      </w:r>
      <w:r w:rsidRPr="00301198">
        <w:rPr>
          <w:rFonts w:ascii="Times New Roman" w:eastAsia="맑은 고딕" w:hAnsi="Times New Roman" w:cs="Times New Roman"/>
          <w:i/>
          <w:sz w:val="24"/>
          <w:szCs w:val="24"/>
        </w:rPr>
        <w:t>PVRL2,</w:t>
      </w:r>
      <w:r w:rsidRPr="00301198">
        <w:rPr>
          <w:rFonts w:ascii="Times New Roman" w:hAnsi="Times New Roman" w:cs="Times New Roman"/>
          <w:sz w:val="24"/>
          <w:szCs w:val="24"/>
        </w:rPr>
        <w:t xml:space="preserve"> and </w:t>
      </w:r>
      <w:r w:rsidRPr="00301198">
        <w:rPr>
          <w:rFonts w:ascii="Times New Roman" w:eastAsia="맑은 고딕" w:hAnsi="Times New Roman" w:cs="Times New Roman"/>
          <w:i/>
          <w:sz w:val="24"/>
          <w:szCs w:val="24"/>
        </w:rPr>
        <w:t>TOMM40</w:t>
      </w:r>
      <w:r w:rsidRPr="00301198">
        <w:rPr>
          <w:rStyle w:val="st1"/>
          <w:rFonts w:ascii="Times New Roman" w:hAnsi="Times New Roman" w:cs="Times New Roman"/>
          <w:sz w:val="24"/>
          <w:szCs w:val="24"/>
        </w:rPr>
        <w:t xml:space="preserve"> in </w:t>
      </w:r>
      <w:r w:rsidRPr="00301198">
        <w:rPr>
          <w:rFonts w:ascii="Times New Roman" w:hAnsi="Times New Roman" w:cs="Times New Roman"/>
          <w:sz w:val="24"/>
          <w:szCs w:val="24"/>
        </w:rPr>
        <w:t xml:space="preserve">the </w:t>
      </w:r>
      <w:r w:rsidRPr="00301198">
        <w:rPr>
          <w:rStyle w:val="plainlinks"/>
          <w:rFonts w:ascii="Times New Roman" w:hAnsi="Times New Roman" w:cs="Times New Roman"/>
          <w:sz w:val="24"/>
          <w:szCs w:val="24"/>
        </w:rPr>
        <w:t>19q13 loci</w:t>
      </w:r>
      <w:r w:rsidRPr="00301198">
        <w:rPr>
          <w:rStyle w:val="st1"/>
          <w:rFonts w:ascii="Times New Roman" w:hAnsi="Times New Roman" w:cs="Times New Roman"/>
          <w:sz w:val="24"/>
          <w:szCs w:val="24"/>
        </w:rPr>
        <w:t xml:space="preserve"> w</w:t>
      </w:r>
      <w:r w:rsidR="008F15A4" w:rsidRPr="00301198">
        <w:rPr>
          <w:rStyle w:val="st1"/>
          <w:rFonts w:ascii="Times New Roman" w:hAnsi="Times New Roman" w:cs="Times New Roman"/>
          <w:sz w:val="24"/>
          <w:szCs w:val="24"/>
        </w:rPr>
        <w:t>ere</w:t>
      </w:r>
      <w:r w:rsidRPr="00301198">
        <w:rPr>
          <w:rStyle w:val="st1"/>
          <w:rFonts w:ascii="Times New Roman" w:hAnsi="Times New Roman" w:cs="Times New Roman"/>
          <w:sz w:val="24"/>
          <w:szCs w:val="24"/>
        </w:rPr>
        <w:t xml:space="preserve"> generated by PLINK and </w:t>
      </w:r>
      <w:r w:rsidR="008F15A4" w:rsidRPr="00301198">
        <w:rPr>
          <w:rStyle w:val="st1"/>
          <w:rFonts w:ascii="Times New Roman" w:hAnsi="Times New Roman" w:cs="Times New Roman"/>
          <w:sz w:val="24"/>
          <w:szCs w:val="24"/>
        </w:rPr>
        <w:t>were</w:t>
      </w:r>
      <w:r w:rsidRPr="00301198">
        <w:rPr>
          <w:rStyle w:val="st1"/>
          <w:rFonts w:ascii="Times New Roman" w:hAnsi="Times New Roman" w:cs="Times New Roman"/>
          <w:sz w:val="24"/>
          <w:szCs w:val="24"/>
        </w:rPr>
        <w:t xml:space="preserve"> divided into </w:t>
      </w:r>
      <w:r w:rsidRPr="00301198">
        <w:rPr>
          <w:rFonts w:ascii="Times New Roman" w:hAnsi="Times New Roman" w:cs="Times New Roman"/>
          <w:sz w:val="24"/>
          <w:szCs w:val="24"/>
        </w:rPr>
        <w:t xml:space="preserve">3 categories (Major, Heterozygote and Minor groups) by </w:t>
      </w:r>
      <w:r w:rsidRPr="00301198">
        <w:rPr>
          <w:rStyle w:val="st1"/>
          <w:rFonts w:ascii="Times New Roman" w:hAnsi="Times New Roman" w:cs="Times New Roman"/>
          <w:sz w:val="24"/>
          <w:szCs w:val="24"/>
        </w:rPr>
        <w:t xml:space="preserve">the alleles </w:t>
      </w:r>
      <w:r w:rsidRPr="00301198">
        <w:rPr>
          <w:rFonts w:ascii="Times New Roman" w:hAnsi="Times New Roman" w:cs="Times New Roman"/>
          <w:sz w:val="24"/>
          <w:szCs w:val="24"/>
        </w:rPr>
        <w:t xml:space="preserve">(0, 1-2, and 3-4). </w:t>
      </w:r>
      <w:r w:rsidR="008F15A4" w:rsidRPr="00301198">
        <w:rPr>
          <w:rFonts w:ascii="Times New Roman" w:hAnsi="Times New Roman" w:cs="Times New Roman"/>
          <w:sz w:val="24"/>
          <w:szCs w:val="24"/>
        </w:rPr>
        <w:t xml:space="preserve">The </w:t>
      </w:r>
      <w:r w:rsidRPr="00301198">
        <w:rPr>
          <w:rFonts w:ascii="Times New Roman" w:hAnsi="Times New Roman" w:cs="Times New Roman"/>
          <w:sz w:val="24"/>
          <w:szCs w:val="24"/>
        </w:rPr>
        <w:t>Major</w:t>
      </w:r>
      <w:r w:rsidR="008F15A4" w:rsidRPr="00301198">
        <w:rPr>
          <w:rFonts w:ascii="Times New Roman" w:hAnsi="Times New Roman" w:cs="Times New Roman"/>
          <w:sz w:val="24"/>
          <w:szCs w:val="24"/>
        </w:rPr>
        <w:t xml:space="preserve"> haplotype</w:t>
      </w:r>
      <w:r w:rsidRPr="00301198">
        <w:rPr>
          <w:rFonts w:ascii="Times New Roman" w:hAnsi="Times New Roman" w:cs="Times New Roman"/>
          <w:sz w:val="24"/>
          <w:szCs w:val="24"/>
        </w:rPr>
        <w:t xml:space="preserve"> was the reference for both model 1 and model 2.</w:t>
      </w:r>
    </w:p>
    <w:p w14:paraId="16678BB4" w14:textId="2E1D334B" w:rsidR="002626AD" w:rsidRPr="00301198" w:rsidRDefault="002626AD" w:rsidP="002626AD">
      <w:pPr>
        <w:wordWrap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1198">
        <w:rPr>
          <w:rFonts w:ascii="Times New Roman" w:eastAsia="한컴바탕" w:hAnsi="Times New Roman" w:cs="Times New Roman"/>
          <w:sz w:val="24"/>
          <w:szCs w:val="24"/>
        </w:rPr>
        <w:t xml:space="preserve">The cutoff points </w:t>
      </w:r>
      <w:r w:rsidR="008F15A4" w:rsidRPr="00301198">
        <w:rPr>
          <w:rFonts w:ascii="Times New Roman" w:eastAsia="한컴바탕" w:hAnsi="Times New Roman" w:cs="Times New Roman"/>
          <w:sz w:val="24"/>
          <w:szCs w:val="24"/>
        </w:rPr>
        <w:t>for</w:t>
      </w:r>
      <w:r w:rsidRPr="00301198">
        <w:rPr>
          <w:rFonts w:ascii="Times New Roman" w:eastAsia="한컴바탕" w:hAnsi="Times New Roman" w:cs="Times New Roman"/>
          <w:sz w:val="24"/>
          <w:szCs w:val="24"/>
        </w:rPr>
        <w:t xml:space="preserve"> dividing the values of each parameter into 2 groups were as follow</w:t>
      </w:r>
      <w:r w:rsidR="008F15A4" w:rsidRPr="00301198">
        <w:rPr>
          <w:rFonts w:ascii="Times New Roman" w:eastAsia="한컴바탕" w:hAnsi="Times New Roman" w:cs="Times New Roman"/>
          <w:sz w:val="24"/>
          <w:szCs w:val="24"/>
        </w:rPr>
        <w:t>s</w:t>
      </w:r>
      <w:r w:rsidRPr="00301198">
        <w:rPr>
          <w:rFonts w:ascii="Times New Roman" w:eastAsia="한컴바탕" w:hAnsi="Times New Roman" w:cs="Times New Roman"/>
          <w:sz w:val="24"/>
          <w:szCs w:val="24"/>
        </w:rPr>
        <w:t>: the control group included &lt; 200 mg/dL for serum total cholesterol concentrations</w:t>
      </w:r>
      <w:r w:rsidRPr="00301198">
        <w:rPr>
          <w:rFonts w:ascii="Times New Roman" w:eastAsia="맑은 고딕" w:hAnsi="Times New Roman" w:cs="Times New Roman"/>
          <w:kern w:val="0"/>
          <w:sz w:val="24"/>
          <w:szCs w:val="24"/>
          <w:vertAlign w:val="superscript"/>
        </w:rPr>
        <w:t>2</w:t>
      </w:r>
      <w:r w:rsidRPr="00301198">
        <w:rPr>
          <w:rFonts w:ascii="Times New Roman" w:eastAsia="한컴바탕" w:hAnsi="Times New Roman" w:cs="Times New Roman"/>
          <w:sz w:val="24"/>
          <w:szCs w:val="24"/>
        </w:rPr>
        <w:t>, &lt;160 mg/dL for serum LDL concentrations (LDL)</w:t>
      </w:r>
      <w:r w:rsidRPr="00301198">
        <w:rPr>
          <w:rFonts w:ascii="Times New Roman" w:eastAsia="한컴바탕" w:hAnsi="Times New Roman" w:cs="Times New Roman"/>
          <w:sz w:val="24"/>
          <w:szCs w:val="24"/>
          <w:vertAlign w:val="superscript"/>
        </w:rPr>
        <w:t>3</w:t>
      </w:r>
      <w:r w:rsidRPr="00301198">
        <w:rPr>
          <w:rFonts w:ascii="Times New Roman" w:eastAsia="한컴바탕" w:hAnsi="Times New Roman" w:cs="Times New Roman"/>
          <w:sz w:val="24"/>
          <w:szCs w:val="24"/>
        </w:rPr>
        <w:t xml:space="preserve">, ≥40 mg/dL for men and ≥50 mg/dL for women </w:t>
      </w:r>
      <w:r w:rsidR="008F15A4" w:rsidRPr="00301198">
        <w:rPr>
          <w:rFonts w:ascii="Times New Roman" w:eastAsia="한컴바탕" w:hAnsi="Times New Roman" w:cs="Times New Roman"/>
          <w:sz w:val="24"/>
          <w:szCs w:val="24"/>
        </w:rPr>
        <w:t>for</w:t>
      </w:r>
      <w:r w:rsidRPr="00301198">
        <w:rPr>
          <w:rFonts w:ascii="Times New Roman" w:eastAsia="한컴바탕" w:hAnsi="Times New Roman" w:cs="Times New Roman"/>
          <w:sz w:val="24"/>
          <w:szCs w:val="24"/>
        </w:rPr>
        <w:t xml:space="preserve"> serum HDL concentrations (HDL)</w:t>
      </w:r>
      <w:r w:rsidRPr="00301198">
        <w:rPr>
          <w:rFonts w:ascii="Times New Roman" w:eastAsia="한컴바탕" w:hAnsi="Times New Roman" w:cs="Times New Roman"/>
          <w:sz w:val="24"/>
          <w:szCs w:val="24"/>
          <w:vertAlign w:val="superscript"/>
        </w:rPr>
        <w:t>4</w:t>
      </w:r>
      <w:r w:rsidRPr="00301198">
        <w:rPr>
          <w:rFonts w:ascii="Times New Roman" w:eastAsia="한컴바탕" w:hAnsi="Times New Roman" w:cs="Times New Roman"/>
          <w:sz w:val="24"/>
          <w:szCs w:val="24"/>
        </w:rPr>
        <w:t>, &lt;150 mg/dL for serum triglyceride concentrations</w:t>
      </w:r>
      <w:r w:rsidRPr="00301198">
        <w:rPr>
          <w:rFonts w:ascii="Times New Roman" w:eastAsiaTheme="minorHAnsi" w:hAnsi="Times New Roman" w:cs="Times New Roman"/>
          <w:sz w:val="24"/>
          <w:szCs w:val="24"/>
          <w:vertAlign w:val="superscript"/>
          <w:lang w:eastAsia="zh-CN"/>
        </w:rPr>
        <w:t>5</w:t>
      </w:r>
      <w:r w:rsidRPr="00301198">
        <w:rPr>
          <w:rFonts w:ascii="Times New Roman" w:eastAsia="한컴바탕" w:hAnsi="Times New Roman" w:cs="Times New Roman"/>
          <w:sz w:val="24"/>
          <w:szCs w:val="24"/>
        </w:rPr>
        <w:t xml:space="preserve"> and </w:t>
      </w:r>
      <w:r w:rsidRPr="00301198">
        <w:rPr>
          <w:rFonts w:ascii="Times New Roman" w:eastAsia="한컴바탕" w:hAnsi="Times New Roman" w:cs="Times New Roman"/>
          <w:sz w:val="24"/>
          <w:szCs w:val="24"/>
        </w:rPr>
        <w:lastRenderedPageBreak/>
        <w:t xml:space="preserve">2.85 for the </w:t>
      </w:r>
      <w:r w:rsidRPr="00301198">
        <w:rPr>
          <w:rFonts w:ascii="Times New Roman" w:eastAsiaTheme="minorHAnsi" w:hAnsi="Times New Roman" w:cs="Times New Roman"/>
          <w:sz w:val="24"/>
          <w:szCs w:val="24"/>
          <w:lang w:eastAsia="zh-CN"/>
        </w:rPr>
        <w:t xml:space="preserve">ratio of serum LDL concentrations </w:t>
      </w:r>
      <w:r w:rsidR="008F15A4" w:rsidRPr="00301198">
        <w:rPr>
          <w:rFonts w:ascii="Times New Roman" w:eastAsiaTheme="minorHAnsi" w:hAnsi="Times New Roman" w:cs="Times New Roman"/>
          <w:sz w:val="24"/>
          <w:szCs w:val="24"/>
          <w:lang w:eastAsia="zh-CN"/>
        </w:rPr>
        <w:t>to</w:t>
      </w:r>
      <w:r w:rsidRPr="00301198">
        <w:rPr>
          <w:rFonts w:ascii="Times New Roman" w:eastAsiaTheme="minorHAnsi" w:hAnsi="Times New Roman" w:cs="Times New Roman"/>
          <w:sz w:val="24"/>
          <w:szCs w:val="24"/>
          <w:lang w:eastAsia="zh-CN"/>
        </w:rPr>
        <w:t xml:space="preserve"> serum HDL concentrations</w:t>
      </w:r>
      <w:r w:rsidRPr="00301198">
        <w:rPr>
          <w:rFonts w:ascii="Times New Roman" w:eastAsiaTheme="minorHAnsi" w:hAnsi="Times New Roman" w:cs="Times New Roman"/>
          <w:sz w:val="24"/>
          <w:szCs w:val="24"/>
          <w:vertAlign w:val="superscript"/>
          <w:lang w:eastAsia="zh-CN"/>
        </w:rPr>
        <w:t>6</w:t>
      </w:r>
      <w:r w:rsidRPr="00301198">
        <w:rPr>
          <w:rFonts w:ascii="Times New Roman" w:eastAsiaTheme="minorHAnsi" w:hAnsi="Times New Roman" w:cs="Times New Roman"/>
          <w:sz w:val="24"/>
          <w:szCs w:val="24"/>
          <w:lang w:eastAsia="zh-CN"/>
        </w:rPr>
        <w:t xml:space="preserve">. </w:t>
      </w:r>
      <w:r w:rsidRPr="00301198">
        <w:rPr>
          <w:rFonts w:ascii="Times New Roman" w:eastAsia="한컴바탕" w:hAnsi="Times New Roman" w:cs="Times New Roman"/>
          <w:sz w:val="24"/>
          <w:szCs w:val="24"/>
        </w:rPr>
        <w:t xml:space="preserve"> </w:t>
      </w:r>
    </w:p>
    <w:p w14:paraId="1D672773" w14:textId="77777777" w:rsidR="002626AD" w:rsidRPr="00301198" w:rsidRDefault="002626AD" w:rsidP="002626AD">
      <w:pPr>
        <w:wordWrap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1198">
        <w:rPr>
          <w:rFonts w:ascii="Times New Roman" w:hAnsi="Times New Roman" w:cs="Times New Roman"/>
          <w:sz w:val="24"/>
          <w:szCs w:val="24"/>
        </w:rPr>
        <w:t xml:space="preserve">Model 1: adjusted for </w:t>
      </w:r>
      <w:r w:rsidRPr="00301198">
        <w:rPr>
          <w:rFonts w:ascii="Times New Roman" w:eastAsia="SimSun" w:hAnsi="Times New Roman" w:cs="Times New Roman"/>
          <w:sz w:val="24"/>
          <w:szCs w:val="24"/>
          <w:lang w:eastAsia="zh-CN"/>
        </w:rPr>
        <w:t>a</w:t>
      </w:r>
      <w:r w:rsidRPr="00301198">
        <w:rPr>
          <w:rFonts w:ascii="Times New Roman" w:hAnsi="Times New Roman" w:cs="Times New Roman"/>
          <w:sz w:val="24"/>
          <w:szCs w:val="24"/>
        </w:rPr>
        <w:t xml:space="preserve">ge, gender, </w:t>
      </w:r>
      <w:r w:rsidRPr="00301198">
        <w:rPr>
          <w:rFonts w:ascii="Times New Roman" w:eastAsia="SimSun" w:hAnsi="Times New Roman" w:cs="Times New Roman"/>
          <w:sz w:val="24"/>
          <w:szCs w:val="24"/>
          <w:lang w:eastAsia="zh-CN"/>
        </w:rPr>
        <w:t>r</w:t>
      </w:r>
      <w:r w:rsidRPr="00301198">
        <w:rPr>
          <w:rFonts w:ascii="Times New Roman" w:hAnsi="Times New Roman" w:cs="Times New Roman"/>
          <w:sz w:val="24"/>
          <w:szCs w:val="24"/>
        </w:rPr>
        <w:t>esidence area, body mass index, and energy intake.</w:t>
      </w:r>
    </w:p>
    <w:p w14:paraId="19611CF4" w14:textId="6B8A3CC5" w:rsidR="002626AD" w:rsidRPr="00301198" w:rsidRDefault="002626AD" w:rsidP="002626AD">
      <w:pPr>
        <w:wordWrap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1198">
        <w:rPr>
          <w:rFonts w:ascii="Times New Roman" w:hAnsi="Times New Roman" w:cs="Times New Roman"/>
          <w:sz w:val="24"/>
          <w:szCs w:val="24"/>
        </w:rPr>
        <w:t>Model 2: adjusted for the parameter</w:t>
      </w:r>
      <w:r w:rsidR="008F15A4" w:rsidRPr="00301198">
        <w:rPr>
          <w:rFonts w:ascii="Times New Roman" w:hAnsi="Times New Roman" w:cs="Times New Roman"/>
          <w:sz w:val="24"/>
          <w:szCs w:val="24"/>
        </w:rPr>
        <w:t>s</w:t>
      </w:r>
      <w:r w:rsidRPr="00301198">
        <w:rPr>
          <w:rFonts w:ascii="Times New Roman" w:hAnsi="Times New Roman" w:cs="Times New Roman"/>
          <w:sz w:val="24"/>
          <w:szCs w:val="24"/>
        </w:rPr>
        <w:t xml:space="preserve"> in model 1 plus smoking, coffee, alcohol, physical activity, </w:t>
      </w:r>
      <w:bookmarkStart w:id="2" w:name="_Hlk45433098"/>
      <w:r w:rsidR="008F15A4" w:rsidRPr="00301198">
        <w:rPr>
          <w:rFonts w:ascii="Times New Roman" w:hAnsi="Times New Roman" w:cs="Times New Roman"/>
          <w:sz w:val="24"/>
          <w:szCs w:val="24"/>
        </w:rPr>
        <w:t>percent</w:t>
      </w:r>
      <w:r w:rsidRPr="00301198">
        <w:rPr>
          <w:rFonts w:ascii="Times New Roman" w:hAnsi="Times New Roman" w:cs="Times New Roman"/>
          <w:sz w:val="24"/>
          <w:szCs w:val="24"/>
        </w:rPr>
        <w:t xml:space="preserve"> of fat and carbohydrate</w:t>
      </w:r>
      <w:r w:rsidR="008F15A4" w:rsidRPr="00301198">
        <w:rPr>
          <w:rFonts w:ascii="Times New Roman" w:hAnsi="Times New Roman" w:cs="Times New Roman"/>
          <w:sz w:val="24"/>
          <w:szCs w:val="24"/>
        </w:rPr>
        <w:t xml:space="preserve"> intakes</w:t>
      </w:r>
      <w:bookmarkEnd w:id="2"/>
      <w:r w:rsidRPr="00301198">
        <w:rPr>
          <w:rFonts w:ascii="Times New Roman" w:hAnsi="Times New Roman" w:cs="Times New Roman"/>
          <w:sz w:val="24"/>
          <w:szCs w:val="24"/>
        </w:rPr>
        <w:t>, menopause, and serum total cholesterol concentrations.</w:t>
      </w:r>
    </w:p>
    <w:p w14:paraId="3DA07CA1" w14:textId="77777777" w:rsidR="002626AD" w:rsidRPr="00301198" w:rsidRDefault="002626AD" w:rsidP="002626AD">
      <w:pPr>
        <w:wordWrap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01198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301198">
        <w:rPr>
          <w:rFonts w:ascii="Times New Roman" w:hAnsi="Times New Roman" w:cs="Times New Roman"/>
          <w:sz w:val="24"/>
          <w:szCs w:val="24"/>
        </w:rPr>
        <w:t xml:space="preserve"> Significantly changed the risk of hyper-LDL-cholesterolemia by haplotype at </w:t>
      </w:r>
      <w:r w:rsidRPr="00301198">
        <w:rPr>
          <w:rFonts w:ascii="Times New Roman" w:hAnsi="Times New Roman" w:cs="Times New Roman"/>
          <w:i/>
          <w:sz w:val="24"/>
          <w:szCs w:val="24"/>
        </w:rPr>
        <w:t>P</w:t>
      </w:r>
      <w:r w:rsidRPr="00301198">
        <w:rPr>
          <w:rFonts w:ascii="Times New Roman" w:hAnsi="Times New Roman" w:cs="Times New Roman"/>
          <w:sz w:val="24"/>
          <w:szCs w:val="24"/>
        </w:rPr>
        <w:t xml:space="preserve">&lt;0.05, </w:t>
      </w:r>
      <w:r w:rsidRPr="00301198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301198">
        <w:rPr>
          <w:rFonts w:ascii="Times New Roman" w:hAnsi="Times New Roman" w:cs="Times New Roman"/>
          <w:sz w:val="24"/>
          <w:szCs w:val="24"/>
        </w:rPr>
        <w:t xml:space="preserve"> at </w:t>
      </w:r>
      <w:r w:rsidRPr="00301198">
        <w:rPr>
          <w:rFonts w:ascii="Times New Roman" w:hAnsi="Times New Roman" w:cs="Times New Roman"/>
          <w:i/>
          <w:sz w:val="24"/>
          <w:szCs w:val="24"/>
        </w:rPr>
        <w:t>P</w:t>
      </w:r>
      <w:r w:rsidRPr="00301198">
        <w:rPr>
          <w:rFonts w:ascii="Times New Roman" w:hAnsi="Times New Roman" w:cs="Times New Roman"/>
          <w:sz w:val="24"/>
          <w:szCs w:val="24"/>
        </w:rPr>
        <w:t xml:space="preserve">&lt;0.01, and </w:t>
      </w:r>
      <w:r w:rsidRPr="00301198">
        <w:rPr>
          <w:rFonts w:ascii="Times New Roman" w:hAnsi="Times New Roman" w:cs="Times New Roman"/>
          <w:sz w:val="24"/>
          <w:szCs w:val="24"/>
          <w:vertAlign w:val="superscript"/>
        </w:rPr>
        <w:t>***</w:t>
      </w:r>
      <w:r w:rsidRPr="00301198">
        <w:rPr>
          <w:rFonts w:ascii="Times New Roman" w:hAnsi="Times New Roman" w:cs="Times New Roman"/>
          <w:sz w:val="24"/>
          <w:szCs w:val="24"/>
        </w:rPr>
        <w:t xml:space="preserve"> at </w:t>
      </w:r>
      <w:r w:rsidRPr="00301198">
        <w:rPr>
          <w:rFonts w:ascii="Times New Roman" w:hAnsi="Times New Roman" w:cs="Times New Roman"/>
          <w:i/>
          <w:sz w:val="24"/>
          <w:szCs w:val="24"/>
        </w:rPr>
        <w:t>P</w:t>
      </w:r>
      <w:r w:rsidRPr="00301198">
        <w:rPr>
          <w:rFonts w:ascii="Times New Roman" w:hAnsi="Times New Roman" w:cs="Times New Roman"/>
          <w:sz w:val="24"/>
          <w:szCs w:val="24"/>
        </w:rPr>
        <w:t>&lt;0.0001.</w:t>
      </w:r>
    </w:p>
    <w:p w14:paraId="50DA0AF9" w14:textId="77777777" w:rsidR="002626AD" w:rsidRPr="002626AD" w:rsidRDefault="002626AD"/>
    <w:sectPr w:rsidR="002626AD" w:rsidRPr="002626A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한컴바탕">
    <w:altName w:val="Batang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6AD"/>
    <w:rsid w:val="000E2B70"/>
    <w:rsid w:val="002626AD"/>
    <w:rsid w:val="00301198"/>
    <w:rsid w:val="003F3B99"/>
    <w:rsid w:val="00463A3A"/>
    <w:rsid w:val="008F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92E0C"/>
  <w15:chartTrackingRefBased/>
  <w15:docId w15:val="{A7F1DE16-608B-417F-A128-1A0637E17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2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2626AD"/>
  </w:style>
  <w:style w:type="character" w:customStyle="1" w:styleId="plainlinks">
    <w:name w:val="plainlinks"/>
    <w:basedOn w:val="a0"/>
    <w:rsid w:val="00262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 Sunmin</dc:creator>
  <cp:keywords/>
  <dc:description/>
  <cp:lastModifiedBy>Park Sunmin</cp:lastModifiedBy>
  <cp:revision>2</cp:revision>
  <dcterms:created xsi:type="dcterms:W3CDTF">2020-07-11T23:07:00Z</dcterms:created>
  <dcterms:modified xsi:type="dcterms:W3CDTF">2020-07-11T23:07:00Z</dcterms:modified>
</cp:coreProperties>
</file>