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18A81" w14:textId="77777777" w:rsidR="001061CF" w:rsidRDefault="00DA319B">
      <w:pPr>
        <w:spacing w:line="480" w:lineRule="auto"/>
        <w:rPr>
          <w:rFonts w:ascii="Times New Roman" w:hAnsi="Times New Roman"/>
          <w:b/>
          <w:bCs/>
          <w:color w:val="000000" w:themeColor="text1"/>
          <w:sz w:val="24"/>
        </w:rPr>
      </w:pPr>
      <w:bookmarkStart w:id="0" w:name="OLE_LINK28"/>
      <w:bookmarkStart w:id="1" w:name="OLE_LINK48"/>
      <w:bookmarkStart w:id="2" w:name="OLE_LINK29"/>
      <w:bookmarkStart w:id="3" w:name="OLE_LINK30"/>
      <w:bookmarkEnd w:id="0"/>
      <w:proofErr w:type="spellStart"/>
      <w:r>
        <w:rPr>
          <w:rFonts w:ascii="Times New Roman" w:hAnsi="Times New Roman" w:hint="eastAsia"/>
          <w:b/>
          <w:bCs/>
          <w:color w:val="000000" w:themeColor="text1"/>
          <w:sz w:val="24"/>
        </w:rPr>
        <w:t>Periostin</w:t>
      </w:r>
      <w:proofErr w:type="spellEnd"/>
      <w:r>
        <w:rPr>
          <w:rFonts w:ascii="Times New Roman" w:hAnsi="Times New Roman" w:hint="eastAsia"/>
          <w:b/>
          <w:bCs/>
          <w:color w:val="000000" w:themeColor="text1"/>
          <w:sz w:val="24"/>
        </w:rPr>
        <w:t xml:space="preserve"> drives extracellular matrix degradation, stemness, and chemoresistance </w:t>
      </w:r>
      <w:r w:rsidRPr="007F70E3">
        <w:rPr>
          <w:rFonts w:ascii="Times New Roman" w:hAnsi="Times New Roman" w:hint="eastAsia"/>
          <w:b/>
          <w:bCs/>
          <w:sz w:val="24"/>
        </w:rPr>
        <w:t xml:space="preserve">by activating 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>the MAPK/ERK signaling pathway in triple</w:t>
      </w:r>
      <w:bookmarkStart w:id="4" w:name="OLE_LINK51"/>
      <w:r>
        <w:rPr>
          <w:rFonts w:ascii="Times New Roman" w:hAnsi="Times New Roman"/>
          <w:b/>
          <w:bCs/>
          <w:color w:val="000000" w:themeColor="text1"/>
          <w:sz w:val="24"/>
        </w:rPr>
        <w:t>–</w:t>
      </w:r>
      <w:bookmarkEnd w:id="4"/>
      <w:r>
        <w:rPr>
          <w:rFonts w:ascii="Times New Roman" w:hAnsi="Times New Roman" w:hint="eastAsia"/>
          <w:b/>
          <w:bCs/>
          <w:color w:val="000000" w:themeColor="text1"/>
          <w:sz w:val="24"/>
        </w:rPr>
        <w:t>negative breast cancer cells</w:t>
      </w:r>
      <w:bookmarkEnd w:id="1"/>
    </w:p>
    <w:bookmarkEnd w:id="2"/>
    <w:p w14:paraId="342B695B" w14:textId="77777777" w:rsidR="001061CF" w:rsidRDefault="00DA319B">
      <w:pPr>
        <w:spacing w:line="480" w:lineRule="auto"/>
        <w:rPr>
          <w:rFonts w:ascii="Times New Roman" w:hAnsi="Times New Roman"/>
          <w:color w:val="000000" w:themeColor="text1"/>
          <w:sz w:val="24"/>
          <w:vertAlign w:val="superscript"/>
        </w:rPr>
      </w:pPr>
      <w:proofErr w:type="spellStart"/>
      <w:r>
        <w:rPr>
          <w:rFonts w:ascii="Times New Roman" w:hAnsi="Times New Roman"/>
          <w:color w:val="000000" w:themeColor="text1"/>
          <w:sz w:val="24"/>
        </w:rPr>
        <w:t>Jinna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Wu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>*,1</w:t>
      </w:r>
      <w:r>
        <w:rPr>
          <w:rFonts w:ascii="Times New Roman" w:hAnsi="Times New Roman"/>
          <w:color w:val="000000" w:themeColor="text1"/>
          <w:sz w:val="24"/>
        </w:rPr>
        <w:t>, Jia Li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>*,1</w:t>
      </w:r>
      <w:r>
        <w:rPr>
          <w:rFonts w:ascii="Times New Roman" w:hAnsi="Times New Roman"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</w:rPr>
        <w:t>Huiya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Xu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>*,2</w:t>
      </w:r>
      <w:r>
        <w:rPr>
          <w:rFonts w:ascii="Times New Roman" w:hAnsi="Times New Roman"/>
          <w:color w:val="000000" w:themeColor="text1"/>
          <w:sz w:val="24"/>
        </w:rPr>
        <w:t>, Ni Qiu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</w:rPr>
        <w:t>Xiaojia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Huang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</w:rPr>
        <w:t>Hongsheng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Li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>#,1</w:t>
      </w:r>
    </w:p>
    <w:p w14:paraId="00759085" w14:textId="1145A51C" w:rsidR="001061CF" w:rsidRDefault="00DA319B">
      <w:pPr>
        <w:spacing w:line="480" w:lineRule="auto"/>
        <w:rPr>
          <w:rFonts w:ascii="Times New Roman" w:hAnsi="Times New Roman"/>
          <w:i/>
          <w:iCs/>
          <w:color w:val="000000" w:themeColor="text1"/>
          <w:sz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vertAlign w:val="superscript"/>
        </w:rPr>
        <w:t>1</w:t>
      </w:r>
      <w:r w:rsidRPr="00DA319B">
        <w:rPr>
          <w:rFonts w:ascii="Times New Roman" w:hAnsi="Times New Roman"/>
          <w:i/>
          <w:iCs/>
          <w:color w:val="000000" w:themeColor="text1"/>
          <w:sz w:val="24"/>
        </w:rPr>
        <w:t>Department of Breast Oncology Surgery</w:t>
      </w:r>
      <w:r>
        <w:rPr>
          <w:rFonts w:ascii="Times New Roman" w:hAnsi="Times New Roman"/>
          <w:i/>
          <w:iCs/>
          <w:color w:val="000000" w:themeColor="text1"/>
          <w:sz w:val="24"/>
        </w:rPr>
        <w:t>, Affiliated Cancer Hospital &amp; Institute of Guangzhou Medical University, Guangzhou, 510095, China</w:t>
      </w:r>
    </w:p>
    <w:p w14:paraId="3935E43B" w14:textId="77777777" w:rsidR="001061CF" w:rsidRDefault="00DA319B">
      <w:pPr>
        <w:spacing w:line="480" w:lineRule="auto"/>
        <w:rPr>
          <w:rFonts w:ascii="Times New Roman" w:hAnsi="Times New Roman"/>
          <w:i/>
          <w:iCs/>
          <w:color w:val="000000" w:themeColor="text1"/>
          <w:sz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/>
          <w:i/>
          <w:iCs/>
          <w:color w:val="000000" w:themeColor="text1"/>
          <w:sz w:val="24"/>
        </w:rPr>
        <w:t xml:space="preserve">Department of Pathology, Sun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</w:rPr>
        <w:t>Yat-sen</w:t>
      </w:r>
      <w:proofErr w:type="spellEnd"/>
      <w:r>
        <w:rPr>
          <w:rFonts w:ascii="Times New Roman" w:hAnsi="Times New Roman"/>
          <w:i/>
          <w:iCs/>
          <w:color w:val="000000" w:themeColor="text1"/>
          <w:sz w:val="24"/>
        </w:rPr>
        <w:t xml:space="preserve"> Memorial Hospital, Sun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</w:rPr>
        <w:t>Yat-sen</w:t>
      </w:r>
      <w:proofErr w:type="spellEnd"/>
      <w:r>
        <w:rPr>
          <w:rFonts w:ascii="Times New Roman" w:hAnsi="Times New Roman"/>
          <w:i/>
          <w:iCs/>
          <w:color w:val="000000" w:themeColor="text1"/>
          <w:sz w:val="24"/>
        </w:rPr>
        <w:t xml:space="preserve"> University, Guangzhou 510120, China</w:t>
      </w:r>
    </w:p>
    <w:p w14:paraId="638181D3" w14:textId="77777777" w:rsidR="001061CF" w:rsidRDefault="00DA319B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vertAlign w:val="superscript"/>
        </w:rPr>
        <w:t>*</w:t>
      </w:r>
      <w:r>
        <w:rPr>
          <w:rFonts w:ascii="Times New Roman" w:hAnsi="Times New Roman"/>
          <w:color w:val="000000" w:themeColor="text1"/>
          <w:sz w:val="24"/>
        </w:rPr>
        <w:t>These authors contributed equally to this work.</w:t>
      </w:r>
    </w:p>
    <w:p w14:paraId="7A5E7183" w14:textId="77777777" w:rsidR="001061CF" w:rsidRDefault="00DA319B">
      <w:pPr>
        <w:spacing w:line="480" w:lineRule="auto"/>
        <w:rPr>
          <w:rFonts w:ascii="Times New Roman" w:hAnsi="Times New Roman"/>
          <w:b/>
          <w:bCs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vertAlign w:val="superscript"/>
        </w:rPr>
        <w:t>#</w:t>
      </w:r>
      <w:r>
        <w:rPr>
          <w:rFonts w:ascii="Times New Roman" w:hAnsi="Times New Roman"/>
          <w:color w:val="000000" w:themeColor="text1"/>
          <w:sz w:val="24"/>
        </w:rPr>
        <w:t xml:space="preserve">Correspondence: </w:t>
      </w:r>
      <w:proofErr w:type="spellStart"/>
      <w:r>
        <w:rPr>
          <w:rFonts w:ascii="Times New Roman" w:hAnsi="Times New Roman"/>
          <w:color w:val="000000" w:themeColor="text1"/>
          <w:sz w:val="24"/>
        </w:rPr>
        <w:t>Hongsheng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Li, </w:t>
      </w:r>
      <w:proofErr w:type="gramStart"/>
      <w:r>
        <w:rPr>
          <w:rFonts w:ascii="Times New Roman" w:hAnsi="Times New Roman"/>
          <w:color w:val="000000" w:themeColor="text1"/>
          <w:sz w:val="24"/>
        </w:rPr>
        <w:t>email:docli999@163.com</w:t>
      </w:r>
      <w:proofErr w:type="gramEnd"/>
      <w:r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</w:p>
    <w:bookmarkEnd w:id="3"/>
    <w:p w14:paraId="1435A415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68E465E9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1D2682E6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69787091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4C8361A9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67467B51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15F5B3FC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0E06910F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2CF79D01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324EFDD0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1B6BF539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17AB4B53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21756ACC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308EDE11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73E9F05D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70B716D8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3AF44E6F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4971DCCE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30309491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52C04E53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3689A337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59473F62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1D577A9B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40074448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71D34BEE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5214D821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04B44EC5" w14:textId="77777777" w:rsidR="001061CF" w:rsidRDefault="001061CF">
      <w:pPr>
        <w:rPr>
          <w:rFonts w:ascii="Times New Roman" w:hAnsi="Times New Roman"/>
          <w:b/>
          <w:bCs/>
          <w:sz w:val="24"/>
        </w:rPr>
      </w:pPr>
    </w:p>
    <w:p w14:paraId="143E9ACF" w14:textId="77777777" w:rsidR="001061CF" w:rsidRDefault="00DA319B">
      <w:pPr>
        <w:spacing w:line="48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114300" distR="114300" wp14:anchorId="691429B3" wp14:editId="4590AF17">
            <wp:extent cx="3228340" cy="2769235"/>
            <wp:effectExtent l="0" t="0" r="10160" b="12065"/>
            <wp:docPr id="1" name="图片 1" descr="Fig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8"/>
                    <pic:cNvPicPr>
                      <a:picLocks noChangeAspect="1"/>
                    </pic:cNvPicPr>
                  </pic:nvPicPr>
                  <pic:blipFill>
                    <a:blip r:embed="rId4"/>
                    <a:srcRect l="57170" b="72449"/>
                    <a:stretch>
                      <a:fillRect/>
                    </a:stretch>
                  </pic:blipFill>
                  <pic:spPr>
                    <a:xfrm>
                      <a:off x="0" y="0"/>
                      <a:ext cx="322834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5B65D" w14:textId="77777777" w:rsidR="001061CF" w:rsidRDefault="00DA319B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upplemental Figure S1: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/>
          <w:sz w:val="24"/>
        </w:rPr>
        <w:t>Western blot</w:t>
      </w:r>
      <w:r>
        <w:rPr>
          <w:rFonts w:ascii="Times New Roman" w:hAnsi="Times New Roman" w:hint="eastAsia"/>
          <w:sz w:val="24"/>
        </w:rPr>
        <w:t>ting</w:t>
      </w:r>
      <w:r>
        <w:rPr>
          <w:rFonts w:ascii="Times New Roman" w:hAnsi="Times New Roman"/>
          <w:sz w:val="24"/>
        </w:rPr>
        <w:t xml:space="preserve"> analysis of indicated protein level in MDA</w:t>
      </w:r>
      <w:r>
        <w:rPr>
          <w:rFonts w:ascii="Times New Roman" w:hAnsi="Times New Roman"/>
          <w:color w:val="000000" w:themeColor="text1"/>
          <w:sz w:val="24"/>
        </w:rPr>
        <w:t>–</w:t>
      </w:r>
      <w:r>
        <w:rPr>
          <w:rFonts w:ascii="Times New Roman" w:hAnsi="Times New Roman"/>
          <w:sz w:val="24"/>
        </w:rPr>
        <w:t>MB</w:t>
      </w:r>
      <w:r>
        <w:rPr>
          <w:rFonts w:ascii="Times New Roman" w:hAnsi="Times New Roman"/>
          <w:color w:val="000000" w:themeColor="text1"/>
          <w:sz w:val="24"/>
        </w:rPr>
        <w:t>–</w:t>
      </w:r>
      <w:r>
        <w:rPr>
          <w:rFonts w:ascii="Times New Roman" w:hAnsi="Times New Roman"/>
          <w:sz w:val="24"/>
        </w:rPr>
        <w:t xml:space="preserve">231 cells treated with </w:t>
      </w:r>
      <w:r>
        <w:rPr>
          <w:rFonts w:ascii="Times New Roman" w:hAnsi="Times New Roman" w:hint="eastAsia"/>
          <w:sz w:val="24"/>
        </w:rPr>
        <w:t>NC</w:t>
      </w:r>
      <w:r>
        <w:rPr>
          <w:rFonts w:ascii="Times New Roman" w:hAnsi="Times New Roman"/>
          <w:sz w:val="24"/>
        </w:rPr>
        <w:t xml:space="preserve"> or </w:t>
      </w:r>
      <w:r>
        <w:rPr>
          <w:rFonts w:ascii="Times New Roman" w:hAnsi="Times New Roman" w:hint="eastAsia"/>
          <w:sz w:val="24"/>
        </w:rPr>
        <w:t>ACM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with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 w:hint="eastAsia"/>
          <w:sz w:val="24"/>
        </w:rPr>
        <w:t>without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periostin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NeuAbs</w:t>
      </w:r>
      <w:proofErr w:type="spellEnd"/>
      <w:r>
        <w:rPr>
          <w:rFonts w:ascii="Times New Roman" w:hAnsi="Times New Roman"/>
          <w:sz w:val="24"/>
        </w:rPr>
        <w:t xml:space="preserve"> for 24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h.</w:t>
      </w:r>
      <w:r>
        <w:rPr>
          <w:rFonts w:ascii="Times New Roman" w:hAnsi="Times New Roman" w:hint="eastAsia"/>
          <w:sz w:val="24"/>
        </w:rPr>
        <w:t xml:space="preserve"> The densitometry results of p</w:t>
      </w:r>
      <w:r>
        <w:rPr>
          <w:rFonts w:ascii="Times New Roman" w:hAnsi="Times New Roman"/>
          <w:color w:val="000000" w:themeColor="text1"/>
          <w:sz w:val="24"/>
        </w:rPr>
        <w:t>–</w:t>
      </w:r>
      <w:r>
        <w:rPr>
          <w:rFonts w:ascii="Times New Roman" w:hAnsi="Times New Roman" w:hint="eastAsia"/>
          <w:sz w:val="24"/>
        </w:rPr>
        <w:t>ERK1/2 (upper and bottom strips) were expressed as fold change in the protein levels when compared with NC</w:t>
      </w:r>
      <w:r>
        <w:rPr>
          <w:rFonts w:ascii="Times New Roman" w:hAnsi="Times New Roman"/>
          <w:color w:val="000000" w:themeColor="text1"/>
          <w:sz w:val="24"/>
        </w:rPr>
        <w:t>–</w:t>
      </w:r>
      <w:r>
        <w:rPr>
          <w:rFonts w:ascii="Times New Roman" w:hAnsi="Times New Roman" w:hint="eastAsia"/>
          <w:sz w:val="24"/>
        </w:rPr>
        <w:t>treated MDA</w:t>
      </w:r>
      <w:r>
        <w:rPr>
          <w:rFonts w:ascii="Times New Roman" w:hAnsi="Times New Roman"/>
          <w:color w:val="000000" w:themeColor="text1"/>
          <w:sz w:val="24"/>
        </w:rPr>
        <w:t>–</w:t>
      </w:r>
      <w:r>
        <w:rPr>
          <w:rFonts w:ascii="Times New Roman" w:hAnsi="Times New Roman" w:hint="eastAsia"/>
          <w:sz w:val="24"/>
        </w:rPr>
        <w:t>MB</w:t>
      </w:r>
      <w:r>
        <w:rPr>
          <w:rFonts w:ascii="Times New Roman" w:hAnsi="Times New Roman"/>
          <w:color w:val="000000" w:themeColor="text1"/>
          <w:sz w:val="24"/>
        </w:rPr>
        <w:t>–</w:t>
      </w:r>
      <w:r>
        <w:rPr>
          <w:rFonts w:ascii="Times New Roman" w:hAnsi="Times New Roman" w:hint="eastAsia"/>
          <w:sz w:val="24"/>
        </w:rPr>
        <w:t xml:space="preserve">231 cells after being normalized to </w:t>
      </w:r>
      <w:r>
        <w:rPr>
          <w:rFonts w:ascii="Times New Roman" w:hAnsi="Times New Roman"/>
          <w:sz w:val="24"/>
        </w:rPr>
        <w:t>β</w:t>
      </w:r>
      <w:r>
        <w:rPr>
          <w:rFonts w:ascii="Times New Roman" w:hAnsi="Times New Roman"/>
          <w:color w:val="000000" w:themeColor="text1"/>
          <w:sz w:val="24"/>
        </w:rPr>
        <w:t>–</w:t>
      </w:r>
      <w:r>
        <w:rPr>
          <w:rFonts w:ascii="Times New Roman" w:hAnsi="Times New Roman"/>
          <w:sz w:val="24"/>
        </w:rPr>
        <w:t>actin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NC: negative control, ACM: </w:t>
      </w:r>
      <w:proofErr w:type="spellStart"/>
      <w:r>
        <w:rPr>
          <w:rFonts w:ascii="Times New Roman" w:hAnsi="Times New Roman"/>
          <w:sz w:val="24"/>
        </w:rPr>
        <w:t>adipogenic</w:t>
      </w:r>
      <w:proofErr w:type="spellEnd"/>
      <w:r>
        <w:rPr>
          <w:rFonts w:ascii="Times New Roman" w:hAnsi="Times New Roman"/>
          <w:sz w:val="24"/>
        </w:rPr>
        <w:t xml:space="preserve"> conditioned medium. </w:t>
      </w:r>
      <w:proofErr w:type="spellStart"/>
      <w:r>
        <w:rPr>
          <w:rFonts w:ascii="Times New Roman" w:hAnsi="Times New Roman" w:hint="eastAsia"/>
          <w:sz w:val="24"/>
        </w:rPr>
        <w:t>NeuAbs</w:t>
      </w:r>
      <w:proofErr w:type="spellEnd"/>
      <w:r>
        <w:rPr>
          <w:rFonts w:ascii="Times New Roman" w:hAnsi="Times New Roman" w:hint="eastAsia"/>
          <w:sz w:val="24"/>
        </w:rPr>
        <w:t xml:space="preserve">: </w:t>
      </w:r>
      <w:proofErr w:type="spellStart"/>
      <w:r>
        <w:rPr>
          <w:rFonts w:ascii="Times New Roman" w:hAnsi="Times New Roman" w:hint="eastAsia"/>
          <w:sz w:val="24"/>
        </w:rPr>
        <w:t>periostin</w:t>
      </w:r>
      <w:proofErr w:type="spellEnd"/>
      <w:r>
        <w:rPr>
          <w:rFonts w:ascii="Times New Roman" w:hAnsi="Times New Roman" w:hint="eastAsia"/>
          <w:sz w:val="24"/>
        </w:rPr>
        <w:t xml:space="preserve"> neutralizing antibodies</w:t>
      </w:r>
    </w:p>
    <w:p w14:paraId="7BF1EC57" w14:textId="77777777" w:rsidR="001061CF" w:rsidRDefault="001061CF">
      <w:pPr>
        <w:spacing w:line="480" w:lineRule="auto"/>
        <w:rPr>
          <w:rFonts w:ascii="Times New Roman" w:hAnsi="Times New Roman" w:cs="Times New Roman"/>
          <w:sz w:val="24"/>
          <w:szCs w:val="32"/>
        </w:rPr>
      </w:pPr>
    </w:p>
    <w:p w14:paraId="0B04CEA7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527898AF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77865E5E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78DF3275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259FAB84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7983A7EA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4ACDA85B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4EC077B6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48BD53FD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224BE6B5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54DE6068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72254786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1B35E667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7DD4C7AB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66FCEB8C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0FE54097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68EB9574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30D1709D" w14:textId="77777777" w:rsidR="001061CF" w:rsidRDefault="00DA319B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noProof/>
          <w:sz w:val="24"/>
          <w:szCs w:val="32"/>
        </w:rPr>
        <w:drawing>
          <wp:inline distT="0" distB="0" distL="114300" distR="114300" wp14:anchorId="5A99D0E2" wp14:editId="59EF4B89">
            <wp:extent cx="4606290" cy="4266565"/>
            <wp:effectExtent l="0" t="0" r="3810" b="635"/>
            <wp:docPr id="5" name="图片 5" descr="Fig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8"/>
                    <pic:cNvPicPr>
                      <a:picLocks noChangeAspect="1"/>
                    </pic:cNvPicPr>
                  </pic:nvPicPr>
                  <pic:blipFill>
                    <a:blip r:embed="rId5"/>
                    <a:srcRect t="28048" r="38627" b="29330"/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9F8F8" w14:textId="77777777" w:rsidR="001061CF" w:rsidRDefault="00DA319B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upplemental Figure S2: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a. </w:t>
      </w:r>
      <w:r>
        <w:rPr>
          <w:rFonts w:ascii="Times New Roman" w:hAnsi="Times New Roman" w:cs="Times New Roman" w:hint="eastAsia"/>
          <w:sz w:val="24"/>
          <w:szCs w:val="32"/>
        </w:rPr>
        <w:t xml:space="preserve">POSTN mRNA expression in T47D and ZR7530 cells treated with NC or ACM for 24 h.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b. </w:t>
      </w:r>
      <w:proofErr w:type="spellStart"/>
      <w:r>
        <w:rPr>
          <w:rFonts w:ascii="Times New Roman" w:hAnsi="Times New Roman" w:cs="Times New Roman" w:hint="eastAsia"/>
          <w:sz w:val="24"/>
          <w:szCs w:val="32"/>
        </w:rPr>
        <w:t>Periostin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 xml:space="preserve"> expression level in T47D and ZR7530 cells treated with NC or ACM for 24 h. </w:t>
      </w:r>
      <w:bookmarkStart w:id="5" w:name="OLE_LINK1"/>
      <w:r>
        <w:rPr>
          <w:rFonts w:ascii="Times New Roman" w:hAnsi="Times New Roman"/>
          <w:sz w:val="24"/>
        </w:rPr>
        <w:t xml:space="preserve">NC: negative control, ACM: </w:t>
      </w:r>
      <w:proofErr w:type="spellStart"/>
      <w:r>
        <w:rPr>
          <w:rFonts w:ascii="Times New Roman" w:hAnsi="Times New Roman"/>
          <w:sz w:val="24"/>
        </w:rPr>
        <w:t>adipogenic</w:t>
      </w:r>
      <w:proofErr w:type="spellEnd"/>
      <w:r>
        <w:rPr>
          <w:rFonts w:ascii="Times New Roman" w:hAnsi="Times New Roman"/>
          <w:sz w:val="24"/>
        </w:rPr>
        <w:t xml:space="preserve"> conditioned medium. </w:t>
      </w:r>
      <w:r>
        <w:rPr>
          <w:rFonts w:ascii="Times New Roman" w:hAnsi="Times New Roman"/>
          <w:color w:val="000000" w:themeColor="text1"/>
          <w:sz w:val="24"/>
        </w:rPr>
        <w:t>*</w:t>
      </w:r>
      <w:r>
        <w:rPr>
          <w:rFonts w:ascii="Times New Roman" w:hAnsi="Times New Roman" w:hint="eastAsia"/>
          <w:i/>
          <w:iCs/>
          <w:color w:val="000000" w:themeColor="text1"/>
          <w:sz w:val="24"/>
        </w:rPr>
        <w:t>P</w:t>
      </w:r>
      <w:r>
        <w:rPr>
          <w:rFonts w:ascii="Times New Roman" w:hAnsi="Times New Roman"/>
          <w:color w:val="000000" w:themeColor="text1"/>
          <w:sz w:val="24"/>
        </w:rPr>
        <w:t xml:space="preserve"> &lt; 0.05</w:t>
      </w:r>
      <w:r>
        <w:rPr>
          <w:rFonts w:ascii="Times New Roman" w:hAnsi="Times New Roman"/>
          <w:sz w:val="24"/>
        </w:rPr>
        <w:t xml:space="preserve">. </w:t>
      </w:r>
    </w:p>
    <w:bookmarkEnd w:id="5"/>
    <w:p w14:paraId="5E313C4D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21E339B4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25297F2A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440040C1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58C1056D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7FFA1437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37E67838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1F9EC819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296F3310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2A06A755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5C4E3C66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406FEAB3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208BA01C" w14:textId="77777777" w:rsidR="001061CF" w:rsidRDefault="00DA319B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114300" distR="114300" wp14:anchorId="4C31B404" wp14:editId="29D3D0DA">
            <wp:extent cx="3718560" cy="2816225"/>
            <wp:effectExtent l="0" t="0" r="15240" b="3175"/>
            <wp:docPr id="4" name="图片 4" descr="Fig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A05CD" w14:textId="77777777" w:rsidR="001061CF" w:rsidRDefault="001061CF">
      <w:pPr>
        <w:jc w:val="center"/>
        <w:rPr>
          <w:rFonts w:ascii="Times New Roman" w:hAnsi="Times New Roman" w:cs="Times New Roman"/>
          <w:sz w:val="24"/>
          <w:szCs w:val="32"/>
        </w:rPr>
      </w:pPr>
    </w:p>
    <w:p w14:paraId="750D42B7" w14:textId="77777777" w:rsidR="001061CF" w:rsidRDefault="00DA319B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upplemental Figure S3: </w:t>
      </w:r>
      <w:r>
        <w:rPr>
          <w:rFonts w:ascii="Times New Roman" w:hAnsi="Times New Roman" w:cs="Times New Roman" w:hint="eastAsia"/>
          <w:sz w:val="24"/>
          <w:szCs w:val="32"/>
        </w:rPr>
        <w:t>Expression of POSTN in breast cancer based on different subclasses.</w:t>
      </w:r>
    </w:p>
    <w:p w14:paraId="18C55DFE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66B3A852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154D43D5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50300763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5D9845F7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35C10F3D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4A727053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234BFFD6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35A28CDC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38029EC7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5791FD60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16B237D9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4E154FDB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22A55E1A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3D17C13F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535D5165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3E0882C8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678E0C7E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4F8235CF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51571F97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1663B215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p w14:paraId="09B39B63" w14:textId="77777777" w:rsidR="001061CF" w:rsidRDefault="00DA319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Su</w:t>
      </w:r>
      <w:r>
        <w:rPr>
          <w:rFonts w:ascii="Times New Roman" w:hAnsi="Times New Roman" w:cs="Times New Roman" w:hint="eastAsia"/>
          <w:b/>
          <w:bCs/>
          <w:sz w:val="24"/>
        </w:rPr>
        <w:t xml:space="preserve">pplemental Table S1. </w:t>
      </w:r>
      <w:r>
        <w:rPr>
          <w:rFonts w:ascii="Times New Roman" w:hAnsi="Times New Roman" w:cs="Times New Roman" w:hint="eastAsia"/>
          <w:sz w:val="24"/>
        </w:rPr>
        <w:t>Clinical and pathological information of triple</w:t>
      </w:r>
      <w:r>
        <w:rPr>
          <w:rFonts w:ascii="Times New Roman" w:hAnsi="Times New Roman"/>
          <w:color w:val="000000" w:themeColor="text1"/>
          <w:sz w:val="24"/>
        </w:rPr>
        <w:t>–</w:t>
      </w:r>
      <w:r>
        <w:rPr>
          <w:rFonts w:ascii="Times New Roman" w:hAnsi="Times New Roman" w:cs="Times New Roman" w:hint="eastAsia"/>
          <w:sz w:val="24"/>
        </w:rPr>
        <w:t>negative breast cancer patients.</w:t>
      </w:r>
    </w:p>
    <w:p w14:paraId="4A5CCA94" w14:textId="77777777" w:rsidR="001061CF" w:rsidRDefault="001061C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4"/>
        <w:gridCol w:w="1024"/>
        <w:gridCol w:w="1024"/>
        <w:gridCol w:w="1024"/>
        <w:gridCol w:w="1024"/>
        <w:gridCol w:w="1024"/>
        <w:gridCol w:w="1025"/>
        <w:gridCol w:w="1025"/>
      </w:tblGrid>
      <w:tr w:rsidR="001061CF" w14:paraId="7EBE37C5" w14:textId="77777777">
        <w:trPr>
          <w:trHeight w:val="862"/>
        </w:trPr>
        <w:tc>
          <w:tcPr>
            <w:tcW w:w="1024" w:type="dxa"/>
            <w:tcBorders>
              <w:bottom w:val="single" w:sz="4" w:space="0" w:color="auto"/>
            </w:tcBorders>
          </w:tcPr>
          <w:p w14:paraId="64D470A5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Sample Number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14:paraId="44F264D3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Years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14:paraId="2212C84C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ER status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14:paraId="459AD6B0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PR status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14:paraId="602AF7ED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HER2 status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14:paraId="6B761EB4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2D84D6E7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5C352AF7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</w:p>
        </w:tc>
      </w:tr>
      <w:tr w:rsidR="001061CF" w14:paraId="07DB1973" w14:textId="77777777">
        <w:trPr>
          <w:trHeight w:val="436"/>
        </w:trPr>
        <w:tc>
          <w:tcPr>
            <w:tcW w:w="1024" w:type="dxa"/>
            <w:tcBorders>
              <w:top w:val="single" w:sz="4" w:space="0" w:color="auto"/>
              <w:tl2br w:val="nil"/>
              <w:tr2bl w:val="nil"/>
            </w:tcBorders>
          </w:tcPr>
          <w:p w14:paraId="626E6BF0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tl2br w:val="nil"/>
              <w:tr2bl w:val="nil"/>
            </w:tcBorders>
          </w:tcPr>
          <w:p w14:paraId="412FBB44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51</w:t>
            </w:r>
          </w:p>
        </w:tc>
        <w:tc>
          <w:tcPr>
            <w:tcW w:w="1024" w:type="dxa"/>
            <w:tcBorders>
              <w:top w:val="single" w:sz="4" w:space="0" w:color="auto"/>
              <w:tl2br w:val="nil"/>
              <w:tr2bl w:val="nil"/>
            </w:tcBorders>
          </w:tcPr>
          <w:p w14:paraId="5F2FFAD0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tl2br w:val="nil"/>
              <w:tr2bl w:val="nil"/>
            </w:tcBorders>
          </w:tcPr>
          <w:p w14:paraId="4EB5F8F8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tl2br w:val="nil"/>
              <w:tr2bl w:val="nil"/>
            </w:tcBorders>
          </w:tcPr>
          <w:p w14:paraId="361D2227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tl2br w:val="nil"/>
              <w:tr2bl w:val="nil"/>
            </w:tcBorders>
          </w:tcPr>
          <w:p w14:paraId="16B406C4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tl2br w:val="nil"/>
              <w:tr2bl w:val="nil"/>
            </w:tcBorders>
          </w:tcPr>
          <w:p w14:paraId="13744374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tl2br w:val="nil"/>
              <w:tr2bl w:val="nil"/>
            </w:tcBorders>
          </w:tcPr>
          <w:p w14:paraId="6E4C8018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  <w:tr w:rsidR="001061CF" w14:paraId="5455C620" w14:textId="77777777">
        <w:trPr>
          <w:trHeight w:val="436"/>
        </w:trPr>
        <w:tc>
          <w:tcPr>
            <w:tcW w:w="1024" w:type="dxa"/>
            <w:tcBorders>
              <w:tl2br w:val="nil"/>
              <w:tr2bl w:val="nil"/>
            </w:tcBorders>
          </w:tcPr>
          <w:p w14:paraId="7B6C06A6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7A47FF25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50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37141D90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1%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19BEDF2D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4A848E39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5A51087B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1025" w:type="dxa"/>
            <w:tcBorders>
              <w:tl2br w:val="nil"/>
              <w:tr2bl w:val="nil"/>
            </w:tcBorders>
          </w:tcPr>
          <w:p w14:paraId="71BF4679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1025" w:type="dxa"/>
            <w:tcBorders>
              <w:tl2br w:val="nil"/>
              <w:tr2bl w:val="nil"/>
            </w:tcBorders>
          </w:tcPr>
          <w:p w14:paraId="51FF9075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  <w:tr w:rsidR="001061CF" w14:paraId="6809628D" w14:textId="77777777">
        <w:trPr>
          <w:trHeight w:val="436"/>
        </w:trPr>
        <w:tc>
          <w:tcPr>
            <w:tcW w:w="1024" w:type="dxa"/>
            <w:tcBorders>
              <w:tl2br w:val="nil"/>
              <w:tr2bl w:val="nil"/>
            </w:tcBorders>
          </w:tcPr>
          <w:p w14:paraId="799E897F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520DBF1A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68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74692CEC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01ED49D5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073619AB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1+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41836BD2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1025" w:type="dxa"/>
            <w:tcBorders>
              <w:tl2br w:val="nil"/>
              <w:tr2bl w:val="nil"/>
            </w:tcBorders>
          </w:tcPr>
          <w:p w14:paraId="69CC38AF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025" w:type="dxa"/>
            <w:tcBorders>
              <w:tl2br w:val="nil"/>
              <w:tr2bl w:val="nil"/>
            </w:tcBorders>
          </w:tcPr>
          <w:p w14:paraId="5AA78796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  <w:tr w:rsidR="001061CF" w14:paraId="19EB01D4" w14:textId="77777777">
        <w:trPr>
          <w:trHeight w:val="436"/>
        </w:trPr>
        <w:tc>
          <w:tcPr>
            <w:tcW w:w="1024" w:type="dxa"/>
            <w:tcBorders>
              <w:tl2br w:val="nil"/>
              <w:tr2bl w:val="nil"/>
            </w:tcBorders>
          </w:tcPr>
          <w:p w14:paraId="4B16ABFD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3FD0F0E9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55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4DB6F8FB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7F7A82F5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19FEDFAD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61D7AE43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1025" w:type="dxa"/>
            <w:tcBorders>
              <w:tl2br w:val="nil"/>
              <w:tr2bl w:val="nil"/>
            </w:tcBorders>
          </w:tcPr>
          <w:p w14:paraId="2A4525F2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025" w:type="dxa"/>
            <w:tcBorders>
              <w:tl2br w:val="nil"/>
              <w:tr2bl w:val="nil"/>
            </w:tcBorders>
          </w:tcPr>
          <w:p w14:paraId="39CD7414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  <w:tr w:rsidR="001061CF" w14:paraId="66A724AE" w14:textId="77777777">
        <w:trPr>
          <w:trHeight w:val="445"/>
        </w:trPr>
        <w:tc>
          <w:tcPr>
            <w:tcW w:w="1024" w:type="dxa"/>
            <w:tcBorders>
              <w:tl2br w:val="nil"/>
              <w:tr2bl w:val="nil"/>
            </w:tcBorders>
          </w:tcPr>
          <w:p w14:paraId="67B1DE55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2DAB4530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53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1E8A01E7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2F77CEFD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224C921C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6E8DF99C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1025" w:type="dxa"/>
            <w:tcBorders>
              <w:tl2br w:val="nil"/>
              <w:tr2bl w:val="nil"/>
            </w:tcBorders>
          </w:tcPr>
          <w:p w14:paraId="57ADD3C6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025" w:type="dxa"/>
            <w:tcBorders>
              <w:tl2br w:val="nil"/>
              <w:tr2bl w:val="nil"/>
            </w:tcBorders>
          </w:tcPr>
          <w:p w14:paraId="42A247BE" w14:textId="77777777" w:rsidR="001061CF" w:rsidRDefault="00DA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</w:tbl>
    <w:p w14:paraId="35370D30" w14:textId="77777777" w:rsidR="001061CF" w:rsidRDefault="00DA319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ER:</w:t>
      </w:r>
      <w:r>
        <w:rPr>
          <w:rFonts w:ascii="Times New Roman" w:hAnsi="Times New Roman" w:cs="Times New Roman"/>
          <w:sz w:val="24"/>
        </w:rPr>
        <w:t xml:space="preserve"> estrogen receptor</w:t>
      </w:r>
      <w:r>
        <w:rPr>
          <w:rFonts w:ascii="Times New Roman" w:hAnsi="Times New Roman" w:cs="Times New Roman" w:hint="eastAsia"/>
          <w:sz w:val="24"/>
        </w:rPr>
        <w:t xml:space="preserve">; PR: </w:t>
      </w:r>
      <w:r>
        <w:rPr>
          <w:rFonts w:ascii="Times New Roman" w:hAnsi="Times New Roman" w:cs="Times New Roman"/>
          <w:sz w:val="24"/>
        </w:rPr>
        <w:t>progesterone receptor</w:t>
      </w:r>
    </w:p>
    <w:p w14:paraId="1C01CC72" w14:textId="77777777" w:rsidR="001061CF" w:rsidRDefault="00DA319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TNM classification, T: tumor; N: node; M: metastasis</w:t>
      </w:r>
    </w:p>
    <w:p w14:paraId="0C0CFB5F" w14:textId="77777777" w:rsidR="001061CF" w:rsidRDefault="001061CF">
      <w:pPr>
        <w:rPr>
          <w:rFonts w:ascii="Times New Roman" w:hAnsi="Times New Roman" w:cs="Times New Roman"/>
          <w:sz w:val="24"/>
          <w:szCs w:val="32"/>
        </w:rPr>
      </w:pPr>
    </w:p>
    <w:sectPr w:rsidR="00106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FjYzUwMjBmNDExNzRiMjhlMTBlZmMxYjYwNTJkZGUifQ=="/>
  </w:docVars>
  <w:rsids>
    <w:rsidRoot w:val="001061CF"/>
    <w:rsid w:val="001061CF"/>
    <w:rsid w:val="00225378"/>
    <w:rsid w:val="007F70E3"/>
    <w:rsid w:val="00DA319B"/>
    <w:rsid w:val="042518DB"/>
    <w:rsid w:val="05343E76"/>
    <w:rsid w:val="06B551DB"/>
    <w:rsid w:val="079E79DA"/>
    <w:rsid w:val="0970184A"/>
    <w:rsid w:val="0F3A5B32"/>
    <w:rsid w:val="10212EDE"/>
    <w:rsid w:val="11D5049D"/>
    <w:rsid w:val="161F43DC"/>
    <w:rsid w:val="17C50FB3"/>
    <w:rsid w:val="1D7E5E8C"/>
    <w:rsid w:val="27D037F2"/>
    <w:rsid w:val="2BE12C8C"/>
    <w:rsid w:val="2E4C168F"/>
    <w:rsid w:val="2E7B1509"/>
    <w:rsid w:val="318168E2"/>
    <w:rsid w:val="3447113E"/>
    <w:rsid w:val="3CF90C34"/>
    <w:rsid w:val="3D7D1F70"/>
    <w:rsid w:val="3E4203B8"/>
    <w:rsid w:val="3E836C26"/>
    <w:rsid w:val="41295667"/>
    <w:rsid w:val="43F33B56"/>
    <w:rsid w:val="493D1A60"/>
    <w:rsid w:val="49816239"/>
    <w:rsid w:val="4E611D50"/>
    <w:rsid w:val="4EE31744"/>
    <w:rsid w:val="52E74FEB"/>
    <w:rsid w:val="59723DF0"/>
    <w:rsid w:val="5AC97A40"/>
    <w:rsid w:val="5C076A71"/>
    <w:rsid w:val="5D55380D"/>
    <w:rsid w:val="5DF41277"/>
    <w:rsid w:val="62166745"/>
    <w:rsid w:val="62435DB1"/>
    <w:rsid w:val="64763E74"/>
    <w:rsid w:val="691D1E8A"/>
    <w:rsid w:val="6D7E660E"/>
    <w:rsid w:val="6F5A4CB2"/>
    <w:rsid w:val="6F6D5C87"/>
    <w:rsid w:val="70D30E99"/>
    <w:rsid w:val="736E71E2"/>
    <w:rsid w:val="7B9F23CB"/>
    <w:rsid w:val="7DCE6F97"/>
    <w:rsid w:val="7EB7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68632A"/>
  <w15:docId w15:val="{53CBF441-EEF5-4889-A86C-FA0BE91F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275</Words>
  <Characters>1572</Characters>
  <Application>Microsoft Office Word</Application>
  <DocSecurity>0</DocSecurity>
  <Lines>13</Lines>
  <Paragraphs>3</Paragraphs>
  <ScaleCrop>false</ScaleCrop>
  <Company>Springer Nature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</dc:creator>
  <cp:lastModifiedBy>Uddhav Thite</cp:lastModifiedBy>
  <cp:revision>3</cp:revision>
  <dcterms:created xsi:type="dcterms:W3CDTF">2023-07-15T07:25:00Z</dcterms:created>
  <dcterms:modified xsi:type="dcterms:W3CDTF">2023-09-15T07:49:00Z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5893483AAB234F49AFDD9BD5797319CF_12</vt:lpwstr>
  </property>
</Properties>
</file>