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left"/>
        <w:rPr>
          <w:rFonts w:ascii="Arial" w:hAnsi="Arial" w:eastAsia="等线" w:cs="Arial"/>
          <w:szCs w:val="21"/>
        </w:rPr>
      </w:pPr>
      <w:r>
        <w:rPr>
          <w:rFonts w:ascii="Arial" w:hAnsi="Arial" w:eastAsia="等线" w:cs="Arial"/>
          <w:b/>
          <w:bCs/>
          <w:kern w:val="0"/>
          <w:sz w:val="20"/>
          <w:szCs w:val="20"/>
        </w:rPr>
        <w:t xml:space="preserve">Appendix Table </w:t>
      </w:r>
      <w:r>
        <w:rPr>
          <w:rFonts w:hint="eastAsia" w:ascii="Arial" w:hAnsi="Arial" w:eastAsia="等线" w:cs="Arial"/>
          <w:b/>
          <w:bCs/>
          <w:kern w:val="0"/>
          <w:sz w:val="20"/>
          <w:szCs w:val="20"/>
          <w:lang w:val="en-US" w:eastAsia="zh-CN"/>
        </w:rPr>
        <w:t>1</w:t>
      </w:r>
      <w:r>
        <w:rPr>
          <w:rFonts w:ascii="Arial" w:hAnsi="Arial" w:eastAsia="等线" w:cs="Arial"/>
          <w:b/>
          <w:bCs/>
          <w:kern w:val="0"/>
          <w:sz w:val="20"/>
          <w:szCs w:val="20"/>
        </w:rPr>
        <w:t xml:space="preserve"> The difference in the concentrations of RC, TC, HDL-C, LDL-C between different groups in NHANES 2005-2018 (N=17,749).</w:t>
      </w:r>
    </w:p>
    <w:tbl>
      <w:tblPr>
        <w:tblStyle w:val="4"/>
        <w:tblW w:w="1423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4"/>
        <w:gridCol w:w="1276"/>
        <w:gridCol w:w="1275"/>
        <w:gridCol w:w="1418"/>
        <w:gridCol w:w="992"/>
        <w:gridCol w:w="1418"/>
        <w:gridCol w:w="1275"/>
        <w:gridCol w:w="993"/>
        <w:gridCol w:w="1275"/>
        <w:gridCol w:w="1278"/>
        <w:gridCol w:w="8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18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Variable</w:t>
            </w:r>
          </w:p>
          <w:p>
            <w:pPr>
              <w:widowControl/>
              <w:jc w:val="center"/>
              <w:textAlignment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Mean (SD)</w:t>
            </w:r>
          </w:p>
        </w:tc>
        <w:tc>
          <w:tcPr>
            <w:tcW w:w="127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Total</w:t>
            </w:r>
          </w:p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 xml:space="preserve">N = 17749 </w:t>
            </w:r>
          </w:p>
        </w:tc>
        <w:tc>
          <w:tcPr>
            <w:tcW w:w="127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Non-T2DM</w:t>
            </w:r>
          </w:p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N = 14892 (83.9%)</w:t>
            </w:r>
          </w:p>
        </w:tc>
        <w:tc>
          <w:tcPr>
            <w:tcW w:w="141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T2DM</w:t>
            </w:r>
          </w:p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N = 2857(16.1%)</w:t>
            </w:r>
          </w:p>
        </w:tc>
        <w:tc>
          <w:tcPr>
            <w:tcW w:w="99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>
              <w:rPr>
                <w:rFonts w:ascii="Arial" w:hAnsi="Arial" w:eastAsia="等线" w:cs="Arial"/>
                <w:b/>
                <w:bCs/>
                <w:color w:val="000000"/>
                <w:sz w:val="18"/>
                <w:szCs w:val="18"/>
              </w:rPr>
              <w:t xml:space="preserve"> value</w:t>
            </w:r>
          </w:p>
        </w:tc>
        <w:tc>
          <w:tcPr>
            <w:tcW w:w="141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Non-hypertension</w:t>
            </w:r>
          </w:p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N=11958(67.4%)</w:t>
            </w:r>
          </w:p>
        </w:tc>
        <w:tc>
          <w:tcPr>
            <w:tcW w:w="127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Hypertension</w:t>
            </w:r>
          </w:p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N=5791(32.6%)</w:t>
            </w:r>
          </w:p>
        </w:tc>
        <w:tc>
          <w:tcPr>
            <w:tcW w:w="99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>
              <w:rPr>
                <w:rFonts w:ascii="Arial" w:hAnsi="Arial" w:eastAsia="等线" w:cs="Arial"/>
                <w:b/>
                <w:bCs/>
                <w:color w:val="000000"/>
                <w:sz w:val="18"/>
                <w:szCs w:val="18"/>
              </w:rPr>
              <w:t xml:space="preserve"> value</w:t>
            </w:r>
          </w:p>
        </w:tc>
        <w:tc>
          <w:tcPr>
            <w:tcW w:w="127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Non-hypertension&amp;</w:t>
            </w:r>
          </w:p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T2DM</w:t>
            </w:r>
          </w:p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N=15791(89.0%)</w:t>
            </w:r>
          </w:p>
        </w:tc>
        <w:tc>
          <w:tcPr>
            <w:tcW w:w="127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Hypertension&amp;</w:t>
            </w:r>
          </w:p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T2DM</w:t>
            </w:r>
          </w:p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  <w:t>N=1958(11.0%)</w:t>
            </w:r>
          </w:p>
        </w:tc>
        <w:tc>
          <w:tcPr>
            <w:tcW w:w="84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>
              <w:rPr>
                <w:rFonts w:ascii="Arial" w:hAnsi="Arial" w:eastAsia="等线" w:cs="Arial"/>
                <w:b/>
                <w:bCs/>
                <w:color w:val="000000"/>
                <w:sz w:val="18"/>
                <w:szCs w:val="18"/>
              </w:rPr>
              <w:t xml:space="preserve">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RC (mmol/L)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0.57 (0.00)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0.55 (0.00)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0.74 (0.01)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0.081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0.52 (0.00)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0.68 (0.01)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0.55 (0.00)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0.75 (0.01)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等线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Total cholesterol (mmol/L)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4.82 (0.01)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4.83 (0.01)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4.77 (0.03)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4.74 (0.01)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5.00 (0.02)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4.83 (0.01)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4.70 (0.04)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LDL-C (mmol/L)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2.85 (0.01)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2.87 (0.01)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2.74 (0.03)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2.81 (0.01)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2.94 (0.02)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2.87 (0.01)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2.67 (0.03)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184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HDL-C (mmol/L)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1.40 (0.01)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1.42 (0.01)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1.29 (0.01)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1.41 (0.01)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1.38 (0.01)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0.001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1.41 (0.01)</w:t>
            </w:r>
          </w:p>
        </w:tc>
        <w:tc>
          <w:tcPr>
            <w:tcW w:w="1278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1.28 (0.01)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&lt;0.001</w:t>
            </w:r>
          </w:p>
        </w:tc>
      </w:tr>
    </w:tbl>
    <w:p>
      <w:pPr>
        <w:widowControl/>
        <w:jc w:val="left"/>
        <w:rPr>
          <w:rFonts w:ascii="Arial" w:hAnsi="Arial" w:eastAsia="宋体" w:cs="Arial"/>
          <w:szCs w:val="21"/>
        </w:rPr>
      </w:pPr>
      <w:r>
        <w:rPr>
          <w:rFonts w:ascii="Arial" w:hAnsi="Arial" w:eastAsia="等线" w:cs="Arial"/>
          <w:b/>
          <w:kern w:val="0"/>
          <w:sz w:val="20"/>
          <w:szCs w:val="20"/>
        </w:rPr>
        <w:t>Abbreviations:</w:t>
      </w:r>
      <w:r>
        <w:rPr>
          <w:rFonts w:ascii="Arial" w:hAnsi="Arial" w:eastAsia="等线" w:cs="Arial"/>
          <w:kern w:val="0"/>
          <w:sz w:val="20"/>
          <w:szCs w:val="20"/>
        </w:rPr>
        <w:t xml:space="preserve"> T2DM, type 2 diabetes.</w:t>
      </w:r>
    </w:p>
    <w:p>
      <w:pPr>
        <w:rPr>
          <w:rFonts w:ascii="Arial" w:hAnsi="Arial" w:eastAsia="宋体" w:cs="Arial"/>
          <w:szCs w:val="21"/>
        </w:rPr>
        <w:sectPr>
          <w:pgSz w:w="15840" w:h="12240" w:orient="landscape"/>
          <w:pgMar w:top="1800" w:right="1440" w:bottom="1800" w:left="1440" w:header="720" w:footer="720" w:gutter="0"/>
          <w:cols w:space="720" w:num="1"/>
          <w:docGrid w:linePitch="286" w:charSpace="0"/>
        </w:sectPr>
      </w:pPr>
    </w:p>
    <w:p>
      <w:pPr>
        <w:rPr>
          <w:rFonts w:ascii="Arial" w:hAnsi="Arial" w:cs="Arial"/>
          <w:szCs w:val="21"/>
        </w:rPr>
      </w:pPr>
      <w:r>
        <w:rPr>
          <w:rFonts w:ascii="Arial" w:hAnsi="Arial" w:cs="Arial"/>
          <w:b/>
          <w:bCs/>
        </w:rPr>
        <w:t xml:space="preserve">Appendix Table </w:t>
      </w:r>
      <w:r>
        <w:rPr>
          <w:rFonts w:hint="eastAsia" w:ascii="Arial" w:hAnsi="Arial" w:cs="Arial"/>
          <w:b/>
          <w:bCs/>
          <w:lang w:val="en-US" w:eastAsia="zh-CN"/>
        </w:rPr>
        <w:t>2</w:t>
      </w:r>
      <w:r>
        <w:rPr>
          <w:rFonts w:ascii="Arial" w:hAnsi="Arial" w:cs="Arial"/>
        </w:rPr>
        <w:t xml:space="preserve"> Demographic characteristics of the total population in NHANES 2005-2018 (N=17,749)</w:t>
      </w:r>
    </w:p>
    <w:tbl>
      <w:tblPr>
        <w:tblStyle w:val="4"/>
        <w:tblW w:w="1480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417"/>
        <w:gridCol w:w="1418"/>
        <w:gridCol w:w="1559"/>
        <w:gridCol w:w="992"/>
        <w:gridCol w:w="1418"/>
        <w:gridCol w:w="1417"/>
        <w:gridCol w:w="71"/>
        <w:gridCol w:w="922"/>
        <w:gridCol w:w="1559"/>
        <w:gridCol w:w="1417"/>
        <w:gridCol w:w="10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5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Variable</w:t>
            </w:r>
          </w:p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Mean (SD)</w:t>
            </w:r>
          </w:p>
        </w:tc>
        <w:tc>
          <w:tcPr>
            <w:tcW w:w="14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</w:p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 = 17749</w:t>
            </w:r>
          </w:p>
        </w:tc>
        <w:tc>
          <w:tcPr>
            <w:tcW w:w="141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Non-T2DM</w:t>
            </w:r>
          </w:p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 = 14892 (83.9%)</w:t>
            </w:r>
          </w:p>
        </w:tc>
        <w:tc>
          <w:tcPr>
            <w:tcW w:w="155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T2DM</w:t>
            </w:r>
          </w:p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 = 2857(16.1%)</w:t>
            </w:r>
          </w:p>
        </w:tc>
        <w:tc>
          <w:tcPr>
            <w:tcW w:w="99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 value</w:t>
            </w:r>
          </w:p>
        </w:tc>
        <w:tc>
          <w:tcPr>
            <w:tcW w:w="141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Non-hypertension</w:t>
            </w:r>
          </w:p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N=11958(67.4%)</w:t>
            </w:r>
          </w:p>
        </w:tc>
        <w:tc>
          <w:tcPr>
            <w:tcW w:w="1488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Hypertension N=5791(32.6%)</w:t>
            </w:r>
          </w:p>
        </w:tc>
        <w:tc>
          <w:tcPr>
            <w:tcW w:w="92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 value</w:t>
            </w:r>
          </w:p>
        </w:tc>
        <w:tc>
          <w:tcPr>
            <w:tcW w:w="155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Non-hypertension&amp;</w:t>
            </w:r>
          </w:p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T2DM</w:t>
            </w:r>
          </w:p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N=15791(89.0%)</w:t>
            </w:r>
          </w:p>
        </w:tc>
        <w:tc>
          <w:tcPr>
            <w:tcW w:w="14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Hypertension&amp;</w:t>
            </w:r>
          </w:p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T2DM</w:t>
            </w:r>
          </w:p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N=1958(11.0%)</w:t>
            </w:r>
          </w:p>
        </w:tc>
        <w:tc>
          <w:tcPr>
            <w:tcW w:w="105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Leukocytes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6.74 (0.03)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6.63 (0.03)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7.50 (0.06)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6.61(0.03)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7.03(0.04)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6.66(0.03)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7.58(0.06)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Neutrophils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3.91 (0.02)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3.81 (0.02)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4.57 (0.04)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3.78(0.03)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4.19(0.04)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3.84(0.02)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4.64(0.05)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Lymphocytes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2.04 (0.01)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2.04 (0.01)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2.08 (0.02)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2.06(0.01)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2.01(0.01)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2.04(0.01)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2.07(0.02)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Monocytes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0.54 (0.00)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0.53 (0.00)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0.57 (0.01)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0.53(0.00)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0.56(0.01)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0.53(0.00)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0.58(0.01)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NLR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2.06(0.01)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2.00(0.01)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2.41(0.03)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1.96(0.01)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2.28(0.02)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2.02(0.01)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2.48(0.03)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130.70(0.58)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131.06(0.64)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128.19(1.18)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129.50(0.66)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133.38(1.03)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130.92(0.61)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128.32(1.56)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56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LMR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4.09(0.02)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4.11(0.02)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3.93(0.04)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4.20(0.02)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3.86(0.04)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4.12(0.02)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3.83(0.05)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</w:tbl>
    <w:p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</w:rPr>
        <w:t>Abbreviations: T2DM, type 2 diabetes;</w:t>
      </w:r>
    </w:p>
    <w:p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</w:rPr>
        <w:t>NLR, neutrophil to lymphocyte ratio (neutrophil/lymphocyte); PLR, platelet to lymphocyte ratio (platelet/lymphocyte); LMR, lymphocyte to monocyte ratio (lymphocyte/monocyte).</w:t>
      </w:r>
    </w:p>
    <w:p>
      <w:pPr>
        <w:widowControl/>
        <w:jc w:val="left"/>
        <w:rPr>
          <w:rFonts w:ascii="Arial" w:hAnsi="Arial" w:cs="Arial"/>
          <w:sz w:val="22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bCs/>
          <w:sz w:val="22"/>
        </w:rPr>
        <w:t xml:space="preserve">Appendix Table </w:t>
      </w:r>
      <w:r>
        <w:rPr>
          <w:rFonts w:hint="eastAsia" w:ascii="Arial" w:hAnsi="Arial" w:cs="Arial"/>
          <w:b/>
          <w:bCs/>
          <w:sz w:val="22"/>
          <w:lang w:val="en-US" w:eastAsia="zh-CN"/>
        </w:rPr>
        <w:t>3</w:t>
      </w:r>
      <w:r>
        <w:rPr>
          <w:rFonts w:ascii="Arial" w:hAnsi="Arial" w:cs="Arial"/>
          <w:sz w:val="22"/>
        </w:rPr>
        <w:t xml:space="preserve"> Interaction between </w:t>
      </w:r>
      <w:r>
        <w:rPr>
          <w:rFonts w:hint="eastAsia" w:ascii="Arial" w:hAnsi="Arial" w:cs="Arial"/>
          <w:sz w:val="22"/>
        </w:rPr>
        <w:t>b</w:t>
      </w:r>
      <w:r>
        <w:rPr>
          <w:rFonts w:ascii="Arial" w:hAnsi="Arial" w:cs="Arial"/>
          <w:sz w:val="22"/>
        </w:rPr>
        <w:t>aseline characteristics and RC in NHANES 2005-2018 (N=17,749).</w:t>
      </w:r>
    </w:p>
    <w:p>
      <w:pPr>
        <w:rPr>
          <w:rFonts w:ascii="Arial" w:hAnsi="Arial" w:cs="Arial"/>
        </w:rPr>
      </w:pPr>
    </w:p>
    <w:tbl>
      <w:tblPr>
        <w:tblStyle w:val="4"/>
        <w:tblW w:w="1431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702"/>
        <w:gridCol w:w="993"/>
        <w:gridCol w:w="1275"/>
        <w:gridCol w:w="1843"/>
        <w:gridCol w:w="992"/>
        <w:gridCol w:w="1276"/>
        <w:gridCol w:w="1700"/>
        <w:gridCol w:w="852"/>
        <w:gridCol w:w="14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268" w:type="dxa"/>
            <w:vMerge w:val="restart"/>
            <w:tcBorders>
              <w:top w:val="single" w:color="000000" w:sz="12" w:space="0"/>
              <w:left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Variables</w:t>
            </w:r>
          </w:p>
        </w:tc>
        <w:tc>
          <w:tcPr>
            <w:tcW w:w="2695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T2DM</w:t>
            </w:r>
          </w:p>
        </w:tc>
        <w:tc>
          <w:tcPr>
            <w:tcW w:w="127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127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widowControl/>
              <w:jc w:val="center"/>
              <w:textAlignment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Hypertension&amp;T2DM</w:t>
            </w:r>
          </w:p>
        </w:tc>
        <w:tc>
          <w:tcPr>
            <w:tcW w:w="14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widowControl/>
              <w:jc w:val="center"/>
              <w:textAlignment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vMerge w:val="continue"/>
            <w:tcBorders>
              <w:left w:val="nil"/>
              <w:bottom w:val="single" w:color="000000" w:sz="12" w:space="0"/>
              <w:right w:val="nil"/>
            </w:tcBorders>
            <w:noWrap/>
            <w:vAlign w:val="center"/>
          </w:tcPr>
          <w:p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OR (95%CI)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sz w:val="22"/>
              </w:rPr>
              <w:t>P</w:t>
            </w:r>
            <w:r>
              <w:rPr>
                <w:rFonts w:ascii="Arial" w:hAnsi="Arial" w:cs="Arial"/>
                <w:sz w:val="22"/>
              </w:rPr>
              <w:t xml:space="preserve"> value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 for interaction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OR (95%CI)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sz w:val="22"/>
              </w:rPr>
              <w:t>P</w:t>
            </w:r>
            <w:r>
              <w:rPr>
                <w:rFonts w:ascii="Arial" w:hAnsi="Arial" w:cs="Arial"/>
                <w:sz w:val="22"/>
              </w:rPr>
              <w:t xml:space="preserve"> value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 for interaction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OR (95%CI)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sz w:val="22"/>
              </w:rPr>
              <w:t>P</w:t>
            </w:r>
            <w:r>
              <w:rPr>
                <w:rFonts w:ascii="Arial" w:hAnsi="Arial" w:cs="Arial"/>
                <w:sz w:val="22"/>
              </w:rPr>
              <w:t xml:space="preserve"> value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i/>
                <w:iCs/>
                <w:sz w:val="22"/>
              </w:rPr>
            </w:pPr>
            <w:r>
              <w:rPr>
                <w:rFonts w:ascii="Arial" w:hAnsi="Arial" w:cs="Arial"/>
                <w:sz w:val="22"/>
              </w:rPr>
              <w:t>P for interaction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68" w:type="dxa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1702" w:type="dxa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1843" w:type="dxa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.568</w:t>
            </w:r>
          </w:p>
        </w:tc>
        <w:tc>
          <w:tcPr>
            <w:tcW w:w="1700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/>
                <w:bCs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.007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68" w:type="dxa"/>
            <w:tcBorders>
              <w:left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ale</w:t>
            </w:r>
          </w:p>
        </w:tc>
        <w:tc>
          <w:tcPr>
            <w:tcW w:w="1702" w:type="dxa"/>
            <w:tcBorders>
              <w:left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.72(1.31,4.99)</w:t>
            </w:r>
          </w:p>
        </w:tc>
        <w:tc>
          <w:tcPr>
            <w:tcW w:w="993" w:type="dxa"/>
            <w:tcBorders>
              <w:left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.60(1.25,2.03)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.82(1.31,2.52)</w:t>
            </w:r>
          </w:p>
        </w:tc>
        <w:tc>
          <w:tcPr>
            <w:tcW w:w="852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68" w:type="dxa"/>
            <w:tcBorders>
              <w:left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0"/>
                <w:szCs w:val="20"/>
              </w:rPr>
              <w:t>F</w:t>
            </w: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emale</w:t>
            </w:r>
          </w:p>
        </w:tc>
        <w:tc>
          <w:tcPr>
            <w:tcW w:w="1702" w:type="dxa"/>
            <w:tcBorders>
              <w:left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.46(2.40,4.99)</w:t>
            </w:r>
          </w:p>
        </w:tc>
        <w:tc>
          <w:tcPr>
            <w:tcW w:w="993" w:type="dxa"/>
            <w:tcBorders>
              <w:left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.79(1.36,2.34)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.34(2.28,4.88)</w:t>
            </w:r>
          </w:p>
        </w:tc>
        <w:tc>
          <w:tcPr>
            <w:tcW w:w="852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Race</w:t>
            </w:r>
          </w:p>
        </w:tc>
        <w:tc>
          <w:tcPr>
            <w:tcW w:w="1702" w:type="dxa"/>
            <w:tcBorders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0.186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0.015</w:t>
            </w:r>
          </w:p>
        </w:tc>
        <w:tc>
          <w:tcPr>
            <w:tcW w:w="1700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Mexican American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3.53(2.31,5.38)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1.03(0.67,1.57)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2.98(1.70,5.22)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Non-Hispanic Black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3.26(2.08,5.13)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1.21(0.87,1.69)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3.00(1.75,5.16)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rFonts w:ascii="Arial" w:hAnsi="Arial" w:cs="Arial"/>
                <w:szCs w:val="21"/>
              </w:rPr>
            </w:pPr>
            <w:bookmarkStart w:id="0" w:name="_Hlk143545086"/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Non-Hispanic White</w:t>
            </w:r>
            <w:bookmarkEnd w:id="0"/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1.98(1.44,2.73)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1.87(1.50,2.34)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2.14(1.53,2.98)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2.28(1.54,3.38)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1.91(1.22,3.00)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2.72(1.69,4.39)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Education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less than high school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1.80(1.26,2.58)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1.31(0.93,1.86)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2.12(1.38,3.25)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high school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2.65(1.75,4.01)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1.61(1.11,2.34)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2.83(1.83,4.37)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some college or above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2.24(1.67,3.02)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1.93(1.48,2.50)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2.21(1.55,3.14)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Marital status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0.968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Married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2.01(1.45,2.78)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1.81(1.41,2.31)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2.34(1.67,3.27)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Never married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4.26(2.32,7.83)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1.46(0.92,2.33)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2.76(1.31,5.82)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Unmarried but have/had partner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2.23(1.50,3.30)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1.66(1.23,2.25)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2.18(1.44,3.29)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Smoking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0.451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Former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2.04(1.25,3.32)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1.45(1.02,2.07)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1.77(1.09,2.87)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Never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2.73(2.05,3.64)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1.75(1.32,2.32)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2.90(2.08,4.05)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Now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1.66(1.13,2.45)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2.04(1.46,2.84)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2.31(1.45,3.69)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Current alcohol drinking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0.592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2.68(1.87,3.83)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1.61(1.11,2.33)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3.00(2.06,4.38)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2.13(1.63,2.79)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1.76(1.45,2.13)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2.17(1.58,2.96)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等线" w:cs="Arial"/>
                <w:b/>
                <w:bCs/>
                <w:color w:val="000000"/>
                <w:kern w:val="0"/>
                <w:sz w:val="20"/>
                <w:szCs w:val="20"/>
              </w:rPr>
              <w:t>BMI levels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0.039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Normal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2.13(1.24,3.65)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2.68(1.62,4.45)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2.66(1.95,3.64)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Obese</w:t>
            </w:r>
          </w:p>
        </w:tc>
        <w:tc>
          <w:tcPr>
            <w:tcW w:w="1702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2.45(1.88,3.21)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1.68(1.27,2.22)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2.66(1.95,3.64)</w:t>
            </w:r>
          </w:p>
        </w:tc>
        <w:tc>
          <w:tcPr>
            <w:tcW w:w="852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68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Overweight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1.95(1.36,2.80)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1.46(1.10,1.94)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1.55(1.05,2.28)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>
      <w:pPr>
        <w:rPr>
          <w:rFonts w:ascii="Arial" w:hAnsi="Arial" w:cs="Arial"/>
          <w:sz w:val="22"/>
        </w:rPr>
        <w:sectPr>
          <w:pgSz w:w="15840" w:h="12240" w:orient="landscape"/>
          <w:pgMar w:top="720" w:right="720" w:bottom="720" w:left="720" w:header="720" w:footer="720" w:gutter="0"/>
          <w:cols w:space="720" w:num="1"/>
          <w:docGrid w:linePitch="286" w:charSpace="0"/>
        </w:sectPr>
      </w:pPr>
      <w:r>
        <w:rPr>
          <w:rFonts w:ascii="Arial" w:hAnsi="Arial" w:cs="Arial"/>
          <w:sz w:val="22"/>
        </w:rPr>
        <w:t>*Adjustment for age, sex, race, education, marital status, PIR, smoking, alcohol, BMI levels, HEI, DII, and waist.</w:t>
      </w:r>
    </w:p>
    <w:tbl>
      <w:tblPr>
        <w:tblStyle w:val="4"/>
        <w:tblW w:w="1311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3"/>
        <w:gridCol w:w="2185"/>
        <w:gridCol w:w="2523"/>
        <w:gridCol w:w="2019"/>
        <w:gridCol w:w="34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3117" w:type="dxa"/>
            <w:gridSpan w:val="5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Appendix </w:t>
            </w:r>
            <w:bookmarkStart w:id="1" w:name="_Hlk143551797"/>
            <w:r>
              <w:rPr>
                <w:rFonts w:ascii="Arial" w:hAnsi="Arial" w:cs="Arial"/>
                <w:b/>
                <w:bCs/>
                <w:sz w:val="22"/>
              </w:rPr>
              <w:t xml:space="preserve">Table </w:t>
            </w:r>
            <w:bookmarkEnd w:id="1"/>
            <w:r>
              <w:rPr>
                <w:rFonts w:hint="eastAsia" w:ascii="Arial" w:hAnsi="Arial" w:cs="Arial"/>
                <w:b/>
                <w:bCs/>
                <w:sz w:val="22"/>
                <w:lang w:val="en-US" w:eastAsia="zh-CN"/>
              </w:rPr>
              <w:t>4</w:t>
            </w:r>
            <w:bookmarkStart w:id="8" w:name="_GoBack"/>
            <w:bookmarkEnd w:id="8"/>
            <w:r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Summary of simple mediation analyses for the relationships between mediator and outcomes, in NHANES 2005-2018 (n = 17749).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93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Mediating Variable (M)</w:t>
            </w:r>
          </w:p>
        </w:tc>
        <w:tc>
          <w:tcPr>
            <w:tcW w:w="218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Direct effects (c′)</w:t>
            </w:r>
          </w:p>
        </w:tc>
        <w:tc>
          <w:tcPr>
            <w:tcW w:w="252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Indirect effect (a×b)</w:t>
            </w:r>
          </w:p>
        </w:tc>
        <w:tc>
          <w:tcPr>
            <w:tcW w:w="201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Total effects (c)</w:t>
            </w:r>
          </w:p>
        </w:tc>
        <w:tc>
          <w:tcPr>
            <w:tcW w:w="345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Proportion of mediation(%)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Hypertension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White blood cell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0.066***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0.008***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0.074***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10.79%***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lymphocyte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0.093***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 xml:space="preserve">0.001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0.093***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0.62%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Monocyte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0.092**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0.002***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0.094***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1.70%***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Neutrophils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0.088***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0.005***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0.093***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5.54%***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NLR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0.101***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-0.001**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0.100***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bookmarkStart w:id="2" w:name="_Hlk143552152"/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-1.46%</w:t>
            </w:r>
            <w:bookmarkEnd w:id="2"/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LMR</w:t>
            </w:r>
          </w:p>
        </w:tc>
        <w:tc>
          <w:tcPr>
            <w:tcW w:w="21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0.125***</w:t>
            </w:r>
          </w:p>
        </w:tc>
        <w:tc>
          <w:tcPr>
            <w:tcW w:w="25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-0.004*</w:t>
            </w:r>
          </w:p>
        </w:tc>
        <w:tc>
          <w:tcPr>
            <w:tcW w:w="20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0.122***</w:t>
            </w:r>
          </w:p>
        </w:tc>
        <w:tc>
          <w:tcPr>
            <w:tcW w:w="34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bookmarkStart w:id="3" w:name="_Hlk143552162"/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-3.20%</w:t>
            </w:r>
            <w:bookmarkEnd w:id="3"/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93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PLR</w:t>
            </w:r>
          </w:p>
        </w:tc>
        <w:tc>
          <w:tcPr>
            <w:tcW w:w="21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0.100***</w:t>
            </w:r>
          </w:p>
        </w:tc>
        <w:tc>
          <w:tcPr>
            <w:tcW w:w="252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-0.000</w:t>
            </w:r>
          </w:p>
        </w:tc>
        <w:tc>
          <w:tcPr>
            <w:tcW w:w="201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0.100***</w:t>
            </w:r>
          </w:p>
        </w:tc>
        <w:tc>
          <w:tcPr>
            <w:tcW w:w="345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-0.39%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118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T2DM</w:t>
            </w:r>
          </w:p>
        </w:tc>
        <w:tc>
          <w:tcPr>
            <w:tcW w:w="252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1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White blood cell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0.069***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0.012***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0.081***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14.46%***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lymphocyte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0.081***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 xml:space="preserve">0.001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0.084***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0.88%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Monocyte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0.083***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0.0511***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0.0520***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1.75%**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Neutrophils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0.078**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0.007***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0.086***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8.65%***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NLR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0.087***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-0.001***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0.086***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bookmarkStart w:id="4" w:name="_Hlk143552196"/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-1.66%</w:t>
            </w:r>
            <w:bookmarkEnd w:id="4"/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LMR</w:t>
            </w:r>
          </w:p>
        </w:tc>
        <w:tc>
          <w:tcPr>
            <w:tcW w:w="21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0.096***</w:t>
            </w:r>
          </w:p>
        </w:tc>
        <w:tc>
          <w:tcPr>
            <w:tcW w:w="25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-0.002</w:t>
            </w:r>
          </w:p>
        </w:tc>
        <w:tc>
          <w:tcPr>
            <w:tcW w:w="20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0.095***</w:t>
            </w:r>
          </w:p>
        </w:tc>
        <w:tc>
          <w:tcPr>
            <w:tcW w:w="34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-1.61%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93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PLR</w:t>
            </w:r>
          </w:p>
        </w:tc>
        <w:tc>
          <w:tcPr>
            <w:tcW w:w="21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0.084***</w:t>
            </w:r>
          </w:p>
        </w:tc>
        <w:tc>
          <w:tcPr>
            <w:tcW w:w="252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0.001**</w:t>
            </w:r>
          </w:p>
        </w:tc>
        <w:tc>
          <w:tcPr>
            <w:tcW w:w="201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0.085***</w:t>
            </w:r>
          </w:p>
        </w:tc>
        <w:tc>
          <w:tcPr>
            <w:tcW w:w="345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bookmarkStart w:id="5" w:name="_Hlk143552213"/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0.98%</w:t>
            </w:r>
            <w:bookmarkEnd w:id="5"/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118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Hypertension&amp;T2DM</w:t>
            </w:r>
          </w:p>
        </w:tc>
        <w:tc>
          <w:tcPr>
            <w:tcW w:w="252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1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White blood cell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0.054***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0.009***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0.062***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14.02%***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lymphocyte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0.058***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0.003**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0.060***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4.36%**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Monocyte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0.059***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0.001**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0.060***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1.56%**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Neutrophils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0.056***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0.006***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0.061***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9.38%***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NLR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0.063***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-0.001***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0.062***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bookmarkStart w:id="6" w:name="_Hlk143552235"/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-1.71%</w:t>
            </w:r>
            <w:bookmarkEnd w:id="6"/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LMR</w:t>
            </w:r>
          </w:p>
        </w:tc>
        <w:tc>
          <w:tcPr>
            <w:tcW w:w="21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0.072***</w:t>
            </w:r>
          </w:p>
        </w:tc>
        <w:tc>
          <w:tcPr>
            <w:tcW w:w="25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-0.002</w:t>
            </w:r>
          </w:p>
        </w:tc>
        <w:tc>
          <w:tcPr>
            <w:tcW w:w="20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0.069***</w:t>
            </w:r>
          </w:p>
        </w:tc>
        <w:tc>
          <w:tcPr>
            <w:tcW w:w="34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-3.53%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93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PLR</w:t>
            </w:r>
          </w:p>
        </w:tc>
        <w:tc>
          <w:tcPr>
            <w:tcW w:w="218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0.060***</w:t>
            </w:r>
          </w:p>
        </w:tc>
        <w:tc>
          <w:tcPr>
            <w:tcW w:w="252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0.001*</w:t>
            </w:r>
          </w:p>
        </w:tc>
        <w:tc>
          <w:tcPr>
            <w:tcW w:w="201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0.061***</w:t>
            </w:r>
          </w:p>
        </w:tc>
        <w:tc>
          <w:tcPr>
            <w:tcW w:w="34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bookmarkStart w:id="7" w:name="_Hlk143552247"/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1.46%</w:t>
            </w:r>
            <w:bookmarkEnd w:id="7"/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*</w:t>
            </w:r>
          </w:p>
        </w:tc>
      </w:tr>
    </w:tbl>
    <w:p>
      <w:pPr>
        <w:rPr>
          <w:rFonts w:ascii="Arial" w:hAnsi="Arial" w:cs="Arial"/>
          <w:sz w:val="22"/>
        </w:rPr>
      </w:pPr>
      <w:r>
        <w:rPr>
          <w:rFonts w:ascii="Arial" w:hAnsi="Arial" w:cs="Arial"/>
          <w:i/>
          <w:iCs/>
          <w:sz w:val="22"/>
        </w:rPr>
        <w:t>P</w:t>
      </w:r>
      <w:r>
        <w:rPr>
          <w:rFonts w:ascii="Arial" w:hAnsi="Arial" w:cs="Arial"/>
          <w:sz w:val="22"/>
        </w:rPr>
        <w:t xml:space="preserve"> &lt; 0.05; ** Indicate</w:t>
      </w:r>
      <w:r>
        <w:rPr>
          <w:rFonts w:ascii="Arial" w:hAnsi="Arial" w:cs="Arial"/>
          <w:i/>
          <w:iCs/>
          <w:sz w:val="22"/>
        </w:rPr>
        <w:t xml:space="preserve"> P</w:t>
      </w:r>
      <w:r>
        <w:rPr>
          <w:rFonts w:ascii="Arial" w:hAnsi="Arial" w:cs="Arial"/>
          <w:sz w:val="22"/>
        </w:rPr>
        <w:t xml:space="preserve"> &lt; 0.01; *** Indicate </w:t>
      </w:r>
      <w:r>
        <w:rPr>
          <w:rFonts w:ascii="Arial" w:hAnsi="Arial" w:cs="Arial"/>
          <w:i/>
          <w:iCs/>
          <w:sz w:val="22"/>
        </w:rPr>
        <w:t>P</w:t>
      </w:r>
      <w:r>
        <w:rPr>
          <w:rFonts w:ascii="Arial" w:hAnsi="Arial" w:cs="Arial"/>
          <w:sz w:val="22"/>
        </w:rPr>
        <w:t xml:space="preserve"> &lt; 0.001.</w:t>
      </w:r>
    </w:p>
    <w:p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Abbreviations:</w:t>
      </w:r>
      <w:r>
        <w:rPr>
          <w:rFonts w:ascii="Arial" w:hAnsi="Arial" w:cs="Arial"/>
        </w:rPr>
        <w:t xml:space="preserve"> T2DM, type 2 diabetes;</w:t>
      </w:r>
    </w:p>
    <w:p>
      <w:pPr>
        <w:widowControl/>
        <w:jc w:val="left"/>
        <w:rPr>
          <w:rFonts w:hint="eastAsia" w:ascii="Arial" w:hAnsi="Arial" w:cs="Arial"/>
        </w:rPr>
      </w:pPr>
      <w:r>
        <w:rPr>
          <w:rFonts w:ascii="Arial" w:hAnsi="Arial" w:cs="Arial"/>
        </w:rPr>
        <w:t>NLR, neutrophil to lymphocyte ratio (neutrophil/lymphocyte); PLR, platelet to lymphocyte ratio (platelet/lymphocyte); LMR, lymphocyte to monocyte ratio (lymphocyte/monocyte).</w:t>
      </w:r>
    </w:p>
    <w:p>
      <w:pPr>
        <w:widowControl/>
        <w:jc w:val="left"/>
        <w:rPr>
          <w:rFonts w:hint="eastAsia" w:ascii="Arial" w:hAnsi="Arial" w:cs="Arial"/>
        </w:rPr>
      </w:pPr>
      <w:r>
        <w:rPr>
          <w:rFonts w:ascii="Arial" w:hAnsi="Arial" w:cs="Arial"/>
        </w:rPr>
        <w:br w:type="page"/>
      </w:r>
    </w:p>
    <w:p>
      <w:pPr>
        <w:widowControl/>
        <w:jc w:val="left"/>
        <w:rPr>
          <w:rFonts w:ascii="Arial" w:hAnsi="Arial" w:cs="Arial"/>
          <w:b/>
          <w:bCs/>
          <w:sz w:val="20"/>
          <w:szCs w:val="20"/>
        </w:rPr>
      </w:pPr>
    </w:p>
    <w:p>
      <w:pPr>
        <w:widowControl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drawing>
          <wp:inline distT="0" distB="0" distL="0" distR="0">
            <wp:extent cx="4016375" cy="2644140"/>
            <wp:effectExtent l="0" t="0" r="3175" b="0"/>
            <wp:docPr id="5478501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850170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6375" cy="2644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Appendix Figure 1 </w:t>
      </w:r>
      <w:r>
        <w:rPr>
          <w:rFonts w:ascii="Arial" w:hAnsi="Arial" w:cs="Arial"/>
          <w:sz w:val="20"/>
          <w:szCs w:val="20"/>
        </w:rPr>
        <w:t>Schematic of a simple mediation model.</w:t>
      </w:r>
    </w:p>
    <w:p>
      <w:pPr>
        <w:widowControl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Notes: coefficient a reflects the relationship between an independent variable (X) and a mediator variable (M), coefficient b reflects the relationship between M and a dependent variable (Y), and coefficient c’ reflects the direct effect of X on Y. The coefficients a and b were multiplied to compute the indirect effect (i.e., ab). The total effect is the sum of both the direct and mediated effects (i.e., c’ + ab). The proportion mediated was calculated by dividing the indirect effect (ab) by the total effect (c’ + ab)</w:t>
      </w:r>
      <w:r>
        <w:rPr>
          <w:rFonts w:ascii="Arial" w:hAnsi="Arial" w:cs="Arial"/>
          <w:sz w:val="20"/>
          <w:szCs w:val="20"/>
        </w:rPr>
        <w:fldChar w:fldCharType="begin">
          <w:fldData xml:space="preserve">PEVuZE5vdGU+PENpdGU+PEF1dGhvcj5CZWxsYXZpYTwvQXV0aG9yPjxZZWFyPjIwMTg8L1llYXI+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</w:fldData>
        </w:fldChar>
      </w:r>
      <w:r>
        <w:rPr>
          <w:rFonts w:ascii="Arial" w:hAnsi="Arial" w:cs="Arial"/>
          <w:sz w:val="20"/>
          <w:szCs w:val="20"/>
        </w:rPr>
        <w:instrText xml:space="preserve"> ADDIN EN.CITE </w:instrText>
      </w:r>
      <w:r>
        <w:rPr>
          <w:rFonts w:ascii="Arial" w:hAnsi="Arial" w:cs="Arial"/>
          <w:sz w:val="20"/>
          <w:szCs w:val="20"/>
        </w:rPr>
        <w:fldChar w:fldCharType="begin">
          <w:fldData xml:space="preserve">PEVuZE5vdGU+PENpdGU+PEF1dGhvcj5CZWxsYXZpYTwvQXV0aG9yPjxZZWFyPjIwMTg8L1llYXI+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</w:fldData>
        </w:fldChar>
      </w:r>
      <w:r>
        <w:rPr>
          <w:rFonts w:ascii="Arial" w:hAnsi="Arial" w:cs="Arial"/>
          <w:sz w:val="20"/>
          <w:szCs w:val="20"/>
        </w:rPr>
        <w:instrText xml:space="preserve"> ADDIN EN.CITE.DATA </w:instrTex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.</w:t>
      </w:r>
    </w:p>
    <w:p>
      <w:pPr>
        <w:widowControl/>
        <w:jc w:val="lef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>
      <w:pPr>
        <w:jc w:val="left"/>
        <w:rPr>
          <w:rFonts w:ascii="Arial" w:hAnsi="Arial" w:cs="Arial"/>
          <w:b/>
          <w:bCs/>
          <w:sz w:val="20"/>
          <w:szCs w:val="20"/>
        </w:rPr>
      </w:pPr>
    </w:p>
    <w:p>
      <w:pPr>
        <w:pStyle w:val="11"/>
        <w:rPr>
          <w:rFonts w:ascii="Arial" w:hAnsi="Arial" w:cs="Arial"/>
        </w:rPr>
      </w:pPr>
      <w:r>
        <w:rPr>
          <w:rFonts w:ascii="Arial" w:hAnsi="Arial" w:cs="Arial"/>
          <w:b/>
          <w:bCs/>
          <w:szCs w:val="20"/>
        </w:rPr>
        <w:fldChar w:fldCharType="begin"/>
      </w:r>
      <w:r>
        <w:rPr>
          <w:rFonts w:ascii="Arial" w:hAnsi="Arial" w:cs="Arial"/>
          <w:b/>
          <w:bCs/>
          <w:szCs w:val="20"/>
        </w:rPr>
        <w:instrText xml:space="preserve"> ADDIN EN.REFLIST </w:instrText>
      </w:r>
      <w:r>
        <w:rPr>
          <w:rFonts w:ascii="Arial" w:hAnsi="Arial" w:cs="Arial"/>
          <w:b/>
          <w:bCs/>
          <w:szCs w:val="20"/>
        </w:rPr>
        <w:fldChar w:fldCharType="separate"/>
      </w: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Bellavia A, Zota AR, Valeri L, James-Todd T. Multiple mediators approach to study environmental chemicals as determinants of health disparities. </w:t>
      </w:r>
      <w:r>
        <w:rPr>
          <w:rFonts w:ascii="Arial" w:hAnsi="Arial" w:cs="Arial"/>
          <w:i/>
        </w:rPr>
        <w:t>Environ Epidemiol.</w:t>
      </w:r>
      <w:r>
        <w:rPr>
          <w:rFonts w:ascii="Arial" w:hAnsi="Arial" w:cs="Arial"/>
        </w:rPr>
        <w:t xml:space="preserve"> 2018;2(2).</w:t>
      </w:r>
    </w:p>
    <w:p>
      <w:pPr>
        <w:jc w:val="lef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fldChar w:fldCharType="end"/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hideSpellingErrors/>
  <w:hideGrammaticalError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GzsDQ2tTS1MDA3MrdQ0lEKTi0uzszPAykwqgUAtck0jCwAAAA="/>
    <w:docVar w:name="commondata" w:val="eyJoZGlkIjoiN2YzNjBkOTgyNWQ1YTMxYzM3MzMwNWFiODNmOWIzYWM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Diabetes Complication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ewdswefs5wevcea5p4xpx5tpzpfxeawa22d&quot;&gt;rc&lt;record-ids&gt;&lt;item&gt;64&lt;/item&gt;&lt;/record-ids&gt;&lt;/item&gt;&lt;/Libraries&gt;"/>
  </w:docVars>
  <w:rsids>
    <w:rsidRoot w:val="003F1BC7"/>
    <w:rsid w:val="000323A4"/>
    <w:rsid w:val="000E7C03"/>
    <w:rsid w:val="000F11B1"/>
    <w:rsid w:val="000F325A"/>
    <w:rsid w:val="001404E4"/>
    <w:rsid w:val="00170DA9"/>
    <w:rsid w:val="00203C17"/>
    <w:rsid w:val="0027112B"/>
    <w:rsid w:val="002A7EFB"/>
    <w:rsid w:val="00315E2A"/>
    <w:rsid w:val="00353A79"/>
    <w:rsid w:val="003855E3"/>
    <w:rsid w:val="00390047"/>
    <w:rsid w:val="003F1BC7"/>
    <w:rsid w:val="004B6CA4"/>
    <w:rsid w:val="0063758B"/>
    <w:rsid w:val="00697AF5"/>
    <w:rsid w:val="00703A43"/>
    <w:rsid w:val="00714BDB"/>
    <w:rsid w:val="007301E0"/>
    <w:rsid w:val="007A6F75"/>
    <w:rsid w:val="007C214F"/>
    <w:rsid w:val="00820519"/>
    <w:rsid w:val="00831D56"/>
    <w:rsid w:val="008D0321"/>
    <w:rsid w:val="008D3D1A"/>
    <w:rsid w:val="00907DFC"/>
    <w:rsid w:val="00987979"/>
    <w:rsid w:val="00A33A84"/>
    <w:rsid w:val="00A60943"/>
    <w:rsid w:val="00B30A22"/>
    <w:rsid w:val="00B44A56"/>
    <w:rsid w:val="00B90383"/>
    <w:rsid w:val="00BE5FBC"/>
    <w:rsid w:val="00BF0CC2"/>
    <w:rsid w:val="00C14F69"/>
    <w:rsid w:val="00C44769"/>
    <w:rsid w:val="00CE71F8"/>
    <w:rsid w:val="00D349D0"/>
    <w:rsid w:val="00E25E96"/>
    <w:rsid w:val="00E262F5"/>
    <w:rsid w:val="00ED7874"/>
    <w:rsid w:val="00F07B6A"/>
    <w:rsid w:val="00F53012"/>
    <w:rsid w:val="00FF3F00"/>
    <w:rsid w:val="0AB2010E"/>
    <w:rsid w:val="0EC15FF0"/>
    <w:rsid w:val="1AFF3881"/>
    <w:rsid w:val="2A3F1844"/>
    <w:rsid w:val="395C1CA2"/>
    <w:rsid w:val="4FF6102D"/>
    <w:rsid w:val="648669A1"/>
    <w:rsid w:val="66180AF2"/>
    <w:rsid w:val="69311CF4"/>
    <w:rsid w:val="7B6A5AFE"/>
    <w:rsid w:val="7BD2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  <w:style w:type="paragraph" w:customStyle="1" w:styleId="9">
    <w:name w:val="EndNote Bibliography Title"/>
    <w:basedOn w:val="1"/>
    <w:link w:val="10"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10">
    <w:name w:val="EndNote Bibliography Title 字符"/>
    <w:basedOn w:val="6"/>
    <w:link w:val="9"/>
    <w:uiPriority w:val="0"/>
    <w:rPr>
      <w:rFonts w:ascii="等线" w:hAnsi="等线" w:eastAsia="等线"/>
      <w:kern w:val="2"/>
      <w:szCs w:val="22"/>
    </w:rPr>
  </w:style>
  <w:style w:type="paragraph" w:customStyle="1" w:styleId="11">
    <w:name w:val="EndNote Bibliography"/>
    <w:basedOn w:val="1"/>
    <w:link w:val="12"/>
    <w:uiPriority w:val="0"/>
    <w:pPr>
      <w:jc w:val="left"/>
    </w:pPr>
    <w:rPr>
      <w:rFonts w:ascii="等线" w:hAnsi="等线" w:eastAsia="等线"/>
      <w:sz w:val="20"/>
    </w:rPr>
  </w:style>
  <w:style w:type="character" w:customStyle="1" w:styleId="12">
    <w:name w:val="EndNote Bibliography 字符"/>
    <w:basedOn w:val="6"/>
    <w:link w:val="11"/>
    <w:uiPriority w:val="0"/>
    <w:rPr>
      <w:rFonts w:ascii="等线" w:hAnsi="等线" w:eastAsia="等线"/>
      <w:kern w:val="2"/>
      <w:szCs w:val="22"/>
    </w:rPr>
  </w:style>
  <w:style w:type="character" w:customStyle="1" w:styleId="13">
    <w:name w:val="15"/>
    <w:basedOn w:val="6"/>
    <w:uiPriority w:val="0"/>
    <w:rPr>
      <w:rFonts w:hint="default" w:ascii="Arial" w:hAnsi="Arial" w:cs="Arial"/>
      <w:b/>
      <w:bCs/>
      <w:i/>
      <w:iCs/>
      <w:color w:val="000000"/>
      <w:sz w:val="22"/>
      <w:szCs w:val="22"/>
    </w:rPr>
  </w:style>
  <w:style w:type="character" w:customStyle="1" w:styleId="14">
    <w:name w:val="16"/>
    <w:basedOn w:val="6"/>
    <w:uiPriority w:val="0"/>
    <w:rPr>
      <w:rFonts w:hint="default" w:ascii="Arial" w:hAnsi="Arial" w:cs="Arial"/>
      <w:b/>
      <w:bCs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7</Pages>
  <Words>1149</Words>
  <Characters>6552</Characters>
  <Lines>54</Lines>
  <Paragraphs>15</Paragraphs>
  <TotalTime>2</TotalTime>
  <ScaleCrop>false</ScaleCrop>
  <LinksUpToDate>false</LinksUpToDate>
  <CharactersWithSpaces>7686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2023-04-20T08:18:00Z</dcterms:created>
  <dc:creator>yx wu</dc:creator>
  <cp:lastModifiedBy>W</cp:lastModifiedBy>
  <dcterms:modified xsi:type="dcterms:W3CDTF">2023-08-24T12:59:57Z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08A06AA9C32D4827A8B412B65E4127CA_13</vt:lpwstr>
  </property>
</Properties>
</file>