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default" w:ascii="Times New Roman" w:hAnsi="Times New Roman" w:cs="Times New Roman"/>
          <w:lang w:val="en-GB"/>
        </w:rPr>
      </w:pPr>
      <w:r>
        <w:rPr>
          <w:rFonts w:hint="default" w:ascii="Times New Roman" w:hAnsi="Times New Roman" w:cs="Times New Roman"/>
          <w:lang w:val="en-GB" w:eastAsia="zh-CN"/>
        </w:rPr>
        <w:t>Supplemental</w:t>
      </w:r>
      <w:r>
        <w:rPr>
          <w:rFonts w:hint="default" w:ascii="Times New Roman" w:hAnsi="Times New Roman" w:cs="Times New Roman"/>
          <w:lang w:val="en-GB"/>
        </w:rPr>
        <w:t xml:space="preserve"> </w:t>
      </w:r>
      <w:r>
        <w:rPr>
          <w:rFonts w:hint="default" w:ascii="Times New Roman" w:hAnsi="Times New Roman" w:cs="Times New Roman"/>
          <w:lang w:val="en-GB" w:eastAsia="zh-CN"/>
        </w:rPr>
        <w:t>M</w:t>
      </w:r>
      <w:r>
        <w:rPr>
          <w:rFonts w:hint="default" w:ascii="Times New Roman" w:hAnsi="Times New Roman" w:cs="Times New Roman"/>
          <w:lang w:val="en-GB"/>
        </w:rPr>
        <w:t>aterial</w:t>
      </w:r>
    </w:p>
    <w:p>
      <w:pPr>
        <w:pStyle w:val="2"/>
        <w:numPr>
          <w:ilvl w:val="0"/>
          <w:numId w:val="0"/>
        </w:numPr>
        <w:tabs>
          <w:tab w:val="clear" w:pos="567"/>
        </w:tabs>
        <w:ind w:left="567" w:leftChars="0" w:hanging="567" w:firstLineChars="0"/>
        <w:rPr>
          <w:rFonts w:hint="eastAsia" w:ascii="Times New Roman" w:hAnsi="Times New Roman" w:eastAsia="宋体" w:cs="Times New Roman"/>
          <w:sz w:val="24"/>
          <w:szCs w:val="24"/>
          <w:lang w:val="en-US" w:eastAsia="zh-CN"/>
        </w:rPr>
      </w:pPr>
      <w:bookmarkStart w:id="0" w:name="OLE_LINK1"/>
      <w:bookmarkStart w:id="1" w:name="OLE_LINK2"/>
      <w:bookmarkStart w:id="2" w:name="OLE_LINK3"/>
      <w:r>
        <w:rPr>
          <w:rFonts w:hint="default" w:ascii="Times New Roman" w:hAnsi="Times New Roman" w:eastAsia="Cambria" w:cs="Times New Roman"/>
          <w:b/>
          <w:kern w:val="2"/>
          <w:sz w:val="24"/>
          <w:szCs w:val="24"/>
          <w:lang w:val="en-US" w:eastAsia="zh-CN" w:bidi="ar-SA"/>
        </w:rPr>
        <w:t>1</w:t>
      </w:r>
      <w:r>
        <w:rPr>
          <w:rFonts w:hint="eastAsia" w:ascii="Times New Roman" w:hAnsi="Times New Roman" w:cs="Times New Roman"/>
          <w:b/>
          <w:kern w:val="2"/>
          <w:sz w:val="24"/>
          <w:szCs w:val="24"/>
          <w:lang w:val="en-US" w:eastAsia="zh-CN" w:bidi="ar-SA"/>
        </w:rPr>
        <w:t xml:space="preserve">     </w:t>
      </w:r>
      <w:r>
        <w:rPr>
          <w:rFonts w:hint="default" w:ascii="Times New Roman" w:hAnsi="Times New Roman" w:cs="Times New Roman" w:eastAsiaTheme="minorEastAsia"/>
          <w:sz w:val="24"/>
          <w:szCs w:val="24"/>
          <w:lang w:val="en-GB" w:eastAsia="zh-CN"/>
        </w:rPr>
        <w:t>Supplemental</w:t>
      </w:r>
      <w:r>
        <w:rPr>
          <w:rFonts w:hint="default" w:ascii="Times New Roman" w:hAnsi="Times New Roman" w:cs="Times New Roman"/>
          <w:sz w:val="24"/>
          <w:szCs w:val="24"/>
        </w:rPr>
        <w:t xml:space="preserve"> Figure</w:t>
      </w:r>
    </w:p>
    <w:bookmarkEnd w:id="0"/>
    <w:bookmarkEnd w:id="1"/>
    <w:bookmarkEnd w:id="2"/>
    <w:p>
      <w:pPr>
        <w:pStyle w:val="4"/>
        <w:numPr>
          <w:ilvl w:val="1"/>
          <w:numId w:val="0"/>
        </w:numPr>
        <w:tabs>
          <w:tab w:val="clear" w:pos="567"/>
        </w:tabs>
        <w:ind w:left="567" w:leftChars="0" w:hanging="567" w:firstLineChars="0"/>
        <w:rPr>
          <w:rFonts w:hint="default" w:ascii="Times New Roman" w:hAnsi="Times New Roman" w:cs="Times New Roman"/>
          <w:sz w:val="24"/>
          <w:szCs w:val="24"/>
          <w:lang w:val="en-GB"/>
        </w:rPr>
      </w:pPr>
      <w:r>
        <w:rPr>
          <w:rFonts w:hint="default" w:ascii="Times New Roman" w:hAnsi="Times New Roman" w:eastAsia="Cambria" w:cs="Times New Roman"/>
          <w:b/>
          <w:kern w:val="2"/>
          <w:sz w:val="24"/>
          <w:szCs w:val="24"/>
          <w:lang w:val="en-GB" w:eastAsia="zh-CN" w:bidi="ar-SA"/>
        </w:rPr>
        <w:t>1.1</w:t>
      </w:r>
      <w:r>
        <w:rPr>
          <w:rFonts w:hint="eastAsia" w:ascii="Times New Roman" w:hAnsi="Times New Roman" w:cs="Times New Roman"/>
          <w:b/>
          <w:kern w:val="2"/>
          <w:sz w:val="24"/>
          <w:szCs w:val="24"/>
          <w:lang w:val="en-US" w:eastAsia="zh-CN" w:bidi="ar-SA"/>
        </w:rPr>
        <w:t xml:space="preserve">   </w:t>
      </w:r>
      <w:r>
        <w:rPr>
          <w:rFonts w:hint="default" w:ascii="Times New Roman" w:hAnsi="Times New Roman" w:cs="Times New Roman" w:eastAsiaTheme="minorEastAsia"/>
          <w:sz w:val="24"/>
          <w:szCs w:val="24"/>
          <w:lang w:val="en-GB" w:eastAsia="zh-CN"/>
        </w:rPr>
        <w:t>Supplemental</w:t>
      </w:r>
      <w:r>
        <w:rPr>
          <w:rFonts w:hint="default" w:ascii="Times New Roman" w:hAnsi="Times New Roman" w:cs="Times New Roman"/>
          <w:sz w:val="24"/>
          <w:szCs w:val="24"/>
          <w:lang w:val="en-GB"/>
        </w:rPr>
        <w:t xml:space="preserve"> Figure 1</w:t>
      </w:r>
    </w:p>
    <w:tbl>
      <w:tblPr>
        <w:tblStyle w:val="9"/>
        <w:tblpPr w:leftFromText="180" w:rightFromText="180" w:vertAnchor="page" w:horzAnchor="page" w:tblpX="1719" w:tblpY="3838"/>
        <w:tblOverlap w:val="never"/>
        <w:tblW w:w="8613"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5"/>
        <w:gridCol w:w="748"/>
        <w:gridCol w:w="709"/>
        <w:gridCol w:w="708"/>
        <w:gridCol w:w="709"/>
        <w:gridCol w:w="2763"/>
        <w:gridCol w:w="163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Borders>
              <w:top w:val="single" w:color="auto" w:sz="12" w:space="0"/>
              <w:bottom w:val="nil"/>
            </w:tcBorders>
          </w:tcPr>
          <w:p>
            <w:pPr>
              <w:rPr>
                <w:rFonts w:ascii="Times New Roman" w:hAnsi="Times New Roman" w:cs="Times New Roman"/>
                <w:sz w:val="16"/>
                <w:szCs w:val="16"/>
              </w:rPr>
            </w:pPr>
            <w:bookmarkStart w:id="3" w:name="_Hlk144134300"/>
            <w:bookmarkStart w:id="4" w:name="_Hlk144134250"/>
          </w:p>
        </w:tc>
        <w:tc>
          <w:tcPr>
            <w:tcW w:w="1457"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Statin</w:t>
            </w:r>
          </w:p>
        </w:tc>
        <w:tc>
          <w:tcPr>
            <w:tcW w:w="1417"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Non-statin</w:t>
            </w:r>
          </w:p>
        </w:tc>
        <w:tc>
          <w:tcPr>
            <w:tcW w:w="2763" w:type="dxa"/>
            <w:tcBorders>
              <w:top w:val="single" w:color="auto" w:sz="12" w:space="0"/>
              <w:bottom w:val="nil"/>
            </w:tcBorders>
          </w:tcPr>
          <w:p>
            <w:pPr>
              <w:jc w:val="center"/>
              <w:rPr>
                <w:rFonts w:ascii="Times New Roman" w:hAnsi="Times New Roman" w:cs="Times New Roman"/>
                <w:sz w:val="16"/>
                <w:szCs w:val="16"/>
              </w:rPr>
            </w:pPr>
          </w:p>
        </w:tc>
        <w:tc>
          <w:tcPr>
            <w:tcW w:w="1631" w:type="dxa"/>
            <w:vMerge w:val="restart"/>
            <w:tcBorders>
              <w:top w:val="single" w:color="auto" w:sz="12" w:space="0"/>
              <w:bottom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Odds Ratio</w:t>
            </w:r>
          </w:p>
          <w:p>
            <w:pPr>
              <w:jc w:val="center"/>
              <w:rPr>
                <w:rFonts w:ascii="Times New Roman" w:hAnsi="Times New Roman" w:cs="Times New Roman"/>
                <w:sz w:val="16"/>
                <w:szCs w:val="16"/>
              </w:rPr>
            </w:pPr>
            <w:r>
              <w:rPr>
                <w:rFonts w:ascii="Times New Roman" w:hAnsi="Times New Roman" w:cs="Times New Roman"/>
                <w:b/>
                <w:bCs/>
                <w:sz w:val="16"/>
                <w:szCs w:val="16"/>
              </w:rPr>
              <w:t>M-H, FIxed, 95%CI</w:t>
            </w:r>
          </w:p>
        </w:tc>
      </w:tr>
      <w:bookmarkEnd w:id="3"/>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Borders>
              <w:top w:val="nil"/>
              <w:bottom w:val="single" w:color="auto" w:sz="6" w:space="0"/>
            </w:tcBorders>
          </w:tcPr>
          <w:p>
            <w:pPr>
              <w:rPr>
                <w:rFonts w:ascii="Times New Roman" w:hAnsi="Times New Roman" w:cs="Times New Roman"/>
                <w:sz w:val="16"/>
                <w:szCs w:val="16"/>
              </w:rPr>
            </w:pPr>
            <w:r>
              <w:rPr>
                <w:rFonts w:ascii="Times New Roman" w:hAnsi="Times New Roman" w:cs="Times New Roman"/>
                <w:b/>
                <w:bCs/>
                <w:spacing w:val="-2"/>
                <w:sz w:val="16"/>
                <w:szCs w:val="16"/>
              </w:rPr>
              <w:t>Characteristics</w:t>
            </w:r>
          </w:p>
        </w:tc>
        <w:tc>
          <w:tcPr>
            <w:tcW w:w="748"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70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708"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70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2763" w:type="dxa"/>
            <w:tcBorders>
              <w:top w:val="nil"/>
              <w:bottom w:val="single" w:color="auto" w:sz="6" w:space="0"/>
            </w:tcBorders>
          </w:tcPr>
          <w:p>
            <w:pPr>
              <w:rPr>
                <w:rFonts w:ascii="Times New Roman" w:hAnsi="Times New Roman" w:cs="Times New Roman"/>
                <w:sz w:val="16"/>
                <w:szCs w:val="16"/>
              </w:rPr>
            </w:pPr>
          </w:p>
        </w:tc>
        <w:tc>
          <w:tcPr>
            <w:tcW w:w="1631" w:type="dxa"/>
            <w:vMerge w:val="continue"/>
            <w:tcBorders>
              <w:top w:val="nil"/>
              <w:bottom w:val="single" w:color="auto" w:sz="6" w:space="0"/>
            </w:tcBorders>
          </w:tcPr>
          <w:p>
            <w:pPr>
              <w:rPr>
                <w:rFonts w:ascii="Times New Roman" w:hAnsi="Times New Roman" w:cs="Times New Roman"/>
                <w:sz w:val="16"/>
                <w:szCs w:val="16"/>
              </w:rPr>
            </w:pPr>
          </w:p>
        </w:tc>
      </w:tr>
      <w:bookmarkEnd w:id="4"/>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Borders>
              <w:top w:val="single" w:color="auto" w:sz="6" w:space="0"/>
            </w:tcBorders>
          </w:tcPr>
          <w:p>
            <w:pPr>
              <w:rPr>
                <w:rFonts w:ascii="Times New Roman" w:hAnsi="Times New Roman" w:cs="Times New Roman"/>
                <w:sz w:val="15"/>
                <w:szCs w:val="15"/>
              </w:rPr>
            </w:pPr>
            <w:r>
              <w:rPr>
                <w:rFonts w:ascii="Times New Roman" w:hAnsi="Times New Roman" w:cs="Times New Roman"/>
                <w:b/>
                <w:bCs/>
                <w:spacing w:val="-1"/>
                <w:sz w:val="15"/>
                <w:szCs w:val="15"/>
              </w:rPr>
              <w:t>Cancer subtype</w:t>
            </w:r>
          </w:p>
        </w:tc>
        <w:tc>
          <w:tcPr>
            <w:tcW w:w="748" w:type="dxa"/>
            <w:tcBorders>
              <w:top w:val="single" w:color="auto" w:sz="6" w:space="0"/>
            </w:tcBorders>
          </w:tcPr>
          <w:p>
            <w:pPr>
              <w:jc w:val="center"/>
              <w:rPr>
                <w:rFonts w:ascii="Times New Roman" w:hAnsi="Times New Roman" w:cs="Times New Roman"/>
                <w:sz w:val="15"/>
                <w:szCs w:val="15"/>
              </w:rPr>
            </w:pPr>
          </w:p>
        </w:tc>
        <w:tc>
          <w:tcPr>
            <w:tcW w:w="709" w:type="dxa"/>
            <w:tcBorders>
              <w:top w:val="single" w:color="auto" w:sz="6" w:space="0"/>
            </w:tcBorders>
          </w:tcPr>
          <w:p>
            <w:pPr>
              <w:jc w:val="center"/>
              <w:rPr>
                <w:rFonts w:ascii="Times New Roman" w:hAnsi="Times New Roman" w:cs="Times New Roman"/>
                <w:sz w:val="15"/>
                <w:szCs w:val="15"/>
              </w:rPr>
            </w:pPr>
          </w:p>
        </w:tc>
        <w:tc>
          <w:tcPr>
            <w:tcW w:w="708" w:type="dxa"/>
            <w:tcBorders>
              <w:top w:val="single" w:color="auto" w:sz="6" w:space="0"/>
            </w:tcBorders>
          </w:tcPr>
          <w:p>
            <w:pPr>
              <w:jc w:val="center"/>
              <w:rPr>
                <w:rFonts w:ascii="Times New Roman" w:hAnsi="Times New Roman" w:cs="Times New Roman"/>
                <w:sz w:val="15"/>
                <w:szCs w:val="15"/>
              </w:rPr>
            </w:pPr>
          </w:p>
        </w:tc>
        <w:tc>
          <w:tcPr>
            <w:tcW w:w="709" w:type="dxa"/>
            <w:tcBorders>
              <w:top w:val="single" w:color="auto" w:sz="6" w:space="0"/>
            </w:tcBorders>
          </w:tcPr>
          <w:p>
            <w:pPr>
              <w:jc w:val="center"/>
              <w:rPr>
                <w:rFonts w:ascii="Times New Roman" w:hAnsi="Times New Roman" w:cs="Times New Roman"/>
                <w:sz w:val="15"/>
                <w:szCs w:val="15"/>
              </w:rPr>
            </w:pPr>
          </w:p>
        </w:tc>
        <w:tc>
          <w:tcPr>
            <w:tcW w:w="2763" w:type="dxa"/>
            <w:vMerge w:val="restart"/>
            <w:tcBorders>
              <w:top w:val="single" w:color="auto" w:sz="6" w:space="0"/>
            </w:tcBorders>
          </w:tcPr>
          <w:p>
            <w:pPr>
              <w:rPr>
                <w:rFonts w:ascii="Times New Roman" w:hAnsi="Times New Roman" w:cs="Times New Roman"/>
                <w:sz w:val="15"/>
                <w:szCs w:val="15"/>
              </w:rPr>
            </w:pPr>
            <w:r>
              <w:drawing>
                <wp:inline distT="0" distB="0" distL="0" distR="0">
                  <wp:extent cx="1870075" cy="1509395"/>
                  <wp:effectExtent l="0" t="0" r="9525" b="1905"/>
                  <wp:docPr id="1088235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c>
          <w:tcPr>
            <w:tcW w:w="1631" w:type="dxa"/>
            <w:tcBorders>
              <w:top w:val="single" w:color="auto" w:sz="6" w:space="0"/>
            </w:tcBorders>
          </w:tcPr>
          <w:p>
            <w:pPr>
              <w:jc w:val="center"/>
              <w:rPr>
                <w:rFonts w:ascii="Times New Roman" w:hAnsi="Times New Roman" w:cs="Times New Roman"/>
                <w:sz w:val="15"/>
                <w:szCs w:val="15"/>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Pr>
          <w:p>
            <w:pPr>
              <w:spacing w:line="276" w:lineRule="auto"/>
              <w:rPr>
                <w:rFonts w:ascii="Times New Roman" w:hAnsi="Times New Roman" w:cs="Times New Roman"/>
                <w:sz w:val="15"/>
                <w:szCs w:val="15"/>
              </w:rPr>
            </w:pPr>
            <w:r>
              <w:rPr>
                <w:rFonts w:ascii="Times New Roman" w:hAnsi="Times New Roman" w:cs="Times New Roman"/>
                <w:position w:val="5"/>
                <w:sz w:val="15"/>
                <w:szCs w:val="15"/>
              </w:rPr>
              <w:t>Genitourinary</w:t>
            </w:r>
          </w:p>
        </w:tc>
        <w:tc>
          <w:tcPr>
            <w:tcW w:w="74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404</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24840</w:t>
            </w:r>
          </w:p>
        </w:tc>
        <w:tc>
          <w:tcPr>
            <w:tcW w:w="70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407</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24941</w:t>
            </w:r>
          </w:p>
        </w:tc>
        <w:tc>
          <w:tcPr>
            <w:tcW w:w="2763" w:type="dxa"/>
            <w:vMerge w:val="continue"/>
          </w:tcPr>
          <w:p>
            <w:pPr>
              <w:spacing w:line="360" w:lineRule="auto"/>
              <w:rPr>
                <w:rFonts w:ascii="Times New Roman" w:hAnsi="Times New Roman" w:cs="Times New Roman"/>
                <w:sz w:val="15"/>
                <w:szCs w:val="15"/>
              </w:rPr>
            </w:pPr>
          </w:p>
        </w:tc>
        <w:tc>
          <w:tcPr>
            <w:tcW w:w="1631"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0.99 [0.86, 1.14]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Pr>
          <w:p>
            <w:pPr>
              <w:spacing w:line="276" w:lineRule="auto"/>
              <w:rPr>
                <w:rFonts w:ascii="Times New Roman" w:hAnsi="Times New Roman" w:cs="Times New Roman"/>
                <w:sz w:val="15"/>
                <w:szCs w:val="15"/>
              </w:rPr>
            </w:pPr>
            <w:r>
              <w:rPr>
                <w:rFonts w:ascii="Times New Roman" w:hAnsi="Times New Roman" w:eastAsia="宋体" w:cs="Times New Roman"/>
                <w:position w:val="5"/>
                <w:sz w:val="15"/>
                <w:szCs w:val="15"/>
              </w:rPr>
              <w:t>Breast</w:t>
            </w:r>
          </w:p>
        </w:tc>
        <w:tc>
          <w:tcPr>
            <w:tcW w:w="74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71</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17312</w:t>
            </w:r>
          </w:p>
        </w:tc>
        <w:tc>
          <w:tcPr>
            <w:tcW w:w="70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63</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17443</w:t>
            </w:r>
          </w:p>
        </w:tc>
        <w:tc>
          <w:tcPr>
            <w:tcW w:w="2763" w:type="dxa"/>
            <w:vMerge w:val="continue"/>
          </w:tcPr>
          <w:p>
            <w:pPr>
              <w:spacing w:line="360" w:lineRule="auto"/>
              <w:rPr>
                <w:rFonts w:ascii="Times New Roman" w:hAnsi="Times New Roman" w:cs="Times New Roman"/>
                <w:sz w:val="15"/>
                <w:szCs w:val="15"/>
              </w:rPr>
            </w:pPr>
          </w:p>
        </w:tc>
        <w:tc>
          <w:tcPr>
            <w:tcW w:w="1631"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1.13 [0.81, 1.59]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Pr>
          <w:p>
            <w:pPr>
              <w:spacing w:line="276" w:lineRule="auto"/>
              <w:rPr>
                <w:rFonts w:ascii="Times New Roman" w:hAnsi="Times New Roman" w:cs="Times New Roman"/>
                <w:sz w:val="15"/>
                <w:szCs w:val="15"/>
              </w:rPr>
            </w:pPr>
            <w:r>
              <w:rPr>
                <w:rFonts w:ascii="Times New Roman" w:hAnsi="Times New Roman" w:eastAsia="宋体" w:cs="Times New Roman"/>
                <w:position w:val="5"/>
                <w:sz w:val="15"/>
                <w:szCs w:val="15"/>
              </w:rPr>
              <w:t>Gastrointestinal</w:t>
            </w:r>
          </w:p>
        </w:tc>
        <w:tc>
          <w:tcPr>
            <w:tcW w:w="74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381</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28778</w:t>
            </w:r>
          </w:p>
        </w:tc>
        <w:tc>
          <w:tcPr>
            <w:tcW w:w="70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377</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28874</w:t>
            </w:r>
          </w:p>
        </w:tc>
        <w:tc>
          <w:tcPr>
            <w:tcW w:w="2763" w:type="dxa"/>
            <w:vMerge w:val="continue"/>
          </w:tcPr>
          <w:p>
            <w:pPr>
              <w:spacing w:line="360" w:lineRule="auto"/>
              <w:rPr>
                <w:rFonts w:ascii="Times New Roman" w:hAnsi="Times New Roman" w:cs="Times New Roman"/>
                <w:sz w:val="15"/>
                <w:szCs w:val="15"/>
              </w:rPr>
            </w:pPr>
          </w:p>
        </w:tc>
        <w:tc>
          <w:tcPr>
            <w:tcW w:w="1631"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1.01 [0.88, 1.17]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345" w:type="dxa"/>
          </w:tcPr>
          <w:p>
            <w:pPr>
              <w:spacing w:line="276" w:lineRule="auto"/>
              <w:rPr>
                <w:rFonts w:ascii="Times New Roman" w:hAnsi="Times New Roman" w:cs="Times New Roman"/>
                <w:sz w:val="15"/>
                <w:szCs w:val="15"/>
              </w:rPr>
            </w:pPr>
            <w:r>
              <w:rPr>
                <w:rFonts w:ascii="Times New Roman" w:hAnsi="Times New Roman" w:eastAsia="宋体" w:cs="Times New Roman"/>
                <w:position w:val="5"/>
                <w:sz w:val="15"/>
                <w:szCs w:val="15"/>
              </w:rPr>
              <w:t>Respiratory cancer</w:t>
            </w:r>
          </w:p>
        </w:tc>
        <w:tc>
          <w:tcPr>
            <w:tcW w:w="74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24840</w:t>
            </w:r>
          </w:p>
        </w:tc>
        <w:tc>
          <w:tcPr>
            <w:tcW w:w="708"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296</w:t>
            </w:r>
          </w:p>
        </w:tc>
        <w:tc>
          <w:tcPr>
            <w:tcW w:w="709"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24941</w:t>
            </w:r>
          </w:p>
        </w:tc>
        <w:tc>
          <w:tcPr>
            <w:tcW w:w="2763" w:type="dxa"/>
            <w:vMerge w:val="continue"/>
          </w:tcPr>
          <w:p>
            <w:pPr>
              <w:spacing w:line="360" w:lineRule="auto"/>
              <w:rPr>
                <w:rFonts w:ascii="Times New Roman" w:hAnsi="Times New Roman" w:cs="Times New Roman"/>
                <w:sz w:val="15"/>
                <w:szCs w:val="15"/>
              </w:rPr>
            </w:pPr>
          </w:p>
        </w:tc>
        <w:tc>
          <w:tcPr>
            <w:tcW w:w="1631" w:type="dxa"/>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0.97 [0.83, 1.15]</w:t>
            </w:r>
          </w:p>
        </w:tc>
      </w:tr>
    </w:tbl>
    <w:p>
      <w:pPr>
        <w:rPr>
          <w:rFonts w:hint="eastAsia" w:ascii="Times New Roman" w:hAnsi="Times New Roman" w:cs="Times New Roman"/>
          <w:b/>
          <w:bCs/>
          <w:sz w:val="24"/>
          <w:szCs w:val="24"/>
          <w:lang w:val="en-US" w:eastAsia="zh-CN"/>
        </w:rPr>
      </w:pPr>
    </w:p>
    <w:p>
      <w:pPr>
        <w:rPr>
          <w:sz w:val="24"/>
          <w:szCs w:val="24"/>
        </w:rPr>
      </w:pPr>
      <w:r>
        <w:rPr>
          <w:rFonts w:hint="eastAsia" w:ascii="Times New Roman" w:hAnsi="Times New Roman" w:cs="Times New Roman"/>
          <w:b/>
          <w:bCs/>
          <w:sz w:val="24"/>
          <w:szCs w:val="24"/>
          <w:lang w:val="en-US" w:eastAsia="zh-CN"/>
        </w:rPr>
        <w:t>Supplemental f</w:t>
      </w:r>
      <w:r>
        <w:rPr>
          <w:rFonts w:ascii="Times New Roman" w:hAnsi="Times New Roman" w:cs="Times New Roman"/>
          <w:b/>
          <w:bCs/>
          <w:sz w:val="24"/>
          <w:szCs w:val="24"/>
        </w:rPr>
        <w:t>igure 1</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Risk of </w:t>
      </w:r>
      <w:r>
        <w:rPr>
          <w:rFonts w:hint="eastAsia" w:ascii="Times New Roman" w:hAnsi="Times New Roman" w:cs="Times New Roman"/>
          <w:sz w:val="24"/>
          <w:szCs w:val="24"/>
          <w:lang w:val="en-US" w:eastAsia="zh-CN"/>
        </w:rPr>
        <w:t>s</w:t>
      </w:r>
      <w:r>
        <w:rPr>
          <w:rFonts w:hint="eastAsia" w:ascii="Times New Roman" w:hAnsi="Times New Roman" w:cs="Times New Roman"/>
          <w:sz w:val="24"/>
          <w:szCs w:val="24"/>
        </w:rPr>
        <w:t xml:space="preserve">pecific cancer </w:t>
      </w:r>
      <w:r>
        <w:rPr>
          <w:rFonts w:hint="eastAsia" w:ascii="Times New Roman" w:hAnsi="Times New Roman" w:cs="Times New Roman"/>
          <w:sz w:val="24"/>
          <w:szCs w:val="24"/>
          <w:lang w:val="en-US" w:eastAsia="zh-CN"/>
        </w:rPr>
        <w:t>incidence</w:t>
      </w:r>
      <w:r>
        <w:rPr>
          <w:rFonts w:hint="eastAsia" w:ascii="Times New Roman" w:hAnsi="Times New Roman" w:cs="Times New Roman"/>
          <w:sz w:val="24"/>
          <w:szCs w:val="24"/>
        </w:rPr>
        <w:t xml:space="preserve"> associated with statin</w:t>
      </w:r>
      <w:r>
        <w:rPr>
          <w:rFonts w:hint="eastAsia" w:ascii="Times New Roman" w:hAnsi="Times New Roman" w:cs="Times New Roman"/>
          <w:sz w:val="24"/>
          <w:szCs w:val="24"/>
          <w:lang w:val="en-US" w:eastAsia="zh-CN"/>
        </w:rPr>
        <w:t>s</w:t>
      </w:r>
      <w:r>
        <w:rPr>
          <w:rFonts w:hint="eastAsia" w:ascii="Times New Roman" w:hAnsi="Times New Roman" w:cs="Times New Roman"/>
          <w:sz w:val="24"/>
          <w:szCs w:val="24"/>
        </w:rPr>
        <w:t xml:space="preserve">. </w:t>
      </w:r>
    </w:p>
    <w:p/>
    <w:p/>
    <w:p/>
    <w:p>
      <w:pPr>
        <w:numPr>
          <w:ilvl w:val="0"/>
          <w:numId w:val="0"/>
        </w:numPr>
        <w:ind w:leftChars="0"/>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 xml:space="preserve">1.2   </w:t>
      </w:r>
      <w:r>
        <w:rPr>
          <w:rFonts w:hint="default" w:ascii="Times New Roman" w:hAnsi="Times New Roman" w:cs="Times New Roman"/>
          <w:b/>
          <w:bCs/>
          <w:sz w:val="24"/>
          <w:szCs w:val="24"/>
          <w:lang w:val="en-GB"/>
        </w:rPr>
        <w:t>Supplemental Figure 2</w:t>
      </w:r>
    </w:p>
    <w:p/>
    <w:tbl>
      <w:tblPr>
        <w:tblStyle w:val="9"/>
        <w:tblW w:w="8755"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56"/>
        <w:gridCol w:w="679"/>
        <w:gridCol w:w="683"/>
        <w:gridCol w:w="768"/>
        <w:gridCol w:w="726"/>
        <w:gridCol w:w="2942"/>
        <w:gridCol w:w="170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Borders>
              <w:bottom w:val="nil"/>
            </w:tcBorders>
          </w:tcPr>
          <w:p>
            <w:pPr>
              <w:jc w:val="center"/>
              <w:rPr>
                <w:rFonts w:ascii="Times New Roman" w:hAnsi="Times New Roman" w:cs="Times New Roman"/>
                <w:b/>
                <w:bCs/>
                <w:sz w:val="16"/>
                <w:szCs w:val="16"/>
              </w:rPr>
            </w:pPr>
            <w:bookmarkStart w:id="5" w:name="_Hlk144136523"/>
          </w:p>
        </w:tc>
        <w:tc>
          <w:tcPr>
            <w:tcW w:w="1362"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Statin</w:t>
            </w:r>
          </w:p>
        </w:tc>
        <w:tc>
          <w:tcPr>
            <w:tcW w:w="1494"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Non-statin</w:t>
            </w:r>
          </w:p>
        </w:tc>
        <w:tc>
          <w:tcPr>
            <w:tcW w:w="2942" w:type="dxa"/>
            <w:tcBorders>
              <w:bottom w:val="nil"/>
            </w:tcBorders>
          </w:tcPr>
          <w:p>
            <w:pPr>
              <w:jc w:val="center"/>
              <w:rPr>
                <w:rFonts w:ascii="Times New Roman" w:hAnsi="Times New Roman" w:cs="Times New Roman"/>
                <w:b/>
                <w:bCs/>
                <w:sz w:val="16"/>
                <w:szCs w:val="16"/>
              </w:rPr>
            </w:pPr>
          </w:p>
        </w:tc>
        <w:tc>
          <w:tcPr>
            <w:tcW w:w="1701" w:type="dxa"/>
            <w:vMerge w:val="restart"/>
            <w:tcBorders>
              <w:bottom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Odds Ratio</w:t>
            </w:r>
          </w:p>
          <w:p>
            <w:pPr>
              <w:jc w:val="center"/>
              <w:rPr>
                <w:rFonts w:ascii="Times New Roman" w:hAnsi="Times New Roman" w:cs="Times New Roman"/>
                <w:b/>
                <w:bCs/>
                <w:sz w:val="16"/>
                <w:szCs w:val="16"/>
              </w:rPr>
            </w:pPr>
            <w:r>
              <w:rPr>
                <w:rFonts w:ascii="Times New Roman" w:hAnsi="Times New Roman" w:cs="Times New Roman"/>
                <w:b/>
                <w:bCs/>
                <w:sz w:val="16"/>
                <w:szCs w:val="16"/>
              </w:rPr>
              <w:t>M-H, FIxed, 95%CI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Borders>
              <w:top w:val="nil"/>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Characteristics</w:t>
            </w:r>
          </w:p>
        </w:tc>
        <w:tc>
          <w:tcPr>
            <w:tcW w:w="67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683"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768"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726"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2942" w:type="dxa"/>
            <w:tcBorders>
              <w:top w:val="nil"/>
              <w:bottom w:val="single" w:color="auto" w:sz="6" w:space="0"/>
            </w:tcBorders>
          </w:tcPr>
          <w:p>
            <w:pPr>
              <w:jc w:val="center"/>
              <w:rPr>
                <w:rFonts w:ascii="Times New Roman" w:hAnsi="Times New Roman" w:cs="Times New Roman"/>
                <w:b/>
                <w:bCs/>
                <w:sz w:val="16"/>
                <w:szCs w:val="16"/>
              </w:rPr>
            </w:pPr>
          </w:p>
        </w:tc>
        <w:tc>
          <w:tcPr>
            <w:tcW w:w="1701" w:type="dxa"/>
            <w:vMerge w:val="continue"/>
            <w:tcBorders>
              <w:top w:val="nil"/>
              <w:bottom w:val="single" w:color="auto" w:sz="6" w:space="0"/>
            </w:tcBorders>
          </w:tcPr>
          <w:p>
            <w:pPr>
              <w:jc w:val="center"/>
              <w:rPr>
                <w:rFonts w:ascii="Times New Roman" w:hAnsi="Times New Roman" w:cs="Times New Roman"/>
                <w:b/>
                <w:bCs/>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Borders>
              <w:top w:val="single" w:color="auto" w:sz="6" w:space="0"/>
            </w:tcBorders>
          </w:tcPr>
          <w:p>
            <w:pPr>
              <w:jc w:val="center"/>
              <w:rPr>
                <w:rFonts w:ascii="Times New Roman" w:hAnsi="Times New Roman" w:cs="Times New Roman"/>
                <w:b/>
                <w:bCs/>
                <w:sz w:val="15"/>
                <w:szCs w:val="15"/>
              </w:rPr>
            </w:pPr>
            <w:r>
              <w:rPr>
                <w:rFonts w:ascii="Times New Roman" w:hAnsi="Times New Roman" w:cs="Times New Roman"/>
                <w:b/>
                <w:bCs/>
                <w:sz w:val="15"/>
                <w:szCs w:val="15"/>
              </w:rPr>
              <w:t>Statin type</w:t>
            </w:r>
          </w:p>
        </w:tc>
        <w:tc>
          <w:tcPr>
            <w:tcW w:w="679" w:type="dxa"/>
            <w:tcBorders>
              <w:top w:val="single" w:color="auto" w:sz="6" w:space="0"/>
            </w:tcBorders>
          </w:tcPr>
          <w:p>
            <w:pPr>
              <w:rPr>
                <w:rFonts w:ascii="Times New Roman" w:hAnsi="Times New Roman" w:cs="Times New Roman"/>
                <w:sz w:val="15"/>
                <w:szCs w:val="15"/>
              </w:rPr>
            </w:pPr>
          </w:p>
        </w:tc>
        <w:tc>
          <w:tcPr>
            <w:tcW w:w="683" w:type="dxa"/>
            <w:tcBorders>
              <w:top w:val="single" w:color="auto" w:sz="6" w:space="0"/>
            </w:tcBorders>
          </w:tcPr>
          <w:p>
            <w:pPr>
              <w:rPr>
                <w:rFonts w:ascii="Times New Roman" w:hAnsi="Times New Roman" w:cs="Times New Roman"/>
                <w:sz w:val="15"/>
                <w:szCs w:val="15"/>
              </w:rPr>
            </w:pPr>
          </w:p>
        </w:tc>
        <w:tc>
          <w:tcPr>
            <w:tcW w:w="768" w:type="dxa"/>
            <w:tcBorders>
              <w:top w:val="single" w:color="auto" w:sz="6" w:space="0"/>
            </w:tcBorders>
          </w:tcPr>
          <w:p>
            <w:pPr>
              <w:rPr>
                <w:rFonts w:ascii="Times New Roman" w:hAnsi="Times New Roman" w:cs="Times New Roman"/>
                <w:sz w:val="15"/>
                <w:szCs w:val="15"/>
              </w:rPr>
            </w:pPr>
          </w:p>
        </w:tc>
        <w:tc>
          <w:tcPr>
            <w:tcW w:w="726" w:type="dxa"/>
            <w:tcBorders>
              <w:top w:val="single" w:color="auto" w:sz="6" w:space="0"/>
            </w:tcBorders>
          </w:tcPr>
          <w:p>
            <w:pPr>
              <w:rPr>
                <w:rFonts w:ascii="Times New Roman" w:hAnsi="Times New Roman" w:cs="Times New Roman"/>
                <w:sz w:val="15"/>
                <w:szCs w:val="15"/>
              </w:rPr>
            </w:pPr>
          </w:p>
        </w:tc>
        <w:tc>
          <w:tcPr>
            <w:tcW w:w="2942" w:type="dxa"/>
            <w:vMerge w:val="restart"/>
            <w:tcBorders>
              <w:top w:val="single" w:color="auto" w:sz="6" w:space="0"/>
            </w:tcBorders>
          </w:tcPr>
          <w:p>
            <w:pPr>
              <w:rPr>
                <w:rFonts w:ascii="Times New Roman" w:hAnsi="Times New Roman" w:cs="Times New Roman"/>
                <w:sz w:val="15"/>
                <w:szCs w:val="15"/>
              </w:rPr>
            </w:pPr>
            <w:r>
              <w:drawing>
                <wp:inline distT="0" distB="0" distL="0" distR="0">
                  <wp:extent cx="1883410" cy="1441450"/>
                  <wp:effectExtent l="0" t="0" r="8890" b="6350"/>
                  <wp:docPr id="47569163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1701" w:type="dxa"/>
            <w:tcBorders>
              <w:top w:val="single" w:color="auto" w:sz="6" w:space="0"/>
            </w:tcBorders>
          </w:tcPr>
          <w:p>
            <w:pPr>
              <w:jc w:val="center"/>
              <w:rPr>
                <w:rFonts w:ascii="Times New Roman" w:hAnsi="Times New Roman" w:cs="Times New Roman"/>
                <w:sz w:val="15"/>
                <w:szCs w:val="15"/>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Pr>
          <w:p>
            <w:pPr>
              <w:jc w:val="center"/>
              <w:rPr>
                <w:rFonts w:ascii="Times New Roman" w:hAnsi="Times New Roman" w:cs="Times New Roman"/>
                <w:sz w:val="15"/>
                <w:szCs w:val="15"/>
              </w:rPr>
            </w:pPr>
            <w:r>
              <w:rPr>
                <w:rFonts w:ascii="Times New Roman" w:hAnsi="Times New Roman" w:cs="Times New Roman"/>
                <w:sz w:val="15"/>
                <w:szCs w:val="15"/>
              </w:rPr>
              <w:t>Lipophilic</w:t>
            </w:r>
          </w:p>
        </w:tc>
        <w:tc>
          <w:tcPr>
            <w:tcW w:w="679" w:type="dxa"/>
          </w:tcPr>
          <w:p>
            <w:pPr>
              <w:rPr>
                <w:rFonts w:ascii="Times New Roman" w:hAnsi="Times New Roman" w:cs="Times New Roman"/>
                <w:sz w:val="15"/>
                <w:szCs w:val="15"/>
              </w:rPr>
            </w:pPr>
            <w:r>
              <w:rPr>
                <w:rFonts w:ascii="Times New Roman" w:hAnsi="Times New Roman" w:cs="Times New Roman"/>
                <w:sz w:val="15"/>
                <w:szCs w:val="15"/>
              </w:rPr>
              <w:t>1843</w:t>
            </w:r>
          </w:p>
        </w:tc>
        <w:tc>
          <w:tcPr>
            <w:tcW w:w="683" w:type="dxa"/>
          </w:tcPr>
          <w:p>
            <w:pPr>
              <w:rPr>
                <w:rFonts w:ascii="Times New Roman" w:hAnsi="Times New Roman" w:cs="Times New Roman"/>
                <w:sz w:val="15"/>
                <w:szCs w:val="15"/>
              </w:rPr>
            </w:pPr>
            <w:r>
              <w:rPr>
                <w:rFonts w:ascii="Times New Roman" w:hAnsi="Times New Roman" w:cs="Times New Roman"/>
                <w:sz w:val="15"/>
                <w:szCs w:val="15"/>
              </w:rPr>
              <w:t>21333</w:t>
            </w:r>
          </w:p>
        </w:tc>
        <w:tc>
          <w:tcPr>
            <w:tcW w:w="768" w:type="dxa"/>
          </w:tcPr>
          <w:p>
            <w:pPr>
              <w:rPr>
                <w:rFonts w:ascii="Times New Roman" w:hAnsi="Times New Roman" w:cs="Times New Roman"/>
                <w:sz w:val="15"/>
                <w:szCs w:val="15"/>
              </w:rPr>
            </w:pPr>
            <w:r>
              <w:rPr>
                <w:rFonts w:ascii="Times New Roman" w:hAnsi="Times New Roman" w:cs="Times New Roman"/>
                <w:sz w:val="15"/>
                <w:szCs w:val="15"/>
              </w:rPr>
              <w:t>1838</w:t>
            </w:r>
          </w:p>
        </w:tc>
        <w:tc>
          <w:tcPr>
            <w:tcW w:w="726" w:type="dxa"/>
          </w:tcPr>
          <w:p>
            <w:pPr>
              <w:rPr>
                <w:rFonts w:ascii="Times New Roman" w:hAnsi="Times New Roman" w:cs="Times New Roman"/>
                <w:sz w:val="15"/>
                <w:szCs w:val="15"/>
              </w:rPr>
            </w:pPr>
            <w:r>
              <w:rPr>
                <w:rFonts w:ascii="Times New Roman" w:hAnsi="Times New Roman" w:cs="Times New Roman"/>
                <w:sz w:val="15"/>
                <w:szCs w:val="15"/>
              </w:rPr>
              <w:t>21345</w:t>
            </w:r>
          </w:p>
        </w:tc>
        <w:tc>
          <w:tcPr>
            <w:tcW w:w="2942" w:type="dxa"/>
            <w:vMerge w:val="continue"/>
          </w:tcPr>
          <w:p>
            <w:pPr>
              <w:rPr>
                <w:rFonts w:ascii="Times New Roman" w:hAnsi="Times New Roman" w:cs="Times New Roman"/>
                <w:sz w:val="15"/>
                <w:szCs w:val="15"/>
              </w:rPr>
            </w:pPr>
          </w:p>
        </w:tc>
        <w:tc>
          <w:tcPr>
            <w:tcW w:w="1701" w:type="dxa"/>
          </w:tcPr>
          <w:p>
            <w:pPr>
              <w:jc w:val="center"/>
              <w:rPr>
                <w:rFonts w:ascii="Times New Roman" w:hAnsi="Times New Roman" w:cs="Times New Roman"/>
                <w:sz w:val="15"/>
                <w:szCs w:val="15"/>
              </w:rPr>
            </w:pPr>
            <w:r>
              <w:rPr>
                <w:rFonts w:ascii="Times New Roman" w:hAnsi="Times New Roman" w:cs="Times New Roman"/>
                <w:sz w:val="15"/>
                <w:szCs w:val="15"/>
              </w:rPr>
              <w:t>1.00 [0.94, 1.08]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Pr>
          <w:p>
            <w:pPr>
              <w:jc w:val="center"/>
              <w:rPr>
                <w:rFonts w:ascii="Times New Roman" w:hAnsi="Times New Roman" w:cs="Times New Roman"/>
                <w:sz w:val="15"/>
                <w:szCs w:val="15"/>
              </w:rPr>
            </w:pPr>
            <w:r>
              <w:rPr>
                <w:rFonts w:ascii="Times New Roman" w:hAnsi="Times New Roman" w:cs="Times New Roman"/>
                <w:sz w:val="15"/>
                <w:szCs w:val="15"/>
              </w:rPr>
              <w:t>Hydrophilic</w:t>
            </w:r>
          </w:p>
        </w:tc>
        <w:tc>
          <w:tcPr>
            <w:tcW w:w="679" w:type="dxa"/>
          </w:tcPr>
          <w:p>
            <w:pPr>
              <w:rPr>
                <w:rFonts w:ascii="Times New Roman" w:hAnsi="Times New Roman" w:cs="Times New Roman"/>
                <w:sz w:val="15"/>
                <w:szCs w:val="15"/>
              </w:rPr>
            </w:pPr>
            <w:r>
              <w:rPr>
                <w:rFonts w:ascii="Times New Roman" w:hAnsi="Times New Roman" w:cs="Times New Roman"/>
                <w:sz w:val="15"/>
                <w:szCs w:val="15"/>
              </w:rPr>
              <w:t>2492</w:t>
            </w:r>
          </w:p>
        </w:tc>
        <w:tc>
          <w:tcPr>
            <w:tcW w:w="683" w:type="dxa"/>
          </w:tcPr>
          <w:p>
            <w:pPr>
              <w:rPr>
                <w:rFonts w:ascii="Times New Roman" w:hAnsi="Times New Roman" w:cs="Times New Roman"/>
                <w:sz w:val="15"/>
                <w:szCs w:val="15"/>
              </w:rPr>
            </w:pPr>
            <w:r>
              <w:rPr>
                <w:rFonts w:ascii="Times New Roman" w:hAnsi="Times New Roman" w:cs="Times New Roman"/>
                <w:sz w:val="15"/>
                <w:szCs w:val="15"/>
              </w:rPr>
              <w:t>46581</w:t>
            </w:r>
          </w:p>
        </w:tc>
        <w:tc>
          <w:tcPr>
            <w:tcW w:w="768" w:type="dxa"/>
          </w:tcPr>
          <w:p>
            <w:pPr>
              <w:rPr>
                <w:rFonts w:ascii="Times New Roman" w:hAnsi="Times New Roman" w:cs="Times New Roman"/>
                <w:sz w:val="15"/>
                <w:szCs w:val="15"/>
              </w:rPr>
            </w:pPr>
            <w:r>
              <w:rPr>
                <w:rFonts w:ascii="Times New Roman" w:hAnsi="Times New Roman" w:cs="Times New Roman"/>
                <w:sz w:val="15"/>
                <w:szCs w:val="15"/>
              </w:rPr>
              <w:t>2527</w:t>
            </w:r>
          </w:p>
        </w:tc>
        <w:tc>
          <w:tcPr>
            <w:tcW w:w="726" w:type="dxa"/>
          </w:tcPr>
          <w:p>
            <w:pPr>
              <w:rPr>
                <w:rFonts w:ascii="Times New Roman" w:hAnsi="Times New Roman" w:cs="Times New Roman"/>
                <w:sz w:val="15"/>
                <w:szCs w:val="15"/>
              </w:rPr>
            </w:pPr>
            <w:r>
              <w:rPr>
                <w:rFonts w:ascii="Times New Roman" w:hAnsi="Times New Roman" w:cs="Times New Roman"/>
                <w:sz w:val="15"/>
                <w:szCs w:val="15"/>
              </w:rPr>
              <w:t>46056</w:t>
            </w:r>
          </w:p>
        </w:tc>
        <w:tc>
          <w:tcPr>
            <w:tcW w:w="2942" w:type="dxa"/>
            <w:vMerge w:val="continue"/>
          </w:tcPr>
          <w:p>
            <w:pPr>
              <w:rPr>
                <w:rFonts w:ascii="Times New Roman" w:hAnsi="Times New Roman" w:cs="Times New Roman"/>
                <w:sz w:val="15"/>
                <w:szCs w:val="15"/>
              </w:rPr>
            </w:pPr>
          </w:p>
        </w:tc>
        <w:tc>
          <w:tcPr>
            <w:tcW w:w="1701" w:type="dxa"/>
          </w:tcPr>
          <w:p>
            <w:pPr>
              <w:jc w:val="center"/>
              <w:rPr>
                <w:rFonts w:ascii="Times New Roman" w:hAnsi="Times New Roman" w:cs="Times New Roman"/>
                <w:sz w:val="15"/>
                <w:szCs w:val="15"/>
              </w:rPr>
            </w:pPr>
            <w:r>
              <w:rPr>
                <w:rFonts w:ascii="Times New Roman" w:hAnsi="Times New Roman" w:cs="Times New Roman"/>
                <w:sz w:val="15"/>
                <w:szCs w:val="15"/>
              </w:rPr>
              <w:t>0.98 [0.92, 1.03]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Pr>
          <w:p>
            <w:pPr>
              <w:jc w:val="center"/>
              <w:rPr>
                <w:rFonts w:ascii="Times New Roman" w:hAnsi="Times New Roman" w:cs="Times New Roman"/>
                <w:b/>
                <w:bCs/>
                <w:sz w:val="15"/>
                <w:szCs w:val="15"/>
              </w:rPr>
            </w:pPr>
            <w:r>
              <w:rPr>
                <w:rFonts w:ascii="Times New Roman" w:hAnsi="Times New Roman" w:cs="Times New Roman"/>
                <w:b/>
                <w:bCs/>
                <w:sz w:val="15"/>
                <w:szCs w:val="15"/>
              </w:rPr>
              <w:t>Duration</w:t>
            </w:r>
          </w:p>
        </w:tc>
        <w:tc>
          <w:tcPr>
            <w:tcW w:w="679" w:type="dxa"/>
          </w:tcPr>
          <w:p>
            <w:pPr>
              <w:rPr>
                <w:rFonts w:ascii="Times New Roman" w:hAnsi="Times New Roman" w:cs="Times New Roman"/>
                <w:sz w:val="15"/>
                <w:szCs w:val="15"/>
              </w:rPr>
            </w:pPr>
          </w:p>
        </w:tc>
        <w:tc>
          <w:tcPr>
            <w:tcW w:w="683" w:type="dxa"/>
          </w:tcPr>
          <w:p>
            <w:pPr>
              <w:rPr>
                <w:rFonts w:ascii="Times New Roman" w:hAnsi="Times New Roman" w:cs="Times New Roman"/>
                <w:sz w:val="15"/>
                <w:szCs w:val="15"/>
              </w:rPr>
            </w:pPr>
          </w:p>
        </w:tc>
        <w:tc>
          <w:tcPr>
            <w:tcW w:w="768" w:type="dxa"/>
          </w:tcPr>
          <w:p>
            <w:pPr>
              <w:rPr>
                <w:rFonts w:ascii="Times New Roman" w:hAnsi="Times New Roman" w:cs="Times New Roman"/>
                <w:sz w:val="15"/>
                <w:szCs w:val="15"/>
              </w:rPr>
            </w:pPr>
          </w:p>
        </w:tc>
        <w:tc>
          <w:tcPr>
            <w:tcW w:w="726" w:type="dxa"/>
          </w:tcPr>
          <w:p>
            <w:pPr>
              <w:rPr>
                <w:rFonts w:ascii="Times New Roman" w:hAnsi="Times New Roman" w:cs="Times New Roman"/>
                <w:sz w:val="15"/>
                <w:szCs w:val="15"/>
              </w:rPr>
            </w:pPr>
          </w:p>
        </w:tc>
        <w:tc>
          <w:tcPr>
            <w:tcW w:w="2942" w:type="dxa"/>
            <w:vMerge w:val="continue"/>
          </w:tcPr>
          <w:p>
            <w:pPr>
              <w:rPr>
                <w:rFonts w:ascii="Times New Roman" w:hAnsi="Times New Roman" w:cs="Times New Roman"/>
                <w:sz w:val="15"/>
                <w:szCs w:val="15"/>
              </w:rPr>
            </w:pPr>
          </w:p>
        </w:tc>
        <w:tc>
          <w:tcPr>
            <w:tcW w:w="1701" w:type="dxa"/>
          </w:tcPr>
          <w:p>
            <w:pPr>
              <w:jc w:val="center"/>
              <w:rPr>
                <w:rFonts w:ascii="Times New Roman" w:hAnsi="Times New Roman" w:cs="Times New Roman"/>
                <w:sz w:val="15"/>
                <w:szCs w:val="15"/>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Pr>
          <w:p>
            <w:pPr>
              <w:jc w:val="center"/>
              <w:rPr>
                <w:rFonts w:ascii="Times New Roman" w:hAnsi="Times New Roman" w:cs="Times New Roman"/>
                <w:sz w:val="15"/>
                <w:szCs w:val="15"/>
              </w:rPr>
            </w:pPr>
            <w:r>
              <w:rPr>
                <w:rFonts w:ascii="Times New Roman" w:hAnsi="Times New Roman" w:cs="Times New Roman"/>
                <w:sz w:val="15"/>
                <w:szCs w:val="15"/>
              </w:rPr>
              <w:t>≥4 years</w:t>
            </w:r>
          </w:p>
        </w:tc>
        <w:tc>
          <w:tcPr>
            <w:tcW w:w="679" w:type="dxa"/>
          </w:tcPr>
          <w:p>
            <w:pPr>
              <w:rPr>
                <w:rFonts w:ascii="Times New Roman" w:hAnsi="Times New Roman" w:cs="Times New Roman"/>
                <w:sz w:val="15"/>
                <w:szCs w:val="15"/>
              </w:rPr>
            </w:pPr>
            <w:r>
              <w:rPr>
                <w:rFonts w:ascii="Times New Roman" w:hAnsi="Times New Roman" w:cs="Times New Roman"/>
                <w:sz w:val="15"/>
                <w:szCs w:val="15"/>
              </w:rPr>
              <w:t>3818</w:t>
            </w:r>
          </w:p>
        </w:tc>
        <w:tc>
          <w:tcPr>
            <w:tcW w:w="683" w:type="dxa"/>
          </w:tcPr>
          <w:p>
            <w:pPr>
              <w:rPr>
                <w:rFonts w:ascii="Times New Roman" w:hAnsi="Times New Roman" w:cs="Times New Roman"/>
                <w:sz w:val="15"/>
                <w:szCs w:val="15"/>
              </w:rPr>
            </w:pPr>
            <w:r>
              <w:rPr>
                <w:rFonts w:ascii="Times New Roman" w:hAnsi="Times New Roman" w:cs="Times New Roman"/>
                <w:sz w:val="15"/>
                <w:szCs w:val="15"/>
              </w:rPr>
              <w:t>51689</w:t>
            </w:r>
          </w:p>
        </w:tc>
        <w:tc>
          <w:tcPr>
            <w:tcW w:w="768" w:type="dxa"/>
          </w:tcPr>
          <w:p>
            <w:pPr>
              <w:rPr>
                <w:rFonts w:ascii="Times New Roman" w:hAnsi="Times New Roman" w:cs="Times New Roman"/>
                <w:sz w:val="15"/>
                <w:szCs w:val="15"/>
              </w:rPr>
            </w:pPr>
            <w:r>
              <w:rPr>
                <w:rFonts w:ascii="Times New Roman" w:hAnsi="Times New Roman" w:cs="Times New Roman"/>
                <w:sz w:val="15"/>
                <w:szCs w:val="15"/>
              </w:rPr>
              <w:t>3833</w:t>
            </w:r>
          </w:p>
        </w:tc>
        <w:tc>
          <w:tcPr>
            <w:tcW w:w="726" w:type="dxa"/>
          </w:tcPr>
          <w:p>
            <w:pPr>
              <w:rPr>
                <w:rFonts w:ascii="Times New Roman" w:hAnsi="Times New Roman" w:cs="Times New Roman"/>
                <w:sz w:val="15"/>
                <w:szCs w:val="15"/>
              </w:rPr>
            </w:pPr>
            <w:r>
              <w:rPr>
                <w:rFonts w:ascii="Times New Roman" w:hAnsi="Times New Roman" w:cs="Times New Roman"/>
                <w:sz w:val="15"/>
                <w:szCs w:val="15"/>
              </w:rPr>
              <w:t>51181</w:t>
            </w:r>
          </w:p>
        </w:tc>
        <w:tc>
          <w:tcPr>
            <w:tcW w:w="2942" w:type="dxa"/>
            <w:vMerge w:val="continue"/>
          </w:tcPr>
          <w:p>
            <w:pPr>
              <w:rPr>
                <w:rFonts w:ascii="Times New Roman" w:hAnsi="Times New Roman" w:cs="Times New Roman"/>
                <w:sz w:val="15"/>
                <w:szCs w:val="15"/>
              </w:rPr>
            </w:pPr>
          </w:p>
        </w:tc>
        <w:tc>
          <w:tcPr>
            <w:tcW w:w="1701" w:type="dxa"/>
          </w:tcPr>
          <w:p>
            <w:pPr>
              <w:jc w:val="center"/>
              <w:rPr>
                <w:rFonts w:ascii="Times New Roman" w:hAnsi="Times New Roman" w:cs="Times New Roman"/>
                <w:sz w:val="15"/>
                <w:szCs w:val="15"/>
              </w:rPr>
            </w:pPr>
            <w:r>
              <w:rPr>
                <w:rFonts w:ascii="Times New Roman" w:hAnsi="Times New Roman" w:cs="Times New Roman"/>
                <w:sz w:val="15"/>
                <w:szCs w:val="15"/>
              </w:rPr>
              <w:t>0.99 [0.94, 1.04]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256" w:type="dxa"/>
          </w:tcPr>
          <w:p>
            <w:pPr>
              <w:jc w:val="center"/>
              <w:rPr>
                <w:rFonts w:ascii="Times New Roman" w:hAnsi="Times New Roman" w:cs="Times New Roman"/>
                <w:sz w:val="15"/>
                <w:szCs w:val="15"/>
              </w:rPr>
            </w:pPr>
            <w:r>
              <w:rPr>
                <w:rFonts w:ascii="Times New Roman" w:hAnsi="Times New Roman" w:cs="Times New Roman"/>
                <w:sz w:val="15"/>
                <w:szCs w:val="15"/>
              </w:rPr>
              <w:t>＜4years</w:t>
            </w:r>
          </w:p>
        </w:tc>
        <w:tc>
          <w:tcPr>
            <w:tcW w:w="679" w:type="dxa"/>
          </w:tcPr>
          <w:p>
            <w:pPr>
              <w:rPr>
                <w:rFonts w:ascii="Times New Roman" w:hAnsi="Times New Roman" w:cs="Times New Roman"/>
                <w:sz w:val="15"/>
                <w:szCs w:val="15"/>
              </w:rPr>
            </w:pPr>
            <w:r>
              <w:rPr>
                <w:rFonts w:ascii="Times New Roman" w:hAnsi="Times New Roman" w:cs="Times New Roman"/>
                <w:sz w:val="15"/>
                <w:szCs w:val="15"/>
              </w:rPr>
              <w:t>517</w:t>
            </w:r>
          </w:p>
        </w:tc>
        <w:tc>
          <w:tcPr>
            <w:tcW w:w="683" w:type="dxa"/>
          </w:tcPr>
          <w:p>
            <w:pPr>
              <w:rPr>
                <w:rFonts w:ascii="Times New Roman" w:hAnsi="Times New Roman" w:cs="Times New Roman"/>
                <w:sz w:val="15"/>
                <w:szCs w:val="15"/>
              </w:rPr>
            </w:pPr>
            <w:r>
              <w:rPr>
                <w:rFonts w:ascii="Times New Roman" w:hAnsi="Times New Roman" w:cs="Times New Roman"/>
                <w:sz w:val="15"/>
                <w:szCs w:val="15"/>
              </w:rPr>
              <w:t>16225</w:t>
            </w:r>
          </w:p>
        </w:tc>
        <w:tc>
          <w:tcPr>
            <w:tcW w:w="768" w:type="dxa"/>
          </w:tcPr>
          <w:p>
            <w:pPr>
              <w:rPr>
                <w:rFonts w:ascii="Times New Roman" w:hAnsi="Times New Roman" w:cs="Times New Roman"/>
                <w:sz w:val="15"/>
                <w:szCs w:val="15"/>
              </w:rPr>
            </w:pPr>
            <w:r>
              <w:rPr>
                <w:rFonts w:ascii="Times New Roman" w:hAnsi="Times New Roman" w:cs="Times New Roman"/>
                <w:sz w:val="15"/>
                <w:szCs w:val="15"/>
              </w:rPr>
              <w:t>532</w:t>
            </w:r>
          </w:p>
        </w:tc>
        <w:tc>
          <w:tcPr>
            <w:tcW w:w="726" w:type="dxa"/>
          </w:tcPr>
          <w:p>
            <w:pPr>
              <w:rPr>
                <w:rFonts w:ascii="Times New Roman" w:hAnsi="Times New Roman" w:cs="Times New Roman"/>
                <w:sz w:val="15"/>
                <w:szCs w:val="15"/>
              </w:rPr>
            </w:pPr>
            <w:r>
              <w:rPr>
                <w:rFonts w:ascii="Times New Roman" w:hAnsi="Times New Roman" w:cs="Times New Roman"/>
                <w:sz w:val="15"/>
                <w:szCs w:val="15"/>
              </w:rPr>
              <w:t>16030</w:t>
            </w:r>
          </w:p>
        </w:tc>
        <w:tc>
          <w:tcPr>
            <w:tcW w:w="2942" w:type="dxa"/>
            <w:vMerge w:val="continue"/>
          </w:tcPr>
          <w:p>
            <w:pPr>
              <w:rPr>
                <w:rFonts w:ascii="Times New Roman" w:hAnsi="Times New Roman" w:cs="Times New Roman"/>
                <w:sz w:val="15"/>
                <w:szCs w:val="15"/>
              </w:rPr>
            </w:pPr>
          </w:p>
        </w:tc>
        <w:tc>
          <w:tcPr>
            <w:tcW w:w="1701" w:type="dxa"/>
          </w:tcPr>
          <w:p>
            <w:pPr>
              <w:jc w:val="center"/>
              <w:rPr>
                <w:rFonts w:ascii="Times New Roman" w:hAnsi="Times New Roman" w:cs="Times New Roman"/>
                <w:sz w:val="15"/>
                <w:szCs w:val="15"/>
              </w:rPr>
            </w:pPr>
            <w:r>
              <w:rPr>
                <w:rFonts w:ascii="Times New Roman" w:hAnsi="Times New Roman" w:cs="Times New Roman"/>
                <w:sz w:val="15"/>
                <w:szCs w:val="15"/>
              </w:rPr>
              <w:t>0.91 [0.82, 1.05]</w:t>
            </w:r>
          </w:p>
        </w:tc>
      </w:tr>
      <w:bookmarkEnd w:id="5"/>
    </w:tbl>
    <w:p>
      <w:pPr>
        <w:rPr>
          <w:rFonts w:hint="eastAsia" w:ascii="Times New Roman" w:hAnsi="Times New Roman" w:cs="Times New Roman"/>
          <w:b/>
          <w:bCs/>
          <w:sz w:val="24"/>
          <w:lang w:val="en-US" w:eastAsia="zh-CN"/>
        </w:rPr>
      </w:pPr>
    </w:p>
    <w:p>
      <w:pPr>
        <w:rPr>
          <w:rFonts w:hint="default" w:ascii="Times New Roman" w:hAnsi="Times New Roman" w:cs="Times New Roman" w:eastAsiaTheme="minorEastAsia"/>
          <w:sz w:val="24"/>
          <w:lang w:val="en-US" w:eastAsia="zh-CN"/>
        </w:rPr>
      </w:pPr>
      <w:r>
        <w:rPr>
          <w:rFonts w:hint="eastAsia" w:ascii="Times New Roman" w:hAnsi="Times New Roman" w:cs="Times New Roman"/>
          <w:b/>
          <w:bCs/>
          <w:sz w:val="24"/>
          <w:lang w:val="en-US" w:eastAsia="zh-CN"/>
        </w:rPr>
        <w:t>Supplemental f</w:t>
      </w:r>
      <w:r>
        <w:rPr>
          <w:rFonts w:ascii="Times New Roman" w:hAnsi="Times New Roman" w:cs="Times New Roman"/>
          <w:b/>
          <w:bCs/>
          <w:sz w:val="24"/>
        </w:rPr>
        <w:t xml:space="preserve">igure </w:t>
      </w:r>
      <w:r>
        <w:rPr>
          <w:rFonts w:hint="eastAsia" w:ascii="Times New Roman" w:hAnsi="Times New Roman" w:cs="Times New Roman"/>
          <w:b/>
          <w:bCs/>
          <w:sz w:val="24"/>
        </w:rPr>
        <w:t>2</w:t>
      </w:r>
      <w:r>
        <w:rPr>
          <w:rFonts w:ascii="Times New Roman" w:hAnsi="Times New Roman" w:cs="Times New Roman"/>
          <w:sz w:val="24"/>
        </w:rPr>
        <w:t xml:space="preserve">  </w:t>
      </w:r>
      <w:r>
        <w:rPr>
          <w:rFonts w:hint="eastAsia" w:ascii="Times New Roman" w:hAnsi="Times New Roman" w:cs="Times New Roman"/>
          <w:sz w:val="24"/>
        </w:rPr>
        <w:t xml:space="preserve">Risk of cancer incidence associated with </w:t>
      </w:r>
      <w:r>
        <w:rPr>
          <w:rFonts w:hint="eastAsia" w:ascii="Times New Roman" w:hAnsi="Times New Roman" w:cs="Times New Roman"/>
          <w:sz w:val="24"/>
          <w:lang w:val="en-US" w:eastAsia="zh-CN"/>
        </w:rPr>
        <w:t>different types of</w:t>
      </w:r>
      <w:r>
        <w:rPr>
          <w:rFonts w:hint="eastAsia" w:ascii="Times New Roman" w:hAnsi="Times New Roman" w:cs="Times New Roman"/>
          <w:sz w:val="24"/>
        </w:rPr>
        <w:t xml:space="preserve"> stains</w:t>
      </w:r>
      <w:r>
        <w:rPr>
          <w:rFonts w:hint="eastAsia" w:ascii="Times New Roman" w:hAnsi="Times New Roman" w:cs="Times New Roman"/>
          <w:sz w:val="24"/>
          <w:lang w:val="en-US" w:eastAsia="zh-CN"/>
        </w:rPr>
        <w:t xml:space="preserve"> and duration of statin treatment.</w:t>
      </w:r>
    </w:p>
    <w:p/>
    <w:p/>
    <w:p/>
    <w:p/>
    <w:p/>
    <w:p/>
    <w:p>
      <w:pPr>
        <w:rPr>
          <w:rFonts w:hint="eastAsia" w:eastAsiaTheme="minorEastAsia"/>
          <w:lang w:val="en-US" w:eastAsia="zh-CN"/>
        </w:rPr>
      </w:pPr>
      <w:r>
        <w:rPr>
          <w:rFonts w:hint="eastAsia" w:ascii="Times New Roman" w:hAnsi="Times New Roman" w:cs="Times New Roman"/>
          <w:b/>
          <w:bCs/>
          <w:sz w:val="24"/>
          <w:lang w:val="en-US" w:eastAsia="zh-CN"/>
        </w:rPr>
        <w:t>1.3   Supplemental f</w:t>
      </w:r>
      <w:r>
        <w:rPr>
          <w:rFonts w:ascii="Times New Roman" w:hAnsi="Times New Roman" w:cs="Times New Roman"/>
          <w:b/>
          <w:bCs/>
          <w:sz w:val="24"/>
        </w:rPr>
        <w:t xml:space="preserve">igure </w:t>
      </w:r>
      <w:r>
        <w:rPr>
          <w:rFonts w:hint="eastAsia" w:ascii="Times New Roman" w:hAnsi="Times New Roman" w:cs="Times New Roman"/>
          <w:b/>
          <w:bCs/>
          <w:sz w:val="24"/>
          <w:lang w:val="en-US" w:eastAsia="zh-CN"/>
        </w:rPr>
        <w:t>3</w:t>
      </w:r>
    </w:p>
    <w:p/>
    <w:tbl>
      <w:tblPr>
        <w:tblStyle w:val="9"/>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679"/>
        <w:gridCol w:w="669"/>
        <w:gridCol w:w="682"/>
        <w:gridCol w:w="650"/>
        <w:gridCol w:w="3093"/>
        <w:gridCol w:w="1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single" w:color="auto" w:sz="12" w:space="0"/>
              <w:left w:val="nil"/>
              <w:bottom w:val="nil"/>
              <w:right w:val="nil"/>
            </w:tcBorders>
          </w:tcPr>
          <w:p>
            <w:pPr>
              <w:jc w:val="center"/>
              <w:rPr>
                <w:rFonts w:ascii="Times New Roman" w:hAnsi="Times New Roman" w:cs="Times New Roman"/>
                <w:b/>
                <w:bCs/>
                <w:sz w:val="16"/>
                <w:szCs w:val="16"/>
              </w:rPr>
            </w:pPr>
          </w:p>
        </w:tc>
        <w:tc>
          <w:tcPr>
            <w:tcW w:w="1348" w:type="dxa"/>
            <w:gridSpan w:val="2"/>
            <w:tcBorders>
              <w:top w:val="single" w:color="auto" w:sz="12"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Statin</w:t>
            </w:r>
          </w:p>
        </w:tc>
        <w:tc>
          <w:tcPr>
            <w:tcW w:w="1332" w:type="dxa"/>
            <w:gridSpan w:val="2"/>
            <w:tcBorders>
              <w:top w:val="single" w:color="auto" w:sz="12"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Non-statin</w:t>
            </w:r>
          </w:p>
        </w:tc>
        <w:tc>
          <w:tcPr>
            <w:tcW w:w="3093" w:type="dxa"/>
            <w:tcBorders>
              <w:top w:val="single" w:color="auto" w:sz="12" w:space="0"/>
              <w:left w:val="nil"/>
              <w:bottom w:val="nil"/>
              <w:right w:val="nil"/>
            </w:tcBorders>
          </w:tcPr>
          <w:p>
            <w:pPr>
              <w:jc w:val="center"/>
              <w:rPr>
                <w:rFonts w:ascii="Times New Roman" w:hAnsi="Times New Roman" w:cs="Times New Roman"/>
                <w:b/>
                <w:bCs/>
                <w:sz w:val="16"/>
                <w:szCs w:val="16"/>
              </w:rPr>
            </w:pPr>
          </w:p>
        </w:tc>
        <w:tc>
          <w:tcPr>
            <w:tcW w:w="1726" w:type="dxa"/>
            <w:vMerge w:val="restart"/>
            <w:tcBorders>
              <w:top w:val="single" w:color="auto" w:sz="12" w:space="0"/>
              <w:left w:val="nil"/>
              <w:bottom w:val="nil"/>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Odds Ratio</w:t>
            </w:r>
          </w:p>
          <w:p>
            <w:pPr>
              <w:jc w:val="center"/>
              <w:rPr>
                <w:rFonts w:ascii="Times New Roman" w:hAnsi="Times New Roman" w:cs="Times New Roman"/>
                <w:b/>
                <w:bCs/>
                <w:sz w:val="16"/>
                <w:szCs w:val="16"/>
              </w:rPr>
            </w:pPr>
            <w:r>
              <w:rPr>
                <w:rFonts w:ascii="Times New Roman" w:hAnsi="Times New Roman" w:cs="Times New Roman"/>
                <w:b/>
                <w:bCs/>
                <w:sz w:val="16"/>
                <w:szCs w:val="16"/>
              </w:rPr>
              <w:t>M-H, FIxed, 95%CI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Characteristics</w:t>
            </w:r>
          </w:p>
        </w:tc>
        <w:tc>
          <w:tcPr>
            <w:tcW w:w="679" w:type="dxa"/>
            <w:tcBorders>
              <w:top w:val="single" w:color="auto" w:sz="6"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669" w:type="dxa"/>
            <w:tcBorders>
              <w:top w:val="single" w:color="auto" w:sz="6"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682" w:type="dxa"/>
            <w:tcBorders>
              <w:top w:val="single" w:color="auto" w:sz="6"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650" w:type="dxa"/>
            <w:tcBorders>
              <w:top w:val="single" w:color="auto" w:sz="6" w:space="0"/>
              <w:left w:val="nil"/>
              <w:bottom w:val="single" w:color="auto" w:sz="6" w:space="0"/>
              <w:right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3093" w:type="dxa"/>
            <w:tcBorders>
              <w:top w:val="nil"/>
              <w:left w:val="nil"/>
              <w:bottom w:val="single" w:color="auto" w:sz="6" w:space="0"/>
              <w:right w:val="nil"/>
            </w:tcBorders>
          </w:tcPr>
          <w:p>
            <w:pPr>
              <w:jc w:val="center"/>
              <w:rPr>
                <w:rFonts w:ascii="Times New Roman" w:hAnsi="Times New Roman" w:cs="Times New Roman"/>
                <w:b/>
                <w:bCs/>
                <w:sz w:val="16"/>
                <w:szCs w:val="16"/>
              </w:rPr>
            </w:pPr>
          </w:p>
        </w:tc>
        <w:tc>
          <w:tcPr>
            <w:tcW w:w="1726" w:type="dxa"/>
            <w:vMerge w:val="continue"/>
            <w:tcBorders>
              <w:top w:val="nil"/>
              <w:left w:val="nil"/>
              <w:bottom w:val="single" w:color="auto" w:sz="6" w:space="0"/>
              <w:right w:val="nil"/>
            </w:tcBorders>
          </w:tcPr>
          <w:p>
            <w:pPr>
              <w:jc w:val="center"/>
              <w:rPr>
                <w:rFonts w:ascii="Times New Roman" w:hAnsi="Times New Roman" w:cs="Times New Roman"/>
                <w:b/>
                <w:bCs/>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single" w:color="auto" w:sz="6" w:space="0"/>
              <w:left w:val="nil"/>
              <w:bottom w:val="nil"/>
              <w:right w:val="nil"/>
            </w:tcBorders>
          </w:tcPr>
          <w:p>
            <w:pPr>
              <w:jc w:val="center"/>
              <w:rPr>
                <w:rFonts w:ascii="Times New Roman" w:hAnsi="Times New Roman" w:cs="Times New Roman"/>
                <w:b/>
                <w:bCs/>
                <w:sz w:val="15"/>
                <w:szCs w:val="15"/>
              </w:rPr>
            </w:pPr>
            <w:r>
              <w:rPr>
                <w:rFonts w:ascii="Times New Roman" w:hAnsi="Times New Roman" w:cs="Times New Roman"/>
                <w:b/>
                <w:bCs/>
                <w:sz w:val="15"/>
                <w:szCs w:val="15"/>
              </w:rPr>
              <w:t>Statin type</w:t>
            </w:r>
          </w:p>
        </w:tc>
        <w:tc>
          <w:tcPr>
            <w:tcW w:w="679" w:type="dxa"/>
            <w:tcBorders>
              <w:top w:val="single" w:color="auto" w:sz="6" w:space="0"/>
              <w:left w:val="nil"/>
              <w:bottom w:val="nil"/>
              <w:right w:val="nil"/>
            </w:tcBorders>
          </w:tcPr>
          <w:p>
            <w:pPr>
              <w:rPr>
                <w:rFonts w:ascii="Times New Roman" w:hAnsi="Times New Roman" w:cs="Times New Roman"/>
                <w:sz w:val="15"/>
                <w:szCs w:val="15"/>
              </w:rPr>
            </w:pPr>
          </w:p>
        </w:tc>
        <w:tc>
          <w:tcPr>
            <w:tcW w:w="669" w:type="dxa"/>
            <w:tcBorders>
              <w:top w:val="single" w:color="auto" w:sz="6" w:space="0"/>
              <w:left w:val="nil"/>
              <w:bottom w:val="nil"/>
              <w:right w:val="nil"/>
            </w:tcBorders>
          </w:tcPr>
          <w:p>
            <w:pPr>
              <w:rPr>
                <w:rFonts w:ascii="Times New Roman" w:hAnsi="Times New Roman" w:cs="Times New Roman"/>
                <w:sz w:val="15"/>
                <w:szCs w:val="15"/>
              </w:rPr>
            </w:pPr>
          </w:p>
        </w:tc>
        <w:tc>
          <w:tcPr>
            <w:tcW w:w="682" w:type="dxa"/>
            <w:tcBorders>
              <w:top w:val="single" w:color="auto" w:sz="6" w:space="0"/>
              <w:left w:val="nil"/>
              <w:bottom w:val="nil"/>
              <w:right w:val="nil"/>
            </w:tcBorders>
          </w:tcPr>
          <w:p>
            <w:pPr>
              <w:rPr>
                <w:rFonts w:ascii="Times New Roman" w:hAnsi="Times New Roman" w:cs="Times New Roman"/>
                <w:sz w:val="15"/>
                <w:szCs w:val="15"/>
              </w:rPr>
            </w:pPr>
          </w:p>
        </w:tc>
        <w:tc>
          <w:tcPr>
            <w:tcW w:w="650" w:type="dxa"/>
            <w:tcBorders>
              <w:top w:val="single" w:color="auto" w:sz="6" w:space="0"/>
              <w:left w:val="nil"/>
              <w:bottom w:val="nil"/>
              <w:right w:val="nil"/>
            </w:tcBorders>
          </w:tcPr>
          <w:p>
            <w:pPr>
              <w:rPr>
                <w:rFonts w:ascii="Times New Roman" w:hAnsi="Times New Roman" w:cs="Times New Roman"/>
                <w:sz w:val="15"/>
                <w:szCs w:val="15"/>
              </w:rPr>
            </w:pPr>
          </w:p>
        </w:tc>
        <w:tc>
          <w:tcPr>
            <w:tcW w:w="3093" w:type="dxa"/>
            <w:vMerge w:val="restart"/>
            <w:tcBorders>
              <w:top w:val="single" w:color="auto" w:sz="6" w:space="0"/>
              <w:left w:val="nil"/>
              <w:right w:val="nil"/>
            </w:tcBorders>
          </w:tcPr>
          <w:p>
            <w:pPr>
              <w:rPr>
                <w:rFonts w:ascii="Times New Roman" w:hAnsi="Times New Roman" w:cs="Times New Roman"/>
                <w:sz w:val="15"/>
                <w:szCs w:val="15"/>
              </w:rPr>
            </w:pPr>
            <w:r>
              <w:drawing>
                <wp:inline distT="0" distB="0" distL="0" distR="0">
                  <wp:extent cx="1958340" cy="1452245"/>
                  <wp:effectExtent l="0" t="0" r="3810" b="0"/>
                  <wp:docPr id="28076348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1726" w:type="dxa"/>
            <w:tcBorders>
              <w:top w:val="single" w:color="auto" w:sz="6" w:space="0"/>
              <w:left w:val="nil"/>
              <w:bottom w:val="nil"/>
              <w:right w:val="nil"/>
            </w:tcBorders>
          </w:tcPr>
          <w:p>
            <w:pPr>
              <w:jc w:val="center"/>
              <w:rPr>
                <w:rFonts w:ascii="Times New Roman" w:hAnsi="Times New Roman"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nil"/>
              <w:right w:val="nil"/>
            </w:tcBorders>
          </w:tcPr>
          <w:p>
            <w:pPr>
              <w:jc w:val="center"/>
              <w:rPr>
                <w:rFonts w:ascii="Times New Roman" w:hAnsi="Times New Roman" w:cs="Times New Roman"/>
                <w:sz w:val="15"/>
                <w:szCs w:val="15"/>
              </w:rPr>
            </w:pPr>
            <w:r>
              <w:rPr>
                <w:rFonts w:ascii="Times New Roman" w:hAnsi="Times New Roman" w:cs="Times New Roman"/>
                <w:sz w:val="15"/>
                <w:szCs w:val="15"/>
              </w:rPr>
              <w:t>Lipophilic</w:t>
            </w:r>
          </w:p>
        </w:tc>
        <w:tc>
          <w:tcPr>
            <w:tcW w:w="67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5</w:t>
            </w:r>
            <w:r>
              <w:rPr>
                <w:rFonts w:ascii="Times New Roman" w:hAnsi="Times New Roman" w:cs="Times New Roman"/>
                <w:sz w:val="15"/>
                <w:szCs w:val="15"/>
              </w:rPr>
              <w:t>86</w:t>
            </w:r>
          </w:p>
        </w:tc>
        <w:tc>
          <w:tcPr>
            <w:tcW w:w="66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2</w:t>
            </w:r>
            <w:r>
              <w:rPr>
                <w:rFonts w:ascii="Times New Roman" w:hAnsi="Times New Roman" w:cs="Times New Roman"/>
                <w:sz w:val="15"/>
                <w:szCs w:val="15"/>
              </w:rPr>
              <w:t>3113</w:t>
            </w:r>
          </w:p>
        </w:tc>
        <w:tc>
          <w:tcPr>
            <w:tcW w:w="682"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5</w:t>
            </w:r>
            <w:r>
              <w:rPr>
                <w:rFonts w:ascii="Times New Roman" w:hAnsi="Times New Roman" w:cs="Times New Roman"/>
                <w:sz w:val="15"/>
                <w:szCs w:val="15"/>
              </w:rPr>
              <w:t>94</w:t>
            </w:r>
          </w:p>
        </w:tc>
        <w:tc>
          <w:tcPr>
            <w:tcW w:w="650"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2</w:t>
            </w:r>
            <w:r>
              <w:rPr>
                <w:rFonts w:ascii="Times New Roman" w:hAnsi="Times New Roman" w:cs="Times New Roman"/>
                <w:sz w:val="15"/>
                <w:szCs w:val="15"/>
              </w:rPr>
              <w:t>3070</w:t>
            </w:r>
          </w:p>
        </w:tc>
        <w:tc>
          <w:tcPr>
            <w:tcW w:w="3093" w:type="dxa"/>
            <w:vMerge w:val="continue"/>
            <w:tcBorders>
              <w:left w:val="nil"/>
              <w:right w:val="nil"/>
            </w:tcBorders>
          </w:tcPr>
          <w:p>
            <w:pPr>
              <w:rPr>
                <w:rFonts w:ascii="Times New Roman" w:hAnsi="Times New Roman" w:cs="Times New Roman"/>
                <w:sz w:val="15"/>
                <w:szCs w:val="15"/>
              </w:rPr>
            </w:pPr>
          </w:p>
        </w:tc>
        <w:tc>
          <w:tcPr>
            <w:tcW w:w="1726" w:type="dxa"/>
            <w:tcBorders>
              <w:top w:val="nil"/>
              <w:left w:val="nil"/>
              <w:bottom w:val="nil"/>
              <w:right w:val="nil"/>
            </w:tcBorders>
          </w:tcPr>
          <w:p>
            <w:pPr>
              <w:jc w:val="center"/>
              <w:rPr>
                <w:rFonts w:ascii="Times New Roman" w:hAnsi="Times New Roman" w:cs="Times New Roman"/>
                <w:sz w:val="15"/>
                <w:szCs w:val="15"/>
              </w:rPr>
            </w:pPr>
            <w:r>
              <w:rPr>
                <w:rFonts w:hint="eastAsia" w:ascii="Times New Roman" w:hAnsi="Times New Roman" w:cs="Times New Roman"/>
                <w:sz w:val="15"/>
                <w:szCs w:val="15"/>
              </w:rPr>
              <w:t>0</w:t>
            </w:r>
            <w:r>
              <w:rPr>
                <w:rFonts w:ascii="Times New Roman" w:hAnsi="Times New Roman" w:cs="Times New Roman"/>
                <w:sz w:val="15"/>
                <w:szCs w:val="15"/>
              </w:rPr>
              <w:t>.99 [0.88, 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nil"/>
              <w:right w:val="nil"/>
            </w:tcBorders>
          </w:tcPr>
          <w:p>
            <w:pPr>
              <w:jc w:val="center"/>
              <w:rPr>
                <w:rFonts w:ascii="Times New Roman" w:hAnsi="Times New Roman" w:cs="Times New Roman"/>
                <w:sz w:val="15"/>
                <w:szCs w:val="15"/>
              </w:rPr>
            </w:pPr>
            <w:r>
              <w:rPr>
                <w:rFonts w:ascii="Times New Roman" w:hAnsi="Times New Roman" w:cs="Times New Roman"/>
                <w:sz w:val="15"/>
                <w:szCs w:val="15"/>
              </w:rPr>
              <w:t>Hydrophilic</w:t>
            </w:r>
          </w:p>
        </w:tc>
        <w:tc>
          <w:tcPr>
            <w:tcW w:w="67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6</w:t>
            </w:r>
            <w:r>
              <w:rPr>
                <w:rFonts w:ascii="Times New Roman" w:hAnsi="Times New Roman" w:cs="Times New Roman"/>
                <w:sz w:val="15"/>
                <w:szCs w:val="15"/>
              </w:rPr>
              <w:t>41</w:t>
            </w:r>
          </w:p>
        </w:tc>
        <w:tc>
          <w:tcPr>
            <w:tcW w:w="66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3</w:t>
            </w:r>
            <w:r>
              <w:rPr>
                <w:rFonts w:ascii="Times New Roman" w:hAnsi="Times New Roman" w:cs="Times New Roman"/>
                <w:sz w:val="15"/>
                <w:szCs w:val="15"/>
              </w:rPr>
              <w:t>3006</w:t>
            </w:r>
          </w:p>
        </w:tc>
        <w:tc>
          <w:tcPr>
            <w:tcW w:w="682"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6</w:t>
            </w:r>
            <w:r>
              <w:rPr>
                <w:rFonts w:ascii="Times New Roman" w:hAnsi="Times New Roman" w:cs="Times New Roman"/>
                <w:sz w:val="15"/>
                <w:szCs w:val="15"/>
              </w:rPr>
              <w:t>37</w:t>
            </w:r>
          </w:p>
        </w:tc>
        <w:tc>
          <w:tcPr>
            <w:tcW w:w="650"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3</w:t>
            </w:r>
            <w:r>
              <w:rPr>
                <w:rFonts w:ascii="Times New Roman" w:hAnsi="Times New Roman" w:cs="Times New Roman"/>
                <w:sz w:val="15"/>
                <w:szCs w:val="15"/>
              </w:rPr>
              <w:t>2377</w:t>
            </w:r>
          </w:p>
        </w:tc>
        <w:tc>
          <w:tcPr>
            <w:tcW w:w="3093" w:type="dxa"/>
            <w:vMerge w:val="continue"/>
            <w:tcBorders>
              <w:left w:val="nil"/>
              <w:right w:val="nil"/>
            </w:tcBorders>
          </w:tcPr>
          <w:p>
            <w:pPr>
              <w:rPr>
                <w:rFonts w:ascii="Times New Roman" w:hAnsi="Times New Roman" w:cs="Times New Roman"/>
                <w:sz w:val="15"/>
                <w:szCs w:val="15"/>
              </w:rPr>
            </w:pPr>
          </w:p>
        </w:tc>
        <w:tc>
          <w:tcPr>
            <w:tcW w:w="1726" w:type="dxa"/>
            <w:tcBorders>
              <w:top w:val="nil"/>
              <w:left w:val="nil"/>
              <w:bottom w:val="nil"/>
              <w:right w:val="nil"/>
            </w:tcBorders>
          </w:tcPr>
          <w:p>
            <w:pPr>
              <w:jc w:val="center"/>
              <w:rPr>
                <w:rFonts w:ascii="Times New Roman" w:hAnsi="Times New Roman" w:cs="Times New Roman"/>
                <w:sz w:val="15"/>
                <w:szCs w:val="15"/>
              </w:rPr>
            </w:pPr>
            <w:r>
              <w:rPr>
                <w:rFonts w:hint="eastAsia" w:ascii="Times New Roman" w:hAnsi="Times New Roman" w:cs="Times New Roman"/>
                <w:sz w:val="15"/>
                <w:szCs w:val="15"/>
              </w:rPr>
              <w:t>0</w:t>
            </w:r>
            <w:r>
              <w:rPr>
                <w:rFonts w:ascii="Times New Roman" w:hAnsi="Times New Roman" w:cs="Times New Roman"/>
                <w:sz w:val="15"/>
                <w:szCs w:val="15"/>
              </w:rPr>
              <w:t>.99 [0.89, 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nil"/>
              <w:right w:val="nil"/>
            </w:tcBorders>
          </w:tcPr>
          <w:p>
            <w:pPr>
              <w:jc w:val="center"/>
              <w:rPr>
                <w:rFonts w:ascii="Times New Roman" w:hAnsi="Times New Roman" w:cs="Times New Roman"/>
                <w:b/>
                <w:bCs/>
                <w:sz w:val="15"/>
                <w:szCs w:val="15"/>
              </w:rPr>
            </w:pPr>
            <w:r>
              <w:rPr>
                <w:rFonts w:ascii="Times New Roman" w:hAnsi="Times New Roman" w:cs="Times New Roman"/>
                <w:b/>
                <w:bCs/>
                <w:sz w:val="15"/>
                <w:szCs w:val="15"/>
              </w:rPr>
              <w:t>Duration</w:t>
            </w:r>
          </w:p>
        </w:tc>
        <w:tc>
          <w:tcPr>
            <w:tcW w:w="679" w:type="dxa"/>
            <w:tcBorders>
              <w:top w:val="nil"/>
              <w:left w:val="nil"/>
              <w:bottom w:val="nil"/>
              <w:right w:val="nil"/>
            </w:tcBorders>
          </w:tcPr>
          <w:p>
            <w:pPr>
              <w:rPr>
                <w:rFonts w:ascii="Times New Roman" w:hAnsi="Times New Roman" w:cs="Times New Roman"/>
                <w:sz w:val="15"/>
                <w:szCs w:val="15"/>
              </w:rPr>
            </w:pPr>
          </w:p>
        </w:tc>
        <w:tc>
          <w:tcPr>
            <w:tcW w:w="669" w:type="dxa"/>
            <w:tcBorders>
              <w:top w:val="nil"/>
              <w:left w:val="nil"/>
              <w:bottom w:val="nil"/>
              <w:right w:val="nil"/>
            </w:tcBorders>
          </w:tcPr>
          <w:p>
            <w:pPr>
              <w:rPr>
                <w:rFonts w:ascii="Times New Roman" w:hAnsi="Times New Roman" w:cs="Times New Roman"/>
                <w:sz w:val="15"/>
                <w:szCs w:val="15"/>
              </w:rPr>
            </w:pPr>
          </w:p>
        </w:tc>
        <w:tc>
          <w:tcPr>
            <w:tcW w:w="682" w:type="dxa"/>
            <w:tcBorders>
              <w:top w:val="nil"/>
              <w:left w:val="nil"/>
              <w:bottom w:val="nil"/>
              <w:right w:val="nil"/>
            </w:tcBorders>
          </w:tcPr>
          <w:p>
            <w:pPr>
              <w:rPr>
                <w:rFonts w:ascii="Times New Roman" w:hAnsi="Times New Roman" w:cs="Times New Roman"/>
                <w:sz w:val="15"/>
                <w:szCs w:val="15"/>
              </w:rPr>
            </w:pPr>
          </w:p>
        </w:tc>
        <w:tc>
          <w:tcPr>
            <w:tcW w:w="650" w:type="dxa"/>
            <w:tcBorders>
              <w:top w:val="nil"/>
              <w:left w:val="nil"/>
              <w:bottom w:val="nil"/>
              <w:right w:val="nil"/>
            </w:tcBorders>
          </w:tcPr>
          <w:p>
            <w:pPr>
              <w:rPr>
                <w:rFonts w:ascii="Times New Roman" w:hAnsi="Times New Roman" w:cs="Times New Roman"/>
                <w:sz w:val="15"/>
                <w:szCs w:val="15"/>
              </w:rPr>
            </w:pPr>
          </w:p>
        </w:tc>
        <w:tc>
          <w:tcPr>
            <w:tcW w:w="3093" w:type="dxa"/>
            <w:vMerge w:val="continue"/>
            <w:tcBorders>
              <w:left w:val="nil"/>
              <w:right w:val="nil"/>
            </w:tcBorders>
          </w:tcPr>
          <w:p>
            <w:pPr>
              <w:rPr>
                <w:rFonts w:ascii="Times New Roman" w:hAnsi="Times New Roman" w:cs="Times New Roman"/>
                <w:sz w:val="15"/>
                <w:szCs w:val="15"/>
              </w:rPr>
            </w:pPr>
          </w:p>
        </w:tc>
        <w:tc>
          <w:tcPr>
            <w:tcW w:w="1726" w:type="dxa"/>
            <w:tcBorders>
              <w:top w:val="nil"/>
              <w:left w:val="nil"/>
              <w:bottom w:val="nil"/>
              <w:right w:val="nil"/>
            </w:tcBorders>
          </w:tcPr>
          <w:p>
            <w:pPr>
              <w:jc w:val="center"/>
              <w:rPr>
                <w:rFonts w:ascii="Times New Roman" w:hAnsi="Times New Roman"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nil"/>
              <w:right w:val="nil"/>
            </w:tcBorders>
          </w:tcPr>
          <w:p>
            <w:pPr>
              <w:jc w:val="center"/>
              <w:rPr>
                <w:rFonts w:ascii="Times New Roman" w:hAnsi="Times New Roman" w:cs="Times New Roman"/>
                <w:sz w:val="15"/>
                <w:szCs w:val="15"/>
              </w:rPr>
            </w:pPr>
            <w:r>
              <w:rPr>
                <w:rFonts w:ascii="Times New Roman" w:hAnsi="Times New Roman" w:cs="Times New Roman"/>
                <w:sz w:val="15"/>
                <w:szCs w:val="15"/>
              </w:rPr>
              <w:t>≥4 years</w:t>
            </w:r>
          </w:p>
        </w:tc>
        <w:tc>
          <w:tcPr>
            <w:tcW w:w="67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8</w:t>
            </w:r>
            <w:r>
              <w:rPr>
                <w:rFonts w:ascii="Times New Roman" w:hAnsi="Times New Roman" w:cs="Times New Roman"/>
                <w:sz w:val="15"/>
                <w:szCs w:val="15"/>
              </w:rPr>
              <w:t>94</w:t>
            </w:r>
          </w:p>
        </w:tc>
        <w:tc>
          <w:tcPr>
            <w:tcW w:w="669"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3</w:t>
            </w:r>
            <w:r>
              <w:rPr>
                <w:rFonts w:ascii="Times New Roman" w:hAnsi="Times New Roman" w:cs="Times New Roman"/>
                <w:sz w:val="15"/>
                <w:szCs w:val="15"/>
              </w:rPr>
              <w:t>3602</w:t>
            </w:r>
          </w:p>
        </w:tc>
        <w:tc>
          <w:tcPr>
            <w:tcW w:w="682"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8</w:t>
            </w:r>
            <w:r>
              <w:rPr>
                <w:rFonts w:ascii="Times New Roman" w:hAnsi="Times New Roman" w:cs="Times New Roman"/>
                <w:sz w:val="15"/>
                <w:szCs w:val="15"/>
              </w:rPr>
              <w:t>81</w:t>
            </w:r>
          </w:p>
        </w:tc>
        <w:tc>
          <w:tcPr>
            <w:tcW w:w="650" w:type="dxa"/>
            <w:tcBorders>
              <w:top w:val="nil"/>
              <w:left w:val="nil"/>
              <w:bottom w:val="nil"/>
              <w:right w:val="nil"/>
            </w:tcBorders>
          </w:tcPr>
          <w:p>
            <w:pPr>
              <w:rPr>
                <w:rFonts w:ascii="Times New Roman" w:hAnsi="Times New Roman" w:cs="Times New Roman"/>
                <w:sz w:val="15"/>
                <w:szCs w:val="15"/>
              </w:rPr>
            </w:pPr>
            <w:r>
              <w:rPr>
                <w:rFonts w:hint="eastAsia" w:ascii="Times New Roman" w:hAnsi="Times New Roman" w:cs="Times New Roman"/>
                <w:sz w:val="15"/>
                <w:szCs w:val="15"/>
              </w:rPr>
              <w:t>3</w:t>
            </w:r>
            <w:r>
              <w:rPr>
                <w:rFonts w:ascii="Times New Roman" w:hAnsi="Times New Roman" w:cs="Times New Roman"/>
                <w:sz w:val="15"/>
                <w:szCs w:val="15"/>
              </w:rPr>
              <w:t>3017</w:t>
            </w:r>
          </w:p>
        </w:tc>
        <w:tc>
          <w:tcPr>
            <w:tcW w:w="3093" w:type="dxa"/>
            <w:vMerge w:val="continue"/>
            <w:tcBorders>
              <w:left w:val="nil"/>
              <w:right w:val="nil"/>
            </w:tcBorders>
          </w:tcPr>
          <w:p>
            <w:pPr>
              <w:rPr>
                <w:rFonts w:ascii="Times New Roman" w:hAnsi="Times New Roman" w:cs="Times New Roman"/>
                <w:sz w:val="15"/>
                <w:szCs w:val="15"/>
              </w:rPr>
            </w:pPr>
          </w:p>
        </w:tc>
        <w:tc>
          <w:tcPr>
            <w:tcW w:w="1726" w:type="dxa"/>
            <w:tcBorders>
              <w:top w:val="nil"/>
              <w:left w:val="nil"/>
              <w:bottom w:val="nil"/>
              <w:right w:val="nil"/>
            </w:tcBorders>
          </w:tcPr>
          <w:p>
            <w:pPr>
              <w:jc w:val="center"/>
              <w:rPr>
                <w:rFonts w:ascii="Times New Roman" w:hAnsi="Times New Roman" w:cs="Times New Roman"/>
                <w:sz w:val="15"/>
                <w:szCs w:val="15"/>
              </w:rPr>
            </w:pPr>
            <w:r>
              <w:rPr>
                <w:rFonts w:hint="eastAsia" w:ascii="Times New Roman" w:hAnsi="Times New Roman" w:cs="Times New Roman"/>
                <w:sz w:val="15"/>
                <w:szCs w:val="15"/>
              </w:rPr>
              <w:t>1</w:t>
            </w:r>
            <w:r>
              <w:rPr>
                <w:rFonts w:ascii="Times New Roman" w:hAnsi="Times New Roman" w:cs="Times New Roman"/>
                <w:sz w:val="15"/>
                <w:szCs w:val="15"/>
              </w:rPr>
              <w:t>.01 [0.91, 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6" w:type="dxa"/>
            <w:tcBorders>
              <w:top w:val="nil"/>
              <w:left w:val="nil"/>
              <w:bottom w:val="single" w:color="auto" w:sz="12" w:space="0"/>
              <w:right w:val="nil"/>
            </w:tcBorders>
          </w:tcPr>
          <w:p>
            <w:pPr>
              <w:jc w:val="center"/>
              <w:rPr>
                <w:rFonts w:ascii="Times New Roman" w:hAnsi="Times New Roman" w:cs="Times New Roman"/>
                <w:sz w:val="15"/>
                <w:szCs w:val="15"/>
              </w:rPr>
            </w:pPr>
            <w:r>
              <w:rPr>
                <w:rFonts w:ascii="Times New Roman" w:hAnsi="Times New Roman" w:cs="Times New Roman"/>
                <w:sz w:val="15"/>
                <w:szCs w:val="15"/>
              </w:rPr>
              <w:t>＜4years</w:t>
            </w:r>
          </w:p>
        </w:tc>
        <w:tc>
          <w:tcPr>
            <w:tcW w:w="679" w:type="dxa"/>
            <w:tcBorders>
              <w:top w:val="nil"/>
              <w:left w:val="nil"/>
              <w:bottom w:val="single" w:color="auto" w:sz="12" w:space="0"/>
              <w:right w:val="nil"/>
            </w:tcBorders>
          </w:tcPr>
          <w:p>
            <w:pPr>
              <w:rPr>
                <w:rFonts w:ascii="Times New Roman" w:hAnsi="Times New Roman" w:cs="Times New Roman"/>
                <w:sz w:val="15"/>
                <w:szCs w:val="15"/>
              </w:rPr>
            </w:pPr>
            <w:r>
              <w:rPr>
                <w:rFonts w:hint="eastAsia" w:ascii="Times New Roman" w:hAnsi="Times New Roman" w:cs="Times New Roman"/>
                <w:sz w:val="15"/>
                <w:szCs w:val="15"/>
              </w:rPr>
              <w:t>4</w:t>
            </w:r>
            <w:r>
              <w:rPr>
                <w:rFonts w:ascii="Times New Roman" w:hAnsi="Times New Roman" w:cs="Times New Roman"/>
                <w:sz w:val="15"/>
                <w:szCs w:val="15"/>
              </w:rPr>
              <w:t>04</w:t>
            </w:r>
          </w:p>
        </w:tc>
        <w:tc>
          <w:tcPr>
            <w:tcW w:w="669" w:type="dxa"/>
            <w:tcBorders>
              <w:top w:val="nil"/>
              <w:left w:val="nil"/>
              <w:bottom w:val="single" w:color="auto" w:sz="12" w:space="0"/>
              <w:right w:val="nil"/>
            </w:tcBorders>
          </w:tcPr>
          <w:p>
            <w:pPr>
              <w:rPr>
                <w:rFonts w:ascii="Times New Roman" w:hAnsi="Times New Roman" w:cs="Times New Roman"/>
                <w:sz w:val="15"/>
                <w:szCs w:val="15"/>
              </w:rPr>
            </w:pPr>
            <w:r>
              <w:rPr>
                <w:rFonts w:hint="eastAsia" w:ascii="Times New Roman" w:hAnsi="Times New Roman" w:cs="Times New Roman"/>
                <w:sz w:val="15"/>
                <w:szCs w:val="15"/>
              </w:rPr>
              <w:t>2</w:t>
            </w:r>
            <w:r>
              <w:rPr>
                <w:rFonts w:ascii="Times New Roman" w:hAnsi="Times New Roman" w:cs="Times New Roman"/>
                <w:sz w:val="15"/>
                <w:szCs w:val="15"/>
              </w:rPr>
              <w:t>5696</w:t>
            </w:r>
          </w:p>
        </w:tc>
        <w:tc>
          <w:tcPr>
            <w:tcW w:w="682" w:type="dxa"/>
            <w:tcBorders>
              <w:top w:val="nil"/>
              <w:left w:val="nil"/>
              <w:bottom w:val="single" w:color="auto" w:sz="12" w:space="0"/>
              <w:right w:val="nil"/>
            </w:tcBorders>
          </w:tcPr>
          <w:p>
            <w:pPr>
              <w:rPr>
                <w:rFonts w:ascii="Times New Roman" w:hAnsi="Times New Roman" w:cs="Times New Roman"/>
                <w:sz w:val="15"/>
                <w:szCs w:val="15"/>
              </w:rPr>
            </w:pPr>
            <w:r>
              <w:rPr>
                <w:rFonts w:hint="eastAsia" w:ascii="Times New Roman" w:hAnsi="Times New Roman" w:cs="Times New Roman"/>
                <w:sz w:val="15"/>
                <w:szCs w:val="15"/>
              </w:rPr>
              <w:t>4</w:t>
            </w:r>
            <w:r>
              <w:rPr>
                <w:rFonts w:ascii="Times New Roman" w:hAnsi="Times New Roman" w:cs="Times New Roman"/>
                <w:sz w:val="15"/>
                <w:szCs w:val="15"/>
              </w:rPr>
              <w:t>21</w:t>
            </w:r>
          </w:p>
        </w:tc>
        <w:tc>
          <w:tcPr>
            <w:tcW w:w="650" w:type="dxa"/>
            <w:tcBorders>
              <w:top w:val="nil"/>
              <w:left w:val="nil"/>
              <w:bottom w:val="single" w:color="auto" w:sz="12" w:space="0"/>
              <w:right w:val="nil"/>
            </w:tcBorders>
          </w:tcPr>
          <w:p>
            <w:pPr>
              <w:rPr>
                <w:rFonts w:ascii="Times New Roman" w:hAnsi="Times New Roman" w:cs="Times New Roman"/>
                <w:sz w:val="15"/>
                <w:szCs w:val="15"/>
              </w:rPr>
            </w:pPr>
            <w:r>
              <w:rPr>
                <w:rFonts w:hint="eastAsia" w:ascii="Times New Roman" w:hAnsi="Times New Roman" w:cs="Times New Roman"/>
                <w:sz w:val="15"/>
                <w:szCs w:val="15"/>
              </w:rPr>
              <w:t>2</w:t>
            </w:r>
            <w:r>
              <w:rPr>
                <w:rFonts w:ascii="Times New Roman" w:hAnsi="Times New Roman" w:cs="Times New Roman"/>
                <w:sz w:val="15"/>
                <w:szCs w:val="15"/>
              </w:rPr>
              <w:t>5621</w:t>
            </w:r>
          </w:p>
        </w:tc>
        <w:tc>
          <w:tcPr>
            <w:tcW w:w="3093" w:type="dxa"/>
            <w:vMerge w:val="continue"/>
            <w:tcBorders>
              <w:left w:val="nil"/>
              <w:bottom w:val="single" w:color="auto" w:sz="12" w:space="0"/>
              <w:right w:val="nil"/>
            </w:tcBorders>
          </w:tcPr>
          <w:p>
            <w:pPr>
              <w:rPr>
                <w:rFonts w:ascii="Times New Roman" w:hAnsi="Times New Roman" w:cs="Times New Roman"/>
                <w:sz w:val="15"/>
                <w:szCs w:val="15"/>
              </w:rPr>
            </w:pPr>
          </w:p>
        </w:tc>
        <w:tc>
          <w:tcPr>
            <w:tcW w:w="1726" w:type="dxa"/>
            <w:tcBorders>
              <w:top w:val="nil"/>
              <w:left w:val="nil"/>
              <w:bottom w:val="single" w:color="auto" w:sz="12" w:space="0"/>
              <w:right w:val="nil"/>
            </w:tcBorders>
          </w:tcPr>
          <w:p>
            <w:pPr>
              <w:jc w:val="center"/>
              <w:rPr>
                <w:rFonts w:ascii="Times New Roman" w:hAnsi="Times New Roman" w:cs="Times New Roman"/>
                <w:sz w:val="15"/>
                <w:szCs w:val="15"/>
              </w:rPr>
            </w:pPr>
            <w:r>
              <w:rPr>
                <w:rFonts w:hint="eastAsia" w:ascii="Times New Roman" w:hAnsi="Times New Roman" w:cs="Times New Roman"/>
                <w:sz w:val="15"/>
                <w:szCs w:val="15"/>
              </w:rPr>
              <w:t>0</w:t>
            </w:r>
            <w:r>
              <w:rPr>
                <w:rFonts w:ascii="Times New Roman" w:hAnsi="Times New Roman" w:cs="Times New Roman"/>
                <w:sz w:val="15"/>
                <w:szCs w:val="15"/>
              </w:rPr>
              <w:t>.96 [0.83, 1.10]</w:t>
            </w:r>
          </w:p>
        </w:tc>
      </w:tr>
    </w:tbl>
    <w:p>
      <w:pPr>
        <w:rPr>
          <w:rFonts w:hint="eastAsia" w:ascii="Times New Roman" w:hAnsi="Times New Roman" w:cs="Times New Roman"/>
          <w:b/>
          <w:bCs/>
          <w:sz w:val="24"/>
          <w:lang w:val="en-US" w:eastAsia="zh-CN"/>
        </w:rPr>
      </w:pPr>
    </w:p>
    <w:p>
      <w:pPr>
        <w:rPr>
          <w:rFonts w:ascii="Times New Roman" w:hAnsi="Times New Roman" w:cs="Times New Roman"/>
          <w:sz w:val="24"/>
        </w:rPr>
      </w:pPr>
      <w:r>
        <w:rPr>
          <w:rFonts w:hint="eastAsia" w:ascii="Times New Roman" w:hAnsi="Times New Roman" w:cs="Times New Roman"/>
          <w:b/>
          <w:bCs/>
          <w:sz w:val="24"/>
          <w:lang w:val="en-US" w:eastAsia="zh-CN"/>
        </w:rPr>
        <w:t>Supplemental f</w:t>
      </w:r>
      <w:r>
        <w:rPr>
          <w:rFonts w:ascii="Times New Roman" w:hAnsi="Times New Roman" w:cs="Times New Roman"/>
          <w:b/>
          <w:bCs/>
          <w:sz w:val="24"/>
        </w:rPr>
        <w:t xml:space="preserve">igure </w:t>
      </w:r>
      <w:r>
        <w:rPr>
          <w:rFonts w:hint="eastAsia" w:ascii="Times New Roman" w:hAnsi="Times New Roman" w:cs="Times New Roman"/>
          <w:b/>
          <w:bCs/>
          <w:sz w:val="24"/>
        </w:rPr>
        <w:t>3</w:t>
      </w:r>
      <w:r>
        <w:rPr>
          <w:rFonts w:ascii="Times New Roman" w:hAnsi="Times New Roman" w:cs="Times New Roman"/>
          <w:sz w:val="24"/>
        </w:rPr>
        <w:t xml:space="preserve">  </w:t>
      </w:r>
      <w:r>
        <w:rPr>
          <w:rFonts w:hint="eastAsia" w:ascii="Times New Roman" w:hAnsi="Times New Roman" w:cs="Times New Roman"/>
          <w:sz w:val="24"/>
        </w:rPr>
        <w:t xml:space="preserve">Risk of cancer </w:t>
      </w:r>
      <w:r>
        <w:rPr>
          <w:rFonts w:hint="eastAsia" w:ascii="Times New Roman" w:hAnsi="Times New Roman" w:cs="Times New Roman"/>
          <w:sz w:val="24"/>
          <w:lang w:val="en-US" w:eastAsia="zh-CN"/>
        </w:rPr>
        <w:t xml:space="preserve">mortality </w:t>
      </w:r>
      <w:r>
        <w:rPr>
          <w:rFonts w:hint="eastAsia" w:ascii="Times New Roman" w:hAnsi="Times New Roman" w:cs="Times New Roman"/>
          <w:sz w:val="24"/>
        </w:rPr>
        <w:t>associated with different types of stains and duration of statin treatment.</w:t>
      </w: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hint="eastAsia" w:ascii="Times New Roman" w:hAnsi="Times New Roman" w:cs="Times New Roman" w:eastAsiaTheme="minorEastAsia"/>
          <w:sz w:val="24"/>
          <w:lang w:val="en-US" w:eastAsia="zh-CN"/>
        </w:rPr>
      </w:pPr>
      <w:r>
        <w:rPr>
          <w:rFonts w:hint="eastAsia" w:ascii="Times New Roman" w:hAnsi="Times New Roman" w:cs="Times New Roman"/>
          <w:b/>
          <w:bCs/>
          <w:sz w:val="24"/>
          <w:lang w:val="en-US" w:eastAsia="zh-CN"/>
        </w:rPr>
        <w:t>1.4   Supplemental f</w:t>
      </w:r>
      <w:r>
        <w:rPr>
          <w:rFonts w:ascii="Times New Roman" w:hAnsi="Times New Roman" w:cs="Times New Roman"/>
          <w:b/>
          <w:bCs/>
          <w:sz w:val="24"/>
        </w:rPr>
        <w:t xml:space="preserve">igure </w:t>
      </w:r>
      <w:r>
        <w:rPr>
          <w:rFonts w:hint="eastAsia" w:ascii="Times New Roman" w:hAnsi="Times New Roman" w:cs="Times New Roman"/>
          <w:b/>
          <w:bCs/>
          <w:sz w:val="24"/>
          <w:lang w:val="en-US" w:eastAsia="zh-CN"/>
        </w:rPr>
        <w:t>4</w:t>
      </w:r>
    </w:p>
    <w:p>
      <w:pPr>
        <w:rPr>
          <w:rFonts w:ascii="Times New Roman" w:hAnsi="Times New Roman" w:cs="Times New Roman"/>
          <w:sz w:val="24"/>
        </w:rPr>
      </w:pPr>
    </w:p>
    <w:tbl>
      <w:tblPr>
        <w:tblStyle w:val="9"/>
        <w:tblW w:w="9215" w:type="dxa"/>
        <w:tblInd w:w="-31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709"/>
        <w:gridCol w:w="709"/>
        <w:gridCol w:w="708"/>
        <w:gridCol w:w="709"/>
        <w:gridCol w:w="3004"/>
        <w:gridCol w:w="167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single" w:color="auto" w:sz="12" w:space="0"/>
              <w:bottom w:val="nil"/>
            </w:tcBorders>
          </w:tcPr>
          <w:p>
            <w:pPr>
              <w:rPr>
                <w:rFonts w:ascii="Times New Roman" w:hAnsi="Times New Roman" w:cs="Times New Roman"/>
                <w:b/>
                <w:bCs/>
                <w:sz w:val="16"/>
                <w:szCs w:val="16"/>
              </w:rPr>
            </w:pPr>
          </w:p>
        </w:tc>
        <w:tc>
          <w:tcPr>
            <w:tcW w:w="1418"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Statin</w:t>
            </w:r>
          </w:p>
        </w:tc>
        <w:tc>
          <w:tcPr>
            <w:tcW w:w="1417" w:type="dxa"/>
            <w:gridSpan w:val="2"/>
            <w:tcBorders>
              <w:top w:val="single" w:color="auto" w:sz="12"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Non-statin</w:t>
            </w:r>
          </w:p>
        </w:tc>
        <w:tc>
          <w:tcPr>
            <w:tcW w:w="3004" w:type="dxa"/>
            <w:tcBorders>
              <w:top w:val="single" w:color="auto" w:sz="12" w:space="0"/>
              <w:bottom w:val="nil"/>
            </w:tcBorders>
          </w:tcPr>
          <w:p>
            <w:pPr>
              <w:rPr>
                <w:rFonts w:ascii="Times New Roman" w:hAnsi="Times New Roman" w:cs="Times New Roman"/>
                <w:b/>
                <w:bCs/>
                <w:sz w:val="16"/>
                <w:szCs w:val="16"/>
              </w:rPr>
            </w:pPr>
          </w:p>
        </w:tc>
        <w:tc>
          <w:tcPr>
            <w:tcW w:w="1674" w:type="dxa"/>
            <w:vMerge w:val="restart"/>
            <w:tcBorders>
              <w:top w:val="single" w:color="auto" w:sz="12" w:space="0"/>
              <w:bottom w:val="nil"/>
            </w:tcBorders>
          </w:tcPr>
          <w:p>
            <w:pPr>
              <w:jc w:val="center"/>
              <w:rPr>
                <w:rFonts w:ascii="Times New Roman" w:hAnsi="Times New Roman" w:cs="Times New Roman"/>
                <w:b/>
                <w:bCs/>
                <w:sz w:val="16"/>
                <w:szCs w:val="16"/>
              </w:rPr>
            </w:pPr>
            <w:r>
              <w:rPr>
                <w:rFonts w:ascii="Times New Roman" w:hAnsi="Times New Roman" w:cs="Times New Roman"/>
                <w:b/>
                <w:bCs/>
                <w:sz w:val="16"/>
                <w:szCs w:val="16"/>
              </w:rPr>
              <w:t>Odds Ratio</w:t>
            </w:r>
          </w:p>
          <w:p>
            <w:pPr>
              <w:jc w:val="center"/>
              <w:rPr>
                <w:rFonts w:ascii="Times New Roman" w:hAnsi="Times New Roman" w:cs="Times New Roman"/>
                <w:b/>
                <w:bCs/>
                <w:sz w:val="16"/>
                <w:szCs w:val="16"/>
              </w:rPr>
            </w:pPr>
            <w:r>
              <w:rPr>
                <w:rFonts w:ascii="Times New Roman" w:hAnsi="Times New Roman" w:cs="Times New Roman"/>
                <w:b/>
                <w:bCs/>
                <w:sz w:val="16"/>
                <w:szCs w:val="16"/>
              </w:rPr>
              <w:t>M-H, FIxed, 95%CI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nil"/>
              <w:bottom w:val="single" w:color="auto" w:sz="6" w:space="0"/>
            </w:tcBorders>
          </w:tcPr>
          <w:p>
            <w:pPr>
              <w:jc w:val="center"/>
              <w:rPr>
                <w:rFonts w:ascii="Times New Roman" w:hAnsi="Times New Roman" w:cs="Times New Roman"/>
                <w:b/>
                <w:bCs/>
                <w:sz w:val="16"/>
                <w:szCs w:val="16"/>
              </w:rPr>
            </w:pPr>
            <w:bookmarkStart w:id="6" w:name="_Hlk144136221"/>
            <w:r>
              <w:rPr>
                <w:rFonts w:ascii="Times New Roman" w:hAnsi="Times New Roman" w:cs="Times New Roman"/>
                <w:b/>
                <w:bCs/>
                <w:sz w:val="16"/>
                <w:szCs w:val="16"/>
              </w:rPr>
              <w:t>Characteristics</w:t>
            </w:r>
          </w:p>
        </w:tc>
        <w:tc>
          <w:tcPr>
            <w:tcW w:w="70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70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708"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Events</w:t>
            </w:r>
          </w:p>
        </w:tc>
        <w:tc>
          <w:tcPr>
            <w:tcW w:w="709" w:type="dxa"/>
            <w:tcBorders>
              <w:top w:val="single" w:color="auto" w:sz="6" w:space="0"/>
              <w:bottom w:val="single" w:color="auto" w:sz="6" w:space="0"/>
            </w:tcBorders>
          </w:tcPr>
          <w:p>
            <w:pPr>
              <w:jc w:val="center"/>
              <w:rPr>
                <w:rFonts w:ascii="Times New Roman" w:hAnsi="Times New Roman" w:cs="Times New Roman"/>
                <w:b/>
                <w:bCs/>
                <w:sz w:val="16"/>
                <w:szCs w:val="16"/>
              </w:rPr>
            </w:pPr>
            <w:r>
              <w:rPr>
                <w:rFonts w:ascii="Times New Roman" w:hAnsi="Times New Roman" w:cs="Times New Roman"/>
                <w:b/>
                <w:bCs/>
                <w:sz w:val="16"/>
                <w:szCs w:val="16"/>
              </w:rPr>
              <w:t>Total</w:t>
            </w:r>
          </w:p>
        </w:tc>
        <w:tc>
          <w:tcPr>
            <w:tcW w:w="3004" w:type="dxa"/>
            <w:tcBorders>
              <w:top w:val="nil"/>
              <w:bottom w:val="single" w:color="auto" w:sz="6" w:space="0"/>
            </w:tcBorders>
          </w:tcPr>
          <w:p>
            <w:pPr>
              <w:rPr>
                <w:rFonts w:ascii="Times New Roman" w:hAnsi="Times New Roman" w:cs="Times New Roman"/>
                <w:b/>
                <w:bCs/>
                <w:sz w:val="16"/>
                <w:szCs w:val="16"/>
              </w:rPr>
            </w:pPr>
          </w:p>
        </w:tc>
        <w:tc>
          <w:tcPr>
            <w:tcW w:w="1674" w:type="dxa"/>
            <w:vMerge w:val="continue"/>
            <w:tcBorders>
              <w:top w:val="nil"/>
              <w:bottom w:val="single" w:color="auto" w:sz="6" w:space="0"/>
            </w:tcBorders>
          </w:tcPr>
          <w:p>
            <w:pPr>
              <w:rPr>
                <w:rFonts w:ascii="Times New Roman" w:hAnsi="Times New Roman" w:cs="Times New Roman"/>
                <w:b/>
                <w:bCs/>
                <w:sz w:val="16"/>
                <w:szCs w:val="16"/>
              </w:rPr>
            </w:pPr>
          </w:p>
        </w:tc>
      </w:tr>
      <w:bookmarkEnd w:id="6"/>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single" w:color="auto" w:sz="6" w:space="0"/>
              <w:bottom w:val="nil"/>
            </w:tcBorders>
          </w:tcPr>
          <w:p>
            <w:pPr>
              <w:spacing w:line="276" w:lineRule="auto"/>
              <w:jc w:val="center"/>
              <w:rPr>
                <w:rFonts w:ascii="Times New Roman" w:hAnsi="Times New Roman" w:cs="Times New Roman"/>
                <w:b/>
                <w:bCs/>
                <w:sz w:val="11"/>
                <w:szCs w:val="11"/>
              </w:rPr>
            </w:pPr>
            <w:r>
              <w:rPr>
                <w:rFonts w:ascii="Times New Roman" w:hAnsi="Times New Roman" w:cs="Times New Roman"/>
                <w:b/>
                <w:bCs/>
                <w:sz w:val="15"/>
                <w:szCs w:val="15"/>
              </w:rPr>
              <w:t>Cardiovascular disease</w:t>
            </w:r>
          </w:p>
        </w:tc>
        <w:tc>
          <w:tcPr>
            <w:tcW w:w="709" w:type="dxa"/>
            <w:tcBorders>
              <w:top w:val="single" w:color="auto" w:sz="6" w:space="0"/>
              <w:bottom w:val="nil"/>
            </w:tcBorders>
          </w:tcPr>
          <w:p>
            <w:pPr>
              <w:spacing w:line="276" w:lineRule="auto"/>
              <w:rPr>
                <w:rFonts w:ascii="Times New Roman" w:hAnsi="Times New Roman" w:cs="Times New Roman"/>
                <w:sz w:val="16"/>
                <w:szCs w:val="16"/>
              </w:rPr>
            </w:pPr>
          </w:p>
        </w:tc>
        <w:tc>
          <w:tcPr>
            <w:tcW w:w="709" w:type="dxa"/>
            <w:tcBorders>
              <w:top w:val="single" w:color="auto" w:sz="6" w:space="0"/>
              <w:bottom w:val="nil"/>
            </w:tcBorders>
          </w:tcPr>
          <w:p>
            <w:pPr>
              <w:spacing w:line="276" w:lineRule="auto"/>
              <w:rPr>
                <w:rFonts w:ascii="Times New Roman" w:hAnsi="Times New Roman" w:cs="Times New Roman"/>
                <w:sz w:val="16"/>
                <w:szCs w:val="16"/>
              </w:rPr>
            </w:pPr>
          </w:p>
        </w:tc>
        <w:tc>
          <w:tcPr>
            <w:tcW w:w="708" w:type="dxa"/>
            <w:tcBorders>
              <w:top w:val="single" w:color="auto" w:sz="6" w:space="0"/>
              <w:bottom w:val="nil"/>
            </w:tcBorders>
          </w:tcPr>
          <w:p>
            <w:pPr>
              <w:spacing w:line="276" w:lineRule="auto"/>
              <w:rPr>
                <w:rFonts w:ascii="Times New Roman" w:hAnsi="Times New Roman" w:cs="Times New Roman"/>
                <w:sz w:val="16"/>
                <w:szCs w:val="16"/>
              </w:rPr>
            </w:pPr>
          </w:p>
        </w:tc>
        <w:tc>
          <w:tcPr>
            <w:tcW w:w="709" w:type="dxa"/>
            <w:tcBorders>
              <w:top w:val="single" w:color="auto" w:sz="6" w:space="0"/>
              <w:bottom w:val="nil"/>
            </w:tcBorders>
          </w:tcPr>
          <w:p>
            <w:pPr>
              <w:spacing w:line="276" w:lineRule="auto"/>
              <w:rPr>
                <w:rFonts w:ascii="Times New Roman" w:hAnsi="Times New Roman" w:cs="Times New Roman"/>
                <w:sz w:val="16"/>
                <w:szCs w:val="16"/>
              </w:rPr>
            </w:pPr>
          </w:p>
        </w:tc>
        <w:tc>
          <w:tcPr>
            <w:tcW w:w="3004" w:type="dxa"/>
            <w:vMerge w:val="restart"/>
            <w:tcBorders>
              <w:top w:val="single" w:color="auto" w:sz="6" w:space="0"/>
              <w:bottom w:val="nil"/>
            </w:tcBorders>
          </w:tcPr>
          <w:p>
            <w:pPr>
              <w:spacing w:line="276" w:lineRule="auto"/>
            </w:pPr>
            <w:r>
              <w:drawing>
                <wp:inline distT="0" distB="0" distL="0" distR="0">
                  <wp:extent cx="1838325" cy="1461135"/>
                  <wp:effectExtent l="0" t="0" r="3175" b="12065"/>
                  <wp:docPr id="1210252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1674" w:type="dxa"/>
            <w:tcBorders>
              <w:top w:val="single" w:color="auto" w:sz="6" w:space="0"/>
              <w:bottom w:val="nil"/>
            </w:tcBorders>
          </w:tcPr>
          <w:p>
            <w:pPr>
              <w:spacing w:line="276" w:lineRule="auto"/>
              <w:rPr>
                <w:rFonts w:ascii="Times New Roman" w:hAnsi="Times New Roman" w:cs="Times New Roman"/>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nil"/>
              <w:bottom w:val="nil"/>
            </w:tcBorders>
          </w:tcPr>
          <w:p>
            <w:pPr>
              <w:spacing w:line="276" w:lineRule="auto"/>
              <w:jc w:val="center"/>
              <w:rPr>
                <w:rFonts w:ascii="Times New Roman" w:hAnsi="Times New Roman" w:cs="Times New Roman"/>
                <w:sz w:val="15"/>
                <w:szCs w:val="15"/>
              </w:rPr>
            </w:pPr>
            <w:r>
              <w:rPr>
                <w:sz w:val="15"/>
                <w:szCs w:val="15"/>
              </w:rPr>
              <w:t>Stroke</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1894</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69082</w:t>
            </w:r>
          </w:p>
        </w:tc>
        <w:tc>
          <w:tcPr>
            <w:tcW w:w="708"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2329</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69059</w:t>
            </w:r>
          </w:p>
        </w:tc>
        <w:tc>
          <w:tcPr>
            <w:tcW w:w="3004" w:type="dxa"/>
            <w:vMerge w:val="continue"/>
            <w:tcBorders>
              <w:top w:val="nil"/>
              <w:bottom w:val="nil"/>
            </w:tcBorders>
          </w:tcPr>
          <w:p>
            <w:pPr>
              <w:spacing w:line="276" w:lineRule="auto"/>
              <w:rPr>
                <w:rFonts w:ascii="Times New Roman" w:hAnsi="Times New Roman" w:cs="Times New Roman"/>
                <w:sz w:val="15"/>
                <w:szCs w:val="15"/>
              </w:rPr>
            </w:pPr>
          </w:p>
        </w:tc>
        <w:tc>
          <w:tcPr>
            <w:tcW w:w="1674" w:type="dxa"/>
            <w:tcBorders>
              <w:top w:val="nil"/>
              <w:bottom w:val="nil"/>
            </w:tcBorders>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0.80 [0.76, 0.86]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nil"/>
              <w:bottom w:val="nil"/>
            </w:tcBorders>
          </w:tcPr>
          <w:p>
            <w:pPr>
              <w:spacing w:line="276" w:lineRule="auto"/>
              <w:jc w:val="center"/>
              <w:rPr>
                <w:rFonts w:ascii="Times New Roman" w:hAnsi="Times New Roman" w:cs="Times New Roman"/>
                <w:sz w:val="15"/>
                <w:szCs w:val="15"/>
              </w:rPr>
            </w:pPr>
            <w:r>
              <w:rPr>
                <w:sz w:val="15"/>
                <w:szCs w:val="15"/>
              </w:rPr>
              <w:t>Myocardial infarction</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2697</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65672</w:t>
            </w:r>
          </w:p>
        </w:tc>
        <w:tc>
          <w:tcPr>
            <w:tcW w:w="708"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3797</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65644</w:t>
            </w:r>
          </w:p>
        </w:tc>
        <w:tc>
          <w:tcPr>
            <w:tcW w:w="3004" w:type="dxa"/>
            <w:vMerge w:val="continue"/>
            <w:tcBorders>
              <w:top w:val="nil"/>
              <w:bottom w:val="nil"/>
            </w:tcBorders>
          </w:tcPr>
          <w:p>
            <w:pPr>
              <w:spacing w:line="276" w:lineRule="auto"/>
              <w:rPr>
                <w:rFonts w:ascii="Times New Roman" w:hAnsi="Times New Roman" w:cs="Times New Roman"/>
                <w:sz w:val="15"/>
                <w:szCs w:val="15"/>
              </w:rPr>
            </w:pPr>
          </w:p>
        </w:tc>
        <w:tc>
          <w:tcPr>
            <w:tcW w:w="1674" w:type="dxa"/>
            <w:tcBorders>
              <w:top w:val="nil"/>
              <w:bottom w:val="nil"/>
            </w:tcBorders>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0.68 [0.65, 0.72]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nil"/>
              <w:bottom w:val="nil"/>
            </w:tcBorders>
          </w:tcPr>
          <w:p>
            <w:pPr>
              <w:spacing w:line="276" w:lineRule="auto"/>
              <w:jc w:val="center"/>
              <w:rPr>
                <w:rFonts w:ascii="Times New Roman" w:hAnsi="Times New Roman" w:cs="Times New Roman"/>
                <w:sz w:val="15"/>
                <w:szCs w:val="15"/>
              </w:rPr>
            </w:pPr>
            <w:r>
              <w:rPr>
                <w:rFonts w:hint="eastAsia"/>
                <w:sz w:val="15"/>
                <w:szCs w:val="15"/>
                <w:lang w:val="en-US" w:eastAsia="zh-CN"/>
              </w:rPr>
              <w:t>C</w:t>
            </w:r>
            <w:r>
              <w:rPr>
                <w:sz w:val="15"/>
                <w:szCs w:val="15"/>
              </w:rPr>
              <w:t>ardiovascular event</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5623</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60785</w:t>
            </w:r>
          </w:p>
        </w:tc>
        <w:tc>
          <w:tcPr>
            <w:tcW w:w="708"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6834</w:t>
            </w:r>
          </w:p>
        </w:tc>
        <w:tc>
          <w:tcPr>
            <w:tcW w:w="709" w:type="dxa"/>
            <w:tcBorders>
              <w:top w:val="nil"/>
              <w:bottom w:val="nil"/>
            </w:tcBorders>
          </w:tcPr>
          <w:p>
            <w:pPr>
              <w:spacing w:line="276" w:lineRule="auto"/>
              <w:rPr>
                <w:rFonts w:ascii="Times New Roman" w:hAnsi="Times New Roman" w:cs="Times New Roman"/>
                <w:sz w:val="15"/>
                <w:szCs w:val="15"/>
              </w:rPr>
            </w:pPr>
            <w:r>
              <w:rPr>
                <w:rFonts w:ascii="Times New Roman" w:hAnsi="Times New Roman" w:cs="Times New Roman"/>
                <w:sz w:val="15"/>
                <w:szCs w:val="15"/>
              </w:rPr>
              <w:t>60228</w:t>
            </w:r>
          </w:p>
        </w:tc>
        <w:tc>
          <w:tcPr>
            <w:tcW w:w="3004" w:type="dxa"/>
            <w:vMerge w:val="continue"/>
            <w:tcBorders>
              <w:top w:val="nil"/>
              <w:bottom w:val="nil"/>
            </w:tcBorders>
          </w:tcPr>
          <w:p>
            <w:pPr>
              <w:spacing w:line="276" w:lineRule="auto"/>
              <w:rPr>
                <w:rFonts w:ascii="Times New Roman" w:hAnsi="Times New Roman" w:cs="Times New Roman"/>
                <w:sz w:val="15"/>
                <w:szCs w:val="15"/>
              </w:rPr>
            </w:pPr>
          </w:p>
        </w:tc>
        <w:tc>
          <w:tcPr>
            <w:tcW w:w="1674" w:type="dxa"/>
            <w:tcBorders>
              <w:top w:val="nil"/>
              <w:bottom w:val="nil"/>
            </w:tcBorders>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0.80 [0.77, 0.83]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2" w:type="dxa"/>
            <w:tcBorders>
              <w:top w:val="nil"/>
              <w:bottom w:val="single" w:color="auto" w:sz="12" w:space="0"/>
            </w:tcBorders>
          </w:tcPr>
          <w:p>
            <w:pPr>
              <w:spacing w:line="276" w:lineRule="auto"/>
              <w:jc w:val="center"/>
              <w:rPr>
                <w:rFonts w:ascii="Times New Roman" w:hAnsi="Times New Roman" w:cs="Times New Roman"/>
                <w:sz w:val="15"/>
                <w:szCs w:val="15"/>
              </w:rPr>
            </w:pPr>
            <w:r>
              <w:rPr>
                <w:rFonts w:hint="eastAsia"/>
                <w:sz w:val="15"/>
                <w:szCs w:val="15"/>
                <w:lang w:val="en-US" w:eastAsia="zh-CN"/>
              </w:rPr>
              <w:t>C</w:t>
            </w:r>
            <w:r>
              <w:rPr>
                <w:sz w:val="15"/>
                <w:szCs w:val="15"/>
              </w:rPr>
              <w:t>ardiovascular mortality</w:t>
            </w:r>
          </w:p>
        </w:tc>
        <w:tc>
          <w:tcPr>
            <w:tcW w:w="709" w:type="dxa"/>
            <w:tcBorders>
              <w:top w:val="nil"/>
              <w:bottom w:val="single" w:color="auto" w:sz="12" w:space="0"/>
            </w:tcBorders>
          </w:tcPr>
          <w:p>
            <w:pPr>
              <w:spacing w:line="276" w:lineRule="auto"/>
              <w:rPr>
                <w:rFonts w:ascii="Times New Roman" w:hAnsi="Times New Roman" w:cs="Times New Roman"/>
                <w:sz w:val="15"/>
                <w:szCs w:val="15"/>
              </w:rPr>
            </w:pPr>
            <w:r>
              <w:rPr>
                <w:rFonts w:ascii="Times New Roman" w:hAnsi="Times New Roman" w:cs="Times New Roman"/>
                <w:sz w:val="15"/>
                <w:szCs w:val="15"/>
              </w:rPr>
              <w:t>3321</w:t>
            </w:r>
          </w:p>
        </w:tc>
        <w:tc>
          <w:tcPr>
            <w:tcW w:w="709" w:type="dxa"/>
            <w:tcBorders>
              <w:top w:val="nil"/>
              <w:bottom w:val="single" w:color="auto" w:sz="12" w:space="0"/>
            </w:tcBorders>
          </w:tcPr>
          <w:p>
            <w:pPr>
              <w:spacing w:line="276" w:lineRule="auto"/>
              <w:rPr>
                <w:rFonts w:ascii="Times New Roman" w:hAnsi="Times New Roman" w:cs="Times New Roman"/>
                <w:sz w:val="15"/>
                <w:szCs w:val="15"/>
              </w:rPr>
            </w:pPr>
            <w:r>
              <w:rPr>
                <w:rFonts w:ascii="Times New Roman" w:hAnsi="Times New Roman" w:cs="Times New Roman"/>
                <w:sz w:val="15"/>
                <w:szCs w:val="15"/>
              </w:rPr>
              <w:t>76405</w:t>
            </w:r>
          </w:p>
        </w:tc>
        <w:tc>
          <w:tcPr>
            <w:tcW w:w="708" w:type="dxa"/>
            <w:tcBorders>
              <w:top w:val="nil"/>
              <w:bottom w:val="single" w:color="auto" w:sz="12" w:space="0"/>
            </w:tcBorders>
          </w:tcPr>
          <w:p>
            <w:pPr>
              <w:spacing w:line="276" w:lineRule="auto"/>
              <w:rPr>
                <w:rFonts w:ascii="Times New Roman" w:hAnsi="Times New Roman" w:cs="Times New Roman"/>
                <w:sz w:val="15"/>
                <w:szCs w:val="15"/>
              </w:rPr>
            </w:pPr>
            <w:r>
              <w:rPr>
                <w:rFonts w:ascii="Times New Roman" w:hAnsi="Times New Roman" w:cs="Times New Roman"/>
                <w:sz w:val="15"/>
                <w:szCs w:val="15"/>
              </w:rPr>
              <w:t>3926</w:t>
            </w:r>
          </w:p>
        </w:tc>
        <w:tc>
          <w:tcPr>
            <w:tcW w:w="709" w:type="dxa"/>
            <w:tcBorders>
              <w:top w:val="nil"/>
              <w:bottom w:val="single" w:color="auto" w:sz="12" w:space="0"/>
            </w:tcBorders>
          </w:tcPr>
          <w:p>
            <w:pPr>
              <w:spacing w:line="276" w:lineRule="auto"/>
              <w:rPr>
                <w:rFonts w:ascii="Times New Roman" w:hAnsi="Times New Roman" w:cs="Times New Roman"/>
                <w:sz w:val="15"/>
                <w:szCs w:val="15"/>
              </w:rPr>
            </w:pPr>
            <w:r>
              <w:rPr>
                <w:rFonts w:ascii="Times New Roman" w:hAnsi="Times New Roman" w:cs="Times New Roman"/>
                <w:sz w:val="15"/>
                <w:szCs w:val="15"/>
              </w:rPr>
              <w:t>76330</w:t>
            </w:r>
          </w:p>
        </w:tc>
        <w:tc>
          <w:tcPr>
            <w:tcW w:w="3004" w:type="dxa"/>
            <w:vMerge w:val="continue"/>
            <w:tcBorders>
              <w:top w:val="nil"/>
              <w:bottom w:val="single" w:color="auto" w:sz="12" w:space="0"/>
            </w:tcBorders>
          </w:tcPr>
          <w:p>
            <w:pPr>
              <w:spacing w:line="276" w:lineRule="auto"/>
              <w:rPr>
                <w:rFonts w:ascii="Times New Roman" w:hAnsi="Times New Roman" w:cs="Times New Roman"/>
                <w:sz w:val="15"/>
                <w:szCs w:val="15"/>
              </w:rPr>
            </w:pPr>
          </w:p>
        </w:tc>
        <w:tc>
          <w:tcPr>
            <w:tcW w:w="1674" w:type="dxa"/>
            <w:tcBorders>
              <w:top w:val="nil"/>
              <w:bottom w:val="single" w:color="auto" w:sz="12" w:space="0"/>
            </w:tcBorders>
          </w:tcPr>
          <w:p>
            <w:pPr>
              <w:spacing w:line="276" w:lineRule="auto"/>
              <w:jc w:val="center"/>
              <w:rPr>
                <w:rFonts w:ascii="Times New Roman" w:hAnsi="Times New Roman" w:cs="Times New Roman"/>
                <w:sz w:val="15"/>
                <w:szCs w:val="15"/>
              </w:rPr>
            </w:pPr>
            <w:r>
              <w:rPr>
                <w:rFonts w:ascii="Times New Roman" w:hAnsi="Times New Roman" w:cs="Times New Roman"/>
                <w:sz w:val="15"/>
                <w:szCs w:val="15"/>
              </w:rPr>
              <w:t>0.83 [0.79, 0.87]</w:t>
            </w:r>
          </w:p>
        </w:tc>
      </w:tr>
    </w:tbl>
    <w:p>
      <w:pPr>
        <w:rPr>
          <w:rFonts w:ascii="Times New Roman" w:hAnsi="Times New Roman" w:cs="Times New Roman"/>
          <w:b/>
          <w:bCs/>
          <w:sz w:val="24"/>
        </w:rPr>
      </w:pPr>
    </w:p>
    <w:p>
      <w:pPr>
        <w:rPr>
          <w:rFonts w:ascii="Times New Roman" w:hAnsi="Times New Roman" w:cs="Times New Roman"/>
          <w:sz w:val="24"/>
        </w:rPr>
      </w:pPr>
      <w:r>
        <w:rPr>
          <w:rFonts w:hint="eastAsia" w:ascii="Times New Roman" w:hAnsi="Times New Roman" w:cs="Times New Roman"/>
          <w:b/>
          <w:bCs/>
          <w:sz w:val="24"/>
          <w:lang w:val="en-US" w:eastAsia="zh-CN"/>
        </w:rPr>
        <w:t>Supplemental f</w:t>
      </w:r>
      <w:r>
        <w:rPr>
          <w:rFonts w:ascii="Times New Roman" w:hAnsi="Times New Roman" w:cs="Times New Roman"/>
          <w:b/>
          <w:bCs/>
          <w:sz w:val="24"/>
        </w:rPr>
        <w:t xml:space="preserve">igure </w:t>
      </w:r>
      <w:r>
        <w:rPr>
          <w:rFonts w:hint="eastAsia" w:ascii="Times New Roman" w:hAnsi="Times New Roman" w:cs="Times New Roman"/>
          <w:b/>
          <w:bCs/>
          <w:sz w:val="24"/>
          <w:lang w:val="en-US" w:eastAsia="zh-CN"/>
        </w:rPr>
        <w:t>4</w:t>
      </w:r>
      <w:r>
        <w:rPr>
          <w:rFonts w:ascii="Times New Roman" w:hAnsi="Times New Roman" w:cs="Times New Roman"/>
          <w:sz w:val="24"/>
        </w:rPr>
        <w:t xml:space="preserve">  Overall meta-analysis of statin use and Cardiovascular disease.</w:t>
      </w: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pStyle w:val="2"/>
        <w:numPr>
          <w:ilvl w:val="0"/>
          <w:numId w:val="0"/>
        </w:numPr>
        <w:tabs>
          <w:tab w:val="clear" w:pos="567"/>
        </w:tabs>
        <w:ind w:left="567" w:leftChars="0" w:hanging="567" w:firstLineChars="0"/>
        <w:rPr>
          <w:rFonts w:hint="default" w:ascii="Times New Roman" w:hAnsi="Times New Roman" w:eastAsia="宋体" w:cs="Times New Roman"/>
          <w:sz w:val="24"/>
          <w:szCs w:val="24"/>
          <w:lang w:val="en-US" w:eastAsia="zh-CN"/>
        </w:rPr>
      </w:pPr>
      <w:r>
        <w:rPr>
          <w:rFonts w:hint="eastAsia" w:ascii="Times New Roman" w:hAnsi="Times New Roman" w:cs="Times New Roman"/>
          <w:b/>
          <w:kern w:val="2"/>
          <w:sz w:val="24"/>
          <w:szCs w:val="24"/>
          <w:lang w:val="en-US" w:eastAsia="zh-CN" w:bidi="ar-SA"/>
        </w:rPr>
        <w:t xml:space="preserve">2     </w:t>
      </w:r>
      <w:r>
        <w:rPr>
          <w:rFonts w:hint="default" w:ascii="Times New Roman" w:hAnsi="Times New Roman" w:cs="Times New Roman" w:eastAsiaTheme="minorEastAsia"/>
          <w:sz w:val="24"/>
          <w:szCs w:val="24"/>
          <w:lang w:val="en-GB" w:eastAsia="zh-CN"/>
        </w:rPr>
        <w:t>Supplemental</w:t>
      </w:r>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Table</w:t>
      </w:r>
    </w:p>
    <w:p>
      <w:pPr>
        <w:rPr>
          <w:rFonts w:ascii="Times New Roman" w:hAnsi="Times New Roman" w:cs="Times New Roman"/>
          <w:sz w:val="24"/>
        </w:rPr>
      </w:pPr>
    </w:p>
    <w:p>
      <w:pPr>
        <w:autoSpaceDE w:val="0"/>
        <w:autoSpaceDN w:val="0"/>
        <w:adjustRightInd w:val="0"/>
        <w:snapToGrid w:val="0"/>
        <w:contextualSpacing/>
        <w:rPr>
          <w:rFonts w:ascii="Times New Roman" w:hAnsi="Times New Roman" w:eastAsia="等线" w:cs="Times New Roman"/>
          <w:sz w:val="24"/>
          <w:szCs w:val="24"/>
          <w:lang w:val="da-DK"/>
        </w:rPr>
      </w:pPr>
      <w:r>
        <w:rPr>
          <w:rFonts w:ascii="Times New Roman" w:hAnsi="Times New Roman" w:eastAsia="等线" w:cs="Times New Roman"/>
          <w:b/>
          <w:sz w:val="24"/>
          <w:szCs w:val="24"/>
        </w:rPr>
        <w:t xml:space="preserve">Supplementary Table. </w:t>
      </w:r>
      <w:r>
        <w:rPr>
          <w:rFonts w:ascii="Times New Roman" w:hAnsi="Times New Roman" w:eastAsia="等线" w:cs="Times New Roman"/>
          <w:sz w:val="24"/>
          <w:szCs w:val="24"/>
        </w:rPr>
        <w:t>Search strategy of English database</w:t>
      </w:r>
    </w:p>
    <w:tbl>
      <w:tblPr>
        <w:tblStyle w:val="8"/>
        <w:tblW w:w="5000" w:type="pct"/>
        <w:tblInd w:w="0" w:type="dxa"/>
        <w:tblLayout w:type="autofit"/>
        <w:tblCellMar>
          <w:top w:w="0" w:type="dxa"/>
          <w:left w:w="108" w:type="dxa"/>
          <w:bottom w:w="0" w:type="dxa"/>
          <w:right w:w="108" w:type="dxa"/>
        </w:tblCellMar>
      </w:tblPr>
      <w:tblGrid>
        <w:gridCol w:w="1737"/>
        <w:gridCol w:w="6785"/>
      </w:tblGrid>
      <w:tr>
        <w:tblPrEx>
          <w:tblCellMar>
            <w:top w:w="0" w:type="dxa"/>
            <w:left w:w="108" w:type="dxa"/>
            <w:bottom w:w="0" w:type="dxa"/>
            <w:right w:w="108" w:type="dxa"/>
          </w:tblCellMar>
        </w:tblPrEx>
        <w:trPr>
          <w:trHeight w:val="26" w:hRule="atLeast"/>
        </w:trPr>
        <w:tc>
          <w:tcPr>
            <w:tcW w:w="1019" w:type="pct"/>
            <w:tcBorders>
              <w:top w:val="single" w:color="auto" w:sz="12" w:space="0"/>
              <w:left w:val="nil"/>
              <w:bottom w:val="single" w:color="auto" w:sz="12" w:space="0"/>
              <w:right w:val="nil"/>
            </w:tcBorders>
          </w:tcPr>
          <w:p>
            <w:pPr>
              <w:adjustRightInd w:val="0"/>
              <w:snapToGrid w:val="0"/>
              <w:contextualSpacing/>
              <w:rPr>
                <w:rFonts w:ascii="Times New Roman" w:hAnsi="Times New Roman" w:eastAsia="等线" w:cs="Times New Roman"/>
                <w:b/>
                <w:sz w:val="24"/>
                <w:szCs w:val="24"/>
              </w:rPr>
            </w:pPr>
            <w:r>
              <w:rPr>
                <w:rFonts w:ascii="Times New Roman" w:hAnsi="Times New Roman" w:eastAsia="等线" w:cs="Times New Roman"/>
                <w:b/>
                <w:sz w:val="24"/>
                <w:szCs w:val="24"/>
              </w:rPr>
              <w:t>Data source</w:t>
            </w:r>
          </w:p>
        </w:tc>
        <w:tc>
          <w:tcPr>
            <w:tcW w:w="3981" w:type="pct"/>
            <w:tcBorders>
              <w:top w:val="single" w:color="auto" w:sz="12" w:space="0"/>
              <w:left w:val="nil"/>
              <w:bottom w:val="single" w:color="auto" w:sz="12" w:space="0"/>
              <w:right w:val="nil"/>
            </w:tcBorders>
          </w:tcPr>
          <w:p>
            <w:pPr>
              <w:adjustRightInd w:val="0"/>
              <w:snapToGrid w:val="0"/>
              <w:contextualSpacing/>
              <w:rPr>
                <w:rFonts w:ascii="Times New Roman" w:hAnsi="Times New Roman" w:eastAsia="等线" w:cs="Times New Roman"/>
                <w:b/>
                <w:sz w:val="24"/>
                <w:szCs w:val="24"/>
              </w:rPr>
            </w:pPr>
            <w:r>
              <w:rPr>
                <w:rFonts w:ascii="Times New Roman" w:hAnsi="Times New Roman" w:eastAsia="等线" w:cs="Times New Roman"/>
                <w:b/>
                <w:sz w:val="24"/>
                <w:szCs w:val="24"/>
              </w:rPr>
              <w:t>Search terms</w:t>
            </w:r>
          </w:p>
        </w:tc>
      </w:tr>
      <w:tr>
        <w:tblPrEx>
          <w:tblCellMar>
            <w:top w:w="0" w:type="dxa"/>
            <w:left w:w="108" w:type="dxa"/>
            <w:bottom w:w="0" w:type="dxa"/>
            <w:right w:w="108" w:type="dxa"/>
          </w:tblCellMar>
        </w:tblPrEx>
        <w:trPr>
          <w:trHeight w:val="1289" w:hRule="atLeast"/>
        </w:trPr>
        <w:tc>
          <w:tcPr>
            <w:tcW w:w="1019" w:type="pct"/>
            <w:tcBorders>
              <w:top w:val="single" w:color="auto" w:sz="12" w:space="0"/>
              <w:left w:val="nil"/>
              <w:right w:val="nil"/>
            </w:tcBorders>
          </w:tcPr>
          <w:p>
            <w:pPr>
              <w:adjustRightInd w:val="0"/>
              <w:snapToGrid w:val="0"/>
              <w:contextualSpacing/>
              <w:rPr>
                <w:rFonts w:ascii="Times New Roman" w:hAnsi="Times New Roman" w:eastAsia="等线" w:cs="Times New Roman"/>
                <w:sz w:val="24"/>
                <w:szCs w:val="24"/>
              </w:rPr>
            </w:pPr>
            <w:r>
              <w:rPr>
                <w:rFonts w:ascii="Times New Roman" w:hAnsi="Times New Roman" w:eastAsia="等线" w:cs="Times New Roman"/>
                <w:sz w:val="24"/>
                <w:szCs w:val="24"/>
              </w:rPr>
              <w:t>PubMed</w:t>
            </w:r>
          </w:p>
        </w:tc>
        <w:tc>
          <w:tcPr>
            <w:tcW w:w="3981" w:type="pct"/>
            <w:tcBorders>
              <w:top w:val="single" w:color="auto" w:sz="12" w:space="0"/>
              <w:left w:val="nil"/>
              <w:right w:val="nil"/>
            </w:tcBorders>
          </w:tcPr>
          <w:p>
            <w:pPr>
              <w:numPr>
                <w:ilvl w:val="0"/>
                <w:numId w:val="0"/>
              </w:numPr>
              <w:spacing w:line="240" w:lineRule="auto"/>
              <w:jc w:val="both"/>
              <w:rPr>
                <w:rFonts w:hint="default" w:ascii="Times New Roman" w:hAnsi="Times New Roman" w:cs="Times New Roman"/>
                <w:b w:val="0"/>
                <w:bCs w:val="0"/>
                <w:i w:val="0"/>
                <w:iCs w:val="0"/>
                <w:color w:val="auto"/>
                <w:sz w:val="24"/>
                <w:szCs w:val="32"/>
                <w:lang w:val="en-US" w:eastAsia="zh-CN"/>
              </w:rPr>
            </w:pPr>
            <w:r>
              <w:rPr>
                <w:rFonts w:hint="default" w:ascii="Times New Roman" w:hAnsi="Times New Roman" w:cs="Times New Roman"/>
                <w:b w:val="0"/>
                <w:bCs w:val="0"/>
                <w:i w:val="0"/>
                <w:iCs w:val="0"/>
                <w:color w:val="auto"/>
                <w:sz w:val="24"/>
                <w:szCs w:val="32"/>
                <w:lang w:val="en-US" w:eastAsia="zh-CN"/>
              </w:rPr>
              <w:t>((((Hydroxymethylglutaryl-CoA Reductase Inhibitors) OR (Hydroxymethylglutaryl-CoA Reductase Inhibitors[MeSH Terms])) OR (Statin[Text Word])) AND (randomized controlled trial)) AND (("1900/01/01"[Date - Publication] : "2023/09/01"[Date - Publication]))</w:t>
            </w:r>
          </w:p>
          <w:p>
            <w:pPr>
              <w:adjustRightInd w:val="0"/>
              <w:snapToGrid w:val="0"/>
              <w:spacing w:line="240" w:lineRule="auto"/>
              <w:contextualSpacing/>
              <w:jc w:val="both"/>
              <w:rPr>
                <w:rFonts w:ascii="Times New Roman" w:hAnsi="Times New Roman" w:eastAsia="等线" w:cs="Times New Roman"/>
                <w:bCs/>
                <w:color w:val="auto"/>
                <w:sz w:val="24"/>
                <w:szCs w:val="24"/>
              </w:rPr>
            </w:pPr>
          </w:p>
        </w:tc>
      </w:tr>
      <w:tr>
        <w:tblPrEx>
          <w:tblCellMar>
            <w:top w:w="0" w:type="dxa"/>
            <w:left w:w="108" w:type="dxa"/>
            <w:bottom w:w="0" w:type="dxa"/>
            <w:right w:w="108" w:type="dxa"/>
          </w:tblCellMar>
        </w:tblPrEx>
        <w:trPr>
          <w:trHeight w:val="420" w:hRule="atLeast"/>
        </w:trPr>
        <w:tc>
          <w:tcPr>
            <w:tcW w:w="1019" w:type="pct"/>
            <w:tcBorders>
              <w:left w:val="nil"/>
              <w:right w:val="nil"/>
            </w:tcBorders>
          </w:tcPr>
          <w:p>
            <w:pPr>
              <w:adjustRightInd w:val="0"/>
              <w:snapToGrid w:val="0"/>
              <w:contextualSpacing/>
              <w:rPr>
                <w:rFonts w:ascii="Times New Roman" w:hAnsi="Times New Roman" w:eastAsia="等线" w:cs="Times New Roman"/>
                <w:sz w:val="24"/>
                <w:szCs w:val="24"/>
              </w:rPr>
            </w:pPr>
            <w:r>
              <w:rPr>
                <w:rFonts w:ascii="Times New Roman" w:hAnsi="Times New Roman" w:eastAsia="等线" w:cs="Times New Roman"/>
                <w:bCs/>
                <w:sz w:val="24"/>
                <w:szCs w:val="24"/>
              </w:rPr>
              <w:t>EMBASE</w:t>
            </w:r>
          </w:p>
        </w:tc>
        <w:tc>
          <w:tcPr>
            <w:tcW w:w="3981" w:type="pct"/>
            <w:tcBorders>
              <w:left w:val="nil"/>
              <w:right w:val="nil"/>
            </w:tcBorders>
          </w:tcPr>
          <w:p>
            <w:pPr>
              <w:adjustRightInd w:val="0"/>
              <w:snapToGrid w:val="0"/>
              <w:contextualSpacing/>
              <w:rPr>
                <w:rFonts w:hint="eastAsia" w:ascii="Times New Roman" w:hAnsi="Times New Roman" w:eastAsia="等线" w:cs="Times New Roman"/>
                <w:bCs/>
                <w:sz w:val="24"/>
                <w:szCs w:val="24"/>
              </w:rPr>
            </w:pPr>
            <w:r>
              <w:rPr>
                <w:rFonts w:hint="eastAsia" w:ascii="Times New Roman" w:hAnsi="Times New Roman" w:eastAsia="等线" w:cs="Times New Roman"/>
                <w:bCs/>
                <w:sz w:val="24"/>
                <w:szCs w:val="24"/>
              </w:rPr>
              <w:t>('hydroxymethylglutaryl-coa reductase inhibitors'/exp OR 'hydroxymethylglutaryl-coa reductase inhibitors':ab,ti OR statin:ab,ti) AND [randomized controlled trial]/lim AND [1900-2023]/py AND [01-01-1900]/sd NOT [01-09-2023]/sd</w:t>
            </w:r>
          </w:p>
          <w:p>
            <w:pPr>
              <w:adjustRightInd w:val="0"/>
              <w:snapToGrid w:val="0"/>
              <w:contextualSpacing/>
              <w:rPr>
                <w:rFonts w:hint="eastAsia" w:ascii="Times New Roman" w:hAnsi="Times New Roman" w:eastAsia="等线" w:cs="Times New Roman"/>
                <w:bCs/>
                <w:sz w:val="24"/>
                <w:szCs w:val="24"/>
              </w:rPr>
            </w:pPr>
          </w:p>
        </w:tc>
      </w:tr>
      <w:tr>
        <w:tblPrEx>
          <w:tblCellMar>
            <w:top w:w="0" w:type="dxa"/>
            <w:left w:w="108" w:type="dxa"/>
            <w:bottom w:w="0" w:type="dxa"/>
            <w:right w:w="108" w:type="dxa"/>
          </w:tblCellMar>
        </w:tblPrEx>
        <w:trPr>
          <w:trHeight w:val="446" w:hRule="atLeast"/>
        </w:trPr>
        <w:tc>
          <w:tcPr>
            <w:tcW w:w="1019" w:type="pct"/>
            <w:tcBorders>
              <w:left w:val="nil"/>
              <w:right w:val="nil"/>
            </w:tcBorders>
            <w:shd w:val="clear" w:color="auto" w:fill="auto"/>
          </w:tcPr>
          <w:p>
            <w:pPr>
              <w:adjustRightInd w:val="0"/>
              <w:snapToGrid w:val="0"/>
              <w:contextualSpacing/>
              <w:rPr>
                <w:rFonts w:hint="default" w:ascii="Times New Roman" w:hAnsi="Times New Roman" w:eastAsia="等线" w:cs="Times New Roman"/>
                <w:bCs/>
                <w:sz w:val="24"/>
                <w:szCs w:val="24"/>
                <w:lang w:val="en-US" w:eastAsia="zh-CN"/>
              </w:rPr>
            </w:pPr>
            <w:r>
              <w:rPr>
                <w:rFonts w:hint="eastAsia" w:ascii="Times New Roman" w:hAnsi="Times New Roman" w:eastAsia="等线" w:cs="Times New Roman"/>
                <w:bCs/>
                <w:sz w:val="24"/>
                <w:szCs w:val="24"/>
                <w:lang w:val="en-US" w:eastAsia="zh-CN"/>
              </w:rPr>
              <w:t>Medline</w:t>
            </w:r>
          </w:p>
        </w:tc>
        <w:tc>
          <w:tcPr>
            <w:tcW w:w="3981" w:type="pct"/>
            <w:tcBorders>
              <w:left w:val="nil"/>
              <w:right w:val="nil"/>
            </w:tcBorders>
            <w:shd w:val="clear" w:color="auto" w:fill="auto"/>
          </w:tcPr>
          <w:p>
            <w:pPr>
              <w:adjustRightInd w:val="0"/>
              <w:snapToGrid w:val="0"/>
              <w:contextualSpacing/>
              <w:rPr>
                <w:rFonts w:hint="eastAsia" w:ascii="Times New Roman" w:hAnsi="Times New Roman" w:eastAsia="等线" w:cs="Times New Roman"/>
                <w:bCs/>
                <w:sz w:val="24"/>
                <w:szCs w:val="24"/>
              </w:rPr>
            </w:pPr>
            <w:r>
              <w:rPr>
                <w:rFonts w:hint="eastAsia" w:ascii="Times New Roman" w:hAnsi="Times New Roman" w:eastAsia="等线" w:cs="Times New Roman"/>
                <w:bCs/>
                <w:sz w:val="24"/>
                <w:szCs w:val="24"/>
              </w:rPr>
              <w:t>(((MHX=(Hydroxymethylglutaryl-CoA Reductase Inhibitors)) OR TS=(Hydroxymethylglutaryl-CoA Reductase Inhibitors)) OR TS=(statin)) AND DT=(Randomized Controlled Trial) with Medline publication date from 1900-01-01 to 2023-09-01</w:t>
            </w:r>
          </w:p>
          <w:p>
            <w:pPr>
              <w:adjustRightInd w:val="0"/>
              <w:snapToGrid w:val="0"/>
              <w:contextualSpacing/>
              <w:rPr>
                <w:rFonts w:hint="eastAsia" w:ascii="Times New Roman" w:hAnsi="Times New Roman" w:eastAsia="等线" w:cs="Times New Roman"/>
                <w:bCs/>
                <w:sz w:val="24"/>
                <w:szCs w:val="24"/>
              </w:rPr>
            </w:pPr>
          </w:p>
        </w:tc>
      </w:tr>
      <w:tr>
        <w:tblPrEx>
          <w:tblCellMar>
            <w:top w:w="0" w:type="dxa"/>
            <w:left w:w="108" w:type="dxa"/>
            <w:bottom w:w="0" w:type="dxa"/>
            <w:right w:w="108" w:type="dxa"/>
          </w:tblCellMar>
        </w:tblPrEx>
        <w:trPr>
          <w:trHeight w:val="446" w:hRule="atLeast"/>
        </w:trPr>
        <w:tc>
          <w:tcPr>
            <w:tcW w:w="1019" w:type="pct"/>
            <w:tcBorders>
              <w:left w:val="nil"/>
              <w:bottom w:val="single" w:color="auto" w:sz="12" w:space="0"/>
              <w:right w:val="nil"/>
            </w:tcBorders>
            <w:shd w:val="clear" w:color="auto" w:fill="auto"/>
          </w:tcPr>
          <w:p>
            <w:pPr>
              <w:adjustRightInd w:val="0"/>
              <w:snapToGrid w:val="0"/>
              <w:contextualSpacing/>
              <w:rPr>
                <w:rFonts w:hint="default" w:ascii="Times New Roman" w:hAnsi="Times New Roman" w:eastAsia="等线" w:cs="Times New Roman"/>
                <w:bCs/>
                <w:sz w:val="24"/>
                <w:szCs w:val="24"/>
                <w:lang w:val="en-US" w:eastAsia="zh-CN"/>
              </w:rPr>
            </w:pPr>
            <w:r>
              <w:rPr>
                <w:rFonts w:hint="eastAsia" w:ascii="Times New Roman" w:hAnsi="Times New Roman" w:eastAsia="等线" w:cs="Times New Roman"/>
                <w:bCs/>
                <w:sz w:val="24"/>
                <w:szCs w:val="24"/>
                <w:lang w:val="en-US" w:eastAsia="zh-CN"/>
              </w:rPr>
              <w:t>Cochrane</w:t>
            </w:r>
          </w:p>
        </w:tc>
        <w:tc>
          <w:tcPr>
            <w:tcW w:w="3981" w:type="pct"/>
            <w:tcBorders>
              <w:left w:val="nil"/>
              <w:bottom w:val="single" w:color="auto" w:sz="12" w:space="0"/>
              <w:right w:val="nil"/>
            </w:tcBorders>
            <w:shd w:val="clear" w:color="auto" w:fill="auto"/>
          </w:tcPr>
          <w:p>
            <w:pPr>
              <w:adjustRightInd w:val="0"/>
              <w:snapToGrid w:val="0"/>
              <w:contextualSpacing/>
              <w:rPr>
                <w:rFonts w:ascii="Times New Roman" w:hAnsi="Times New Roman" w:eastAsia="等线" w:cs="Times New Roman"/>
                <w:bCs/>
                <w:sz w:val="24"/>
                <w:szCs w:val="24"/>
              </w:rPr>
            </w:pPr>
            <w:r>
              <w:rPr>
                <w:rFonts w:hint="eastAsia" w:ascii="Times New Roman" w:hAnsi="Times New Roman" w:eastAsia="等线" w:cs="Times New Roman"/>
                <w:bCs/>
                <w:sz w:val="24"/>
                <w:szCs w:val="24"/>
              </w:rPr>
              <w:t>[Hydroxymethylglutaryl-CoA Reductase Inhibitors] explode all trees OR (Hydroxymethylglutaryl-CoA Reductase Inhibitors):ti,ab,kw OR (statin):ti,ab,kw and [randomized controlled trial] with Cochrane Library publication date from Jan 1900 to Sep 2023</w:t>
            </w:r>
          </w:p>
        </w:tc>
      </w:tr>
    </w:tbl>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sectPr>
          <w:footerReference r:id="rId3" w:type="default"/>
          <w:pgSz w:w="11906" w:h="16838"/>
          <w:pgMar w:top="1440" w:right="1800" w:bottom="1440" w:left="1800" w:header="851" w:footer="992" w:gutter="0"/>
          <w:pgNumType w:fmt="decimal"/>
          <w:cols w:space="425" w:num="1"/>
          <w:docGrid w:type="lines" w:linePitch="312" w:charSpace="0"/>
        </w:sectPr>
      </w:pPr>
    </w:p>
    <w:p>
      <w:pPr>
        <w:rPr>
          <w:rFonts w:hint="default" w:ascii="Times New Roman" w:hAnsi="Times New Roman" w:cs="Times New Roman" w:eastAsiaTheme="minorEastAsia"/>
          <w:b/>
          <w:bCs/>
          <w:sz w:val="24"/>
          <w:szCs w:val="24"/>
          <w:lang w:val="en-GB" w:eastAsia="zh-CN"/>
        </w:rPr>
      </w:pPr>
      <w:r>
        <w:rPr>
          <w:rFonts w:hint="default" w:ascii="Times New Roman" w:hAnsi="Times New Roman" w:cs="Times New Roman"/>
          <w:b/>
          <w:bCs/>
          <w:sz w:val="24"/>
          <w:szCs w:val="24"/>
          <w:lang w:val="en-US" w:eastAsia="zh-CN"/>
        </w:rPr>
        <w:t xml:space="preserve">3 </w:t>
      </w:r>
      <w:r>
        <w:rPr>
          <w:rFonts w:hint="eastAsia" w:ascii="Times New Roman" w:hAnsi="Times New Roman" w:cs="Times New Roman"/>
          <w:b/>
          <w:bCs/>
          <w:sz w:val="24"/>
          <w:szCs w:val="24"/>
          <w:lang w:val="en-US" w:eastAsia="zh-CN"/>
        </w:rPr>
        <w:t xml:space="preserve">  </w:t>
      </w:r>
      <w:bookmarkStart w:id="7" w:name="_GoBack"/>
      <w:bookmarkEnd w:id="7"/>
      <w:r>
        <w:rPr>
          <w:rFonts w:hint="default" w:ascii="Times New Roman" w:hAnsi="Times New Roman" w:cs="Times New Roman" w:eastAsiaTheme="minorEastAsia"/>
          <w:b/>
          <w:bCs/>
          <w:sz w:val="24"/>
          <w:szCs w:val="24"/>
          <w:lang w:val="en-GB" w:eastAsia="zh-CN"/>
        </w:rPr>
        <w:t>PRISMA 2009 Checklist</w:t>
      </w:r>
    </w:p>
    <w:tbl>
      <w:tblPr>
        <w:tblStyle w:val="8"/>
        <w:tblpPr w:leftFromText="180" w:rightFromText="180" w:vertAnchor="text" w:horzAnchor="page" w:tblpX="791" w:tblpY="559"/>
        <w:tblOverlap w:val="never"/>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3"/>
              <w:spacing w:line="240" w:lineRule="auto"/>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13"/>
              <w:spacing w:line="240" w:lineRule="auto"/>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3"/>
              <w:spacing w:line="240" w:lineRule="auto"/>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13"/>
              <w:spacing w:line="240" w:lineRule="auto"/>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13"/>
              <w:spacing w:line="240" w:lineRule="auto"/>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13"/>
              <w:spacing w:line="240" w:lineRule="auto"/>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vAlign w:val="top"/>
          </w:tcPr>
          <w:p>
            <w:pPr>
              <w:pStyle w:val="13"/>
              <w:spacing w:before="40" w:after="40" w:line="240" w:lineRule="auto"/>
              <w:rPr>
                <w:rFonts w:ascii="Arial" w:hAnsi="Arial" w:cs="Arial"/>
                <w:sz w:val="18"/>
                <w:szCs w:val="18"/>
              </w:rPr>
            </w:pPr>
            <w:r>
              <w:rPr>
                <w:rFonts w:hint="eastAsia" w:ascii="Arial" w:hAnsi="Arial" w:cs="Arial"/>
                <w:sz w:val="18"/>
                <w:szCs w:val="18"/>
              </w:rPr>
              <w:t>In the registration information on the PROSPERO website, we submitted a part of the review protocol, if you need the full review protocol, please contact the corresponding author.</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vAlign w:val="top"/>
          </w:tcPr>
          <w:p>
            <w:pPr>
              <w:pStyle w:val="13"/>
              <w:spacing w:before="40" w:after="40" w:line="240" w:lineRule="auto"/>
              <w:rPr>
                <w:rFonts w:ascii="Arial" w:hAnsi="Arial" w:cs="Arial"/>
                <w:sz w:val="18"/>
                <w:szCs w:val="18"/>
              </w:rPr>
            </w:pPr>
            <w:r>
              <w:rPr>
                <w:rFonts w:hint="eastAsia" w:ascii="Arial" w:hAnsi="Arial" w:cs="Arial"/>
                <w:sz w:val="18"/>
                <w:szCs w:val="18"/>
              </w:rPr>
              <w:t>Differences from protocol:</w:t>
            </w:r>
            <w:r>
              <w:rPr>
                <w:rFonts w:hint="eastAsia" w:ascii="Arial" w:hAnsi="Arial" w:eastAsia="宋体" w:cs="Arial"/>
                <w:sz w:val="18"/>
                <w:szCs w:val="18"/>
                <w:lang w:val="en-US" w:eastAsia="zh-CN"/>
              </w:rPr>
              <w:t>we use</w:t>
            </w:r>
            <w:r>
              <w:rPr>
                <w:rFonts w:hint="eastAsia" w:ascii="Arial" w:hAnsi="Arial" w:cs="Arial"/>
                <w:sz w:val="18"/>
                <w:szCs w:val="18"/>
              </w:rPr>
              <w:t xml:space="preserve"> odds ratios (ORs)</w:t>
            </w:r>
            <w:r>
              <w:rPr>
                <w:rFonts w:hint="eastAsia" w:ascii="Arial" w:hAnsi="Arial" w:eastAsia="宋体" w:cs="Arial"/>
                <w:sz w:val="18"/>
                <w:szCs w:val="18"/>
                <w:lang w:val="en-US" w:eastAsia="zh-CN"/>
              </w:rPr>
              <w:t xml:space="preserve"> to report </w:t>
            </w:r>
            <w:r>
              <w:rPr>
                <w:rFonts w:hint="eastAsia" w:ascii="Arial" w:hAnsi="Arial" w:cs="Arial"/>
                <w:sz w:val="18"/>
                <w:szCs w:val="18"/>
              </w:rPr>
              <w:t>calculate</w:t>
            </w:r>
            <w:r>
              <w:rPr>
                <w:rFonts w:hint="eastAsia" w:ascii="Arial" w:hAnsi="Arial" w:eastAsia="宋体" w:cs="Arial"/>
                <w:sz w:val="18"/>
                <w:szCs w:val="18"/>
                <w:lang w:val="en-US" w:eastAsia="zh-CN"/>
              </w:rPr>
              <w:t>d</w:t>
            </w:r>
            <w:r>
              <w:rPr>
                <w:rFonts w:hint="eastAsia" w:ascii="Arial" w:hAnsi="Arial" w:cs="Arial"/>
                <w:sz w:val="18"/>
                <w:szCs w:val="18"/>
              </w:rPr>
              <w:t xml:space="preserve"> weighted means</w:t>
            </w:r>
            <w:r>
              <w:rPr>
                <w:rFonts w:hint="eastAsia" w:ascii="Arial" w:hAnsi="Arial" w:eastAsia="宋体" w:cs="Arial"/>
                <w:sz w:val="18"/>
                <w:szCs w:val="18"/>
                <w:lang w:val="en-US" w:eastAsia="zh-CN"/>
              </w:rPr>
              <w:t>.</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13"/>
              <w:spacing w:before="40" w:after="40" w:line="240" w:lineRule="auto"/>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bl>
    <w:p>
      <w:pPr>
        <w:rPr>
          <w:rFonts w:hint="default" w:ascii="Times New Roman" w:hAnsi="Times New Roman" w:cs="Times New Roman" w:eastAsiaTheme="minorEastAsia"/>
          <w:b/>
          <w:bCs/>
          <w:sz w:val="24"/>
          <w:szCs w:val="24"/>
          <w:lang w:val="en-GB" w:eastAsia="zh-CN"/>
        </w:rPr>
      </w:pPr>
    </w:p>
    <w:p>
      <w:pPr>
        <w:rPr>
          <w:rFonts w:hint="default" w:ascii="Times New Roman" w:hAnsi="Times New Roman" w:cs="Times New Roman" w:eastAsiaTheme="minorEastAsia"/>
          <w:b/>
          <w:bCs/>
          <w:sz w:val="24"/>
          <w:szCs w:val="24"/>
          <w:lang w:val="en-GB" w:eastAsia="zh-CN"/>
        </w:rPr>
      </w:pPr>
    </w:p>
    <w:sectPr>
      <w:pgSz w:w="16838" w:h="11906" w:orient="landscape"/>
      <w:pgMar w:top="431" w:right="431" w:bottom="431" w:left="43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4NzhkNmI2ZTkyMTZjYWJiMDQ1YmQxOTYzNDBhZDQifQ=="/>
  </w:docVars>
  <w:rsids>
    <w:rsidRoot w:val="00FF074D"/>
    <w:rsid w:val="0014413C"/>
    <w:rsid w:val="0015530F"/>
    <w:rsid w:val="006263E2"/>
    <w:rsid w:val="00711F7A"/>
    <w:rsid w:val="00746A22"/>
    <w:rsid w:val="00822D5D"/>
    <w:rsid w:val="009548BA"/>
    <w:rsid w:val="00954D7F"/>
    <w:rsid w:val="00B10EE9"/>
    <w:rsid w:val="00D813EE"/>
    <w:rsid w:val="00DB76D3"/>
    <w:rsid w:val="00E422D8"/>
    <w:rsid w:val="00E648B5"/>
    <w:rsid w:val="00FA7126"/>
    <w:rsid w:val="00FF074D"/>
    <w:rsid w:val="0AE56C97"/>
    <w:rsid w:val="11F93EC3"/>
    <w:rsid w:val="1FD3243C"/>
    <w:rsid w:val="21BE3C0C"/>
    <w:rsid w:val="2AFC3C94"/>
    <w:rsid w:val="2DC13DEC"/>
    <w:rsid w:val="35BC73BF"/>
    <w:rsid w:val="4966572A"/>
    <w:rsid w:val="4AD6479B"/>
    <w:rsid w:val="51B53AFE"/>
    <w:rsid w:val="6521764F"/>
    <w:rsid w:val="6F551618"/>
    <w:rsid w:val="70205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outlineLvl w:val="1"/>
    </w:p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uppressLineNumbers/>
      <w:spacing w:before="240" w:after="360"/>
      <w:jc w:val="center"/>
    </w:pPr>
    <w:rPr>
      <w:rFonts w:cs="Times New Roman"/>
      <w:b/>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无格式表格 41"/>
    <w:basedOn w:val="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2">
    <w:name w:val="Supplementary Material"/>
    <w:basedOn w:val="7"/>
    <w:next w:val="7"/>
    <w:qFormat/>
    <w:uiPriority w:val="0"/>
    <w:pPr>
      <w:spacing w:after="120"/>
    </w:pPr>
    <w:rPr>
      <w:i/>
    </w:rPr>
  </w:style>
  <w:style w:type="paragraph" w:customStyle="1" w:styleId="13">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diamond"/>
            <c:size val="5"/>
            <c:spPr>
              <a:solidFill>
                <a:schemeClr val="tx1"/>
              </a:solidFill>
              <a:ln w="22225">
                <a:solidFill>
                  <a:schemeClr val="tx1"/>
                </a:solidFill>
              </a:ln>
              <a:effectLst/>
            </c:spPr>
          </c:marker>
          <c:dLbls>
            <c:delete val="1"/>
          </c:dLbls>
          <c:errBars>
            <c:errDir val="x"/>
            <c:errBarType val="both"/>
            <c:errValType val="cust"/>
            <c:noEndCap val="0"/>
            <c:plus>
              <c:numRef>
                <c:f>Sheet1!$K$6:$K$9</c:f>
                <c:numCache>
                  <c:formatCode>General</c:formatCode>
                  <c:ptCount val="4"/>
                  <c:pt idx="0">
                    <c:v>0.15</c:v>
                  </c:pt>
                  <c:pt idx="1">
                    <c:v>0.46</c:v>
                  </c:pt>
                  <c:pt idx="2">
                    <c:v>0.16</c:v>
                  </c:pt>
                  <c:pt idx="3">
                    <c:v>0.18</c:v>
                  </c:pt>
                </c:numCache>
              </c:numRef>
            </c:plus>
            <c:minus>
              <c:numRef>
                <c:f>Sheet1!$J$6:$J$9</c:f>
                <c:numCache>
                  <c:formatCode>General</c:formatCode>
                  <c:ptCount val="4"/>
                  <c:pt idx="0">
                    <c:v>0.13</c:v>
                  </c:pt>
                  <c:pt idx="1">
                    <c:v>0.32</c:v>
                  </c:pt>
                  <c:pt idx="2">
                    <c:v>0.13</c:v>
                  </c:pt>
                  <c:pt idx="3">
                    <c:v>0.14</c:v>
                  </c:pt>
                </c:numCache>
              </c:numRef>
            </c:minus>
            <c:spPr>
              <a:noFill/>
              <a:ln w="22225" cap="flat" cmpd="sng" algn="ctr">
                <a:solidFill>
                  <a:schemeClr val="tx1"/>
                </a:solidFill>
                <a:round/>
              </a:ln>
              <a:effectLst/>
            </c:spPr>
          </c:errBars>
          <c:xVal>
            <c:numRef>
              <c:f>Sheet1!$G$6:$G$9</c:f>
              <c:numCache>
                <c:formatCode>General</c:formatCode>
                <c:ptCount val="4"/>
                <c:pt idx="0">
                  <c:v>0.99</c:v>
                </c:pt>
                <c:pt idx="1">
                  <c:v>1.13</c:v>
                </c:pt>
                <c:pt idx="2">
                  <c:v>1.01</c:v>
                </c:pt>
                <c:pt idx="3">
                  <c:v>0.97</c:v>
                </c:pt>
              </c:numCache>
            </c:numRef>
          </c:xVal>
          <c:yVal>
            <c:numRef>
              <c:f>Sheet1!$F$6:$F$9</c:f>
              <c:numCache>
                <c:formatCode>General</c:formatCode>
                <c:ptCount val="4"/>
                <c:pt idx="0">
                  <c:v>4</c:v>
                </c:pt>
                <c:pt idx="1">
                  <c:v>3</c:v>
                </c:pt>
                <c:pt idx="2">
                  <c:v>2</c:v>
                </c:pt>
                <c:pt idx="3">
                  <c:v>1</c:v>
                </c:pt>
              </c:numCache>
            </c:numRef>
          </c:yVal>
          <c:smooth val="0"/>
        </c:ser>
        <c:ser>
          <c:idx val="1"/>
          <c:order val="1"/>
          <c:spPr>
            <a:ln w="12700" cap="rnd">
              <a:solidFill>
                <a:schemeClr val="tx1"/>
              </a:solidFill>
              <a:round/>
            </a:ln>
            <a:effectLst/>
          </c:spPr>
          <c:marker>
            <c:symbol val="circle"/>
            <c:size val="5"/>
            <c:spPr>
              <a:noFill/>
              <a:ln w="9525">
                <a:noFill/>
              </a:ln>
              <a:effectLst/>
            </c:spPr>
          </c:marker>
          <c:dLbls>
            <c:delete val="1"/>
          </c:dLbls>
          <c:xVal>
            <c:numRef>
              <c:f>Sheet1!$L$6:$L$10</c:f>
              <c:numCache>
                <c:formatCode>General</c:formatCode>
                <c:ptCount val="5"/>
                <c:pt idx="0">
                  <c:v>1</c:v>
                </c:pt>
                <c:pt idx="1">
                  <c:v>1</c:v>
                </c:pt>
                <c:pt idx="2">
                  <c:v>1</c:v>
                </c:pt>
                <c:pt idx="3">
                  <c:v>1</c:v>
                </c:pt>
                <c:pt idx="4">
                  <c:v>1</c:v>
                </c:pt>
              </c:numCache>
            </c:numRef>
          </c:xVal>
          <c:yVal>
            <c:numRef>
              <c:f>Sheet1!$F$6:$F$10</c:f>
              <c:numCache>
                <c:formatCode>General</c:formatCode>
                <c:ptCount val="5"/>
                <c:pt idx="0">
                  <c:v>4</c:v>
                </c:pt>
                <c:pt idx="1">
                  <c:v>3</c:v>
                </c:pt>
                <c:pt idx="2">
                  <c:v>2</c:v>
                </c:pt>
                <c:pt idx="3">
                  <c:v>1</c:v>
                </c:pt>
                <c:pt idx="4">
                  <c:v>0</c:v>
                </c:pt>
              </c:numCache>
            </c:numRef>
          </c:yVal>
          <c:smooth val="0"/>
        </c:ser>
        <c:dLbls>
          <c:showLegendKey val="0"/>
          <c:showVal val="0"/>
          <c:showCatName val="0"/>
          <c:showSerName val="0"/>
          <c:showPercent val="0"/>
          <c:showBubbleSize val="0"/>
        </c:dLbls>
        <c:axId val="777034192"/>
        <c:axId val="670940496"/>
      </c:scatterChart>
      <c:valAx>
        <c:axId val="777034192"/>
        <c:scaling>
          <c:orientation val="minMax"/>
          <c:min val="0.5"/>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940496"/>
        <c:crosses val="autoZero"/>
        <c:crossBetween val="midCat"/>
      </c:valAx>
      <c:valAx>
        <c:axId val="67094049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0341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diamond"/>
            <c:size val="5"/>
            <c:spPr>
              <a:solidFill>
                <a:schemeClr val="tx1"/>
              </a:solidFill>
              <a:ln w="22225">
                <a:solidFill>
                  <a:schemeClr val="tx1"/>
                </a:solidFill>
              </a:ln>
              <a:effectLst/>
            </c:spPr>
          </c:marker>
          <c:dLbls>
            <c:delete val="1"/>
          </c:dLbls>
          <c:errBars>
            <c:errDir val="x"/>
            <c:errBarType val="both"/>
            <c:errValType val="cust"/>
            <c:noEndCap val="0"/>
            <c:plus>
              <c:numRef>
                <c:f>Sheet1!$K$18:$K$22</c:f>
                <c:numCache>
                  <c:formatCode>General</c:formatCode>
                  <c:ptCount val="5"/>
                  <c:pt idx="0">
                    <c:v>0.0800000000000001</c:v>
                  </c:pt>
                  <c:pt idx="1">
                    <c:v>0.05</c:v>
                  </c:pt>
                  <c:pt idx="3">
                    <c:v>0.05</c:v>
                  </c:pt>
                  <c:pt idx="4">
                    <c:v>0.14</c:v>
                  </c:pt>
                </c:numCache>
              </c:numRef>
            </c:plus>
            <c:minus>
              <c:numRef>
                <c:f>Sheet1!$J$18:$J$22</c:f>
                <c:numCache>
                  <c:formatCode>General</c:formatCode>
                  <c:ptCount val="5"/>
                  <c:pt idx="0">
                    <c:v>0.0600000000000001</c:v>
                  </c:pt>
                  <c:pt idx="1">
                    <c:v>0.0599999999999999</c:v>
                  </c:pt>
                  <c:pt idx="3">
                    <c:v>0.05</c:v>
                  </c:pt>
                  <c:pt idx="4">
                    <c:v>0.0900000000000001</c:v>
                  </c:pt>
                </c:numCache>
              </c:numRef>
            </c:minus>
            <c:spPr>
              <a:noFill/>
              <a:ln w="22225" cap="flat" cmpd="sng" algn="ctr">
                <a:solidFill>
                  <a:schemeClr val="tx1">
                    <a:lumMod val="65000"/>
                    <a:lumOff val="35000"/>
                  </a:schemeClr>
                </a:solidFill>
                <a:round/>
              </a:ln>
              <a:effectLst/>
            </c:spPr>
          </c:errBars>
          <c:xVal>
            <c:numRef>
              <c:f>Sheet1!$G$18:$G$22</c:f>
              <c:numCache>
                <c:formatCode>General</c:formatCode>
                <c:ptCount val="5"/>
                <c:pt idx="0">
                  <c:v>1</c:v>
                </c:pt>
                <c:pt idx="1">
                  <c:v>0.98</c:v>
                </c:pt>
                <c:pt idx="3">
                  <c:v>0.99</c:v>
                </c:pt>
                <c:pt idx="4">
                  <c:v>0.91</c:v>
                </c:pt>
              </c:numCache>
            </c:numRef>
          </c:xVal>
          <c:yVal>
            <c:numRef>
              <c:f>Sheet1!$F$18:$F$22</c:f>
              <c:numCache>
                <c:formatCode>General</c:formatCode>
                <c:ptCount val="5"/>
                <c:pt idx="0">
                  <c:v>5</c:v>
                </c:pt>
                <c:pt idx="1">
                  <c:v>4</c:v>
                </c:pt>
                <c:pt idx="2">
                  <c:v>3</c:v>
                </c:pt>
                <c:pt idx="3">
                  <c:v>2</c:v>
                </c:pt>
                <c:pt idx="4">
                  <c:v>1</c:v>
                </c:pt>
              </c:numCache>
            </c:numRef>
          </c:yVal>
          <c:smooth val="0"/>
        </c:ser>
        <c:ser>
          <c:idx val="1"/>
          <c:order val="1"/>
          <c:spPr>
            <a:ln w="12700" cap="rnd">
              <a:solidFill>
                <a:schemeClr val="tx1"/>
              </a:solidFill>
              <a:round/>
            </a:ln>
            <a:effectLst/>
          </c:spPr>
          <c:marker>
            <c:symbol val="circle"/>
            <c:size val="5"/>
            <c:spPr>
              <a:noFill/>
              <a:ln w="9525">
                <a:noFill/>
              </a:ln>
              <a:effectLst/>
            </c:spPr>
          </c:marker>
          <c:dLbls>
            <c:delete val="1"/>
          </c:dLbls>
          <c:xVal>
            <c:numRef>
              <c:f>Sheet1!$L$18:$L$23</c:f>
              <c:numCache>
                <c:formatCode>General</c:formatCode>
                <c:ptCount val="6"/>
                <c:pt idx="0">
                  <c:v>1</c:v>
                </c:pt>
                <c:pt idx="1">
                  <c:v>1</c:v>
                </c:pt>
                <c:pt idx="2">
                  <c:v>1</c:v>
                </c:pt>
                <c:pt idx="3">
                  <c:v>1</c:v>
                </c:pt>
                <c:pt idx="4">
                  <c:v>1</c:v>
                </c:pt>
                <c:pt idx="5">
                  <c:v>1</c:v>
                </c:pt>
              </c:numCache>
            </c:numRef>
          </c:xVal>
          <c:yVal>
            <c:numRef>
              <c:f>Sheet1!$F$18:$F$23</c:f>
              <c:numCache>
                <c:formatCode>General</c:formatCode>
                <c:ptCount val="6"/>
                <c:pt idx="0">
                  <c:v>5</c:v>
                </c:pt>
                <c:pt idx="1">
                  <c:v>4</c:v>
                </c:pt>
                <c:pt idx="2">
                  <c:v>3</c:v>
                </c:pt>
                <c:pt idx="3">
                  <c:v>2</c:v>
                </c:pt>
                <c:pt idx="4">
                  <c:v>1</c:v>
                </c:pt>
                <c:pt idx="5">
                  <c:v>0</c:v>
                </c:pt>
              </c:numCache>
            </c:numRef>
          </c:yVal>
          <c:smooth val="0"/>
        </c:ser>
        <c:dLbls>
          <c:showLegendKey val="0"/>
          <c:showVal val="0"/>
          <c:showCatName val="0"/>
          <c:showSerName val="0"/>
          <c:showPercent val="0"/>
          <c:showBubbleSize val="0"/>
        </c:dLbls>
        <c:axId val="940209776"/>
        <c:axId val="670946256"/>
      </c:scatterChart>
      <c:valAx>
        <c:axId val="940209776"/>
        <c:scaling>
          <c:orientation val="minMax"/>
          <c:min val="0.6"/>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946256"/>
        <c:crosses val="autoZero"/>
        <c:crossBetween val="midCat"/>
      </c:valAx>
      <c:valAx>
        <c:axId val="67094625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0209776"/>
        <c:crosses val="autoZero"/>
        <c:crossBetween val="midCat"/>
      </c:valAx>
      <c:spPr>
        <a:noFill/>
        <a:ln>
          <a:noFill/>
        </a:ln>
        <a:effectLst/>
      </c:spPr>
    </c:plotArea>
    <c:plotVisOnly val="1"/>
    <c:dispBlanksAs val="gap"/>
    <c:showDLblsOverMax val="0"/>
  </c:chart>
  <c:spPr>
    <a:solidFill>
      <a:schemeClr val="bg1"/>
    </a:solidFill>
    <a:ln w="6350"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diamond"/>
            <c:size val="5"/>
            <c:spPr>
              <a:solidFill>
                <a:schemeClr val="tx1"/>
              </a:solidFill>
              <a:ln w="22225">
                <a:solidFill>
                  <a:schemeClr val="tx1"/>
                </a:solidFill>
              </a:ln>
              <a:effectLst/>
            </c:spPr>
          </c:marker>
          <c:dLbls>
            <c:delete val="1"/>
          </c:dLbls>
          <c:errBars>
            <c:errDir val="x"/>
            <c:errBarType val="both"/>
            <c:errValType val="cust"/>
            <c:noEndCap val="0"/>
            <c:plus>
              <c:numRef>
                <c:f>Sheet1!$K$25:$K$29</c:f>
                <c:numCache>
                  <c:formatCode>General</c:formatCode>
                  <c:ptCount val="5"/>
                  <c:pt idx="0">
                    <c:v>0.12</c:v>
                  </c:pt>
                  <c:pt idx="1">
                    <c:v>0.12</c:v>
                  </c:pt>
                  <c:pt idx="3">
                    <c:v>0.0900000000000001</c:v>
                  </c:pt>
                  <c:pt idx="4">
                    <c:v>0.14</c:v>
                  </c:pt>
                </c:numCache>
              </c:numRef>
            </c:plus>
            <c:minus>
              <c:numRef>
                <c:f>Sheet1!$J$25:$J$29</c:f>
                <c:numCache>
                  <c:formatCode>General</c:formatCode>
                  <c:ptCount val="5"/>
                  <c:pt idx="0">
                    <c:v>0.11</c:v>
                  </c:pt>
                  <c:pt idx="1">
                    <c:v>0.1</c:v>
                  </c:pt>
                  <c:pt idx="3">
                    <c:v>0.1</c:v>
                  </c:pt>
                  <c:pt idx="4">
                    <c:v>0.13</c:v>
                  </c:pt>
                </c:numCache>
              </c:numRef>
            </c:minus>
            <c:spPr>
              <a:noFill/>
              <a:ln w="22225" cap="flat" cmpd="sng" algn="ctr">
                <a:solidFill>
                  <a:schemeClr val="tx1"/>
                </a:solidFill>
                <a:round/>
              </a:ln>
              <a:effectLst/>
            </c:spPr>
          </c:errBars>
          <c:xVal>
            <c:numRef>
              <c:f>Sheet1!$G$25:$G$29</c:f>
              <c:numCache>
                <c:formatCode>General</c:formatCode>
                <c:ptCount val="5"/>
                <c:pt idx="0">
                  <c:v>0.99</c:v>
                </c:pt>
                <c:pt idx="1">
                  <c:v>0.99</c:v>
                </c:pt>
                <c:pt idx="3">
                  <c:v>1.01</c:v>
                </c:pt>
                <c:pt idx="4">
                  <c:v>0.96</c:v>
                </c:pt>
              </c:numCache>
            </c:numRef>
          </c:xVal>
          <c:yVal>
            <c:numRef>
              <c:f>Sheet1!$F$25:$F$29</c:f>
              <c:numCache>
                <c:formatCode>General</c:formatCode>
                <c:ptCount val="5"/>
                <c:pt idx="0">
                  <c:v>5</c:v>
                </c:pt>
                <c:pt idx="1">
                  <c:v>4</c:v>
                </c:pt>
                <c:pt idx="2">
                  <c:v>3</c:v>
                </c:pt>
                <c:pt idx="3">
                  <c:v>2</c:v>
                </c:pt>
                <c:pt idx="4">
                  <c:v>1</c:v>
                </c:pt>
              </c:numCache>
            </c:numRef>
          </c:yVal>
          <c:smooth val="0"/>
        </c:ser>
        <c:ser>
          <c:idx val="1"/>
          <c:order val="1"/>
          <c:spPr>
            <a:ln w="12700" cap="rnd">
              <a:solidFill>
                <a:schemeClr val="tx1"/>
              </a:solidFill>
              <a:round/>
            </a:ln>
            <a:effectLst/>
          </c:spPr>
          <c:marker>
            <c:symbol val="circle"/>
            <c:size val="5"/>
            <c:spPr>
              <a:noFill/>
              <a:ln w="9525">
                <a:noFill/>
              </a:ln>
              <a:effectLst/>
            </c:spPr>
          </c:marker>
          <c:dLbls>
            <c:delete val="1"/>
          </c:dLbls>
          <c:xVal>
            <c:numRef>
              <c:f>Sheet1!$L$25:$L$30</c:f>
              <c:numCache>
                <c:formatCode>General</c:formatCode>
                <c:ptCount val="6"/>
                <c:pt idx="0">
                  <c:v>1</c:v>
                </c:pt>
                <c:pt idx="1">
                  <c:v>1</c:v>
                </c:pt>
                <c:pt idx="2">
                  <c:v>1</c:v>
                </c:pt>
                <c:pt idx="3">
                  <c:v>1</c:v>
                </c:pt>
                <c:pt idx="4">
                  <c:v>1</c:v>
                </c:pt>
                <c:pt idx="5">
                  <c:v>1</c:v>
                </c:pt>
              </c:numCache>
            </c:numRef>
          </c:xVal>
          <c:yVal>
            <c:numRef>
              <c:f>Sheet1!$F$25:$F$30</c:f>
              <c:numCache>
                <c:formatCode>General</c:formatCode>
                <c:ptCount val="6"/>
                <c:pt idx="0">
                  <c:v>5</c:v>
                </c:pt>
                <c:pt idx="1">
                  <c:v>4</c:v>
                </c:pt>
                <c:pt idx="2">
                  <c:v>3</c:v>
                </c:pt>
                <c:pt idx="3">
                  <c:v>2</c:v>
                </c:pt>
                <c:pt idx="4">
                  <c:v>1</c:v>
                </c:pt>
                <c:pt idx="5">
                  <c:v>0</c:v>
                </c:pt>
              </c:numCache>
            </c:numRef>
          </c:yVal>
          <c:smooth val="0"/>
        </c:ser>
        <c:dLbls>
          <c:showLegendKey val="0"/>
          <c:showVal val="0"/>
          <c:showCatName val="0"/>
          <c:showSerName val="0"/>
          <c:showPercent val="0"/>
          <c:showBubbleSize val="0"/>
        </c:dLbls>
        <c:axId val="960437664"/>
        <c:axId val="965705072"/>
      </c:scatterChart>
      <c:valAx>
        <c:axId val="960437664"/>
        <c:scaling>
          <c:orientation val="minMax"/>
          <c:min val="0.6"/>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5705072"/>
        <c:crosses val="autoZero"/>
        <c:crossBetween val="midCat"/>
      </c:valAx>
      <c:valAx>
        <c:axId val="96570507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043766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diamond"/>
            <c:size val="5"/>
            <c:spPr>
              <a:solidFill>
                <a:schemeClr val="tx1"/>
              </a:solidFill>
              <a:ln w="22225">
                <a:solidFill>
                  <a:schemeClr val="tx1"/>
                </a:solidFill>
              </a:ln>
              <a:effectLst/>
            </c:spPr>
          </c:marker>
          <c:dLbls>
            <c:delete val="1"/>
          </c:dLbls>
          <c:errBars>
            <c:errDir val="x"/>
            <c:errBarType val="both"/>
            <c:errValType val="cust"/>
            <c:noEndCap val="0"/>
            <c:plus>
              <c:numRef>
                <c:f>Sheet1!$K$12:$K$15</c:f>
                <c:numCache>
                  <c:formatCode>General</c:formatCode>
                  <c:ptCount val="4"/>
                  <c:pt idx="0">
                    <c:v>0.0599999999999999</c:v>
                  </c:pt>
                  <c:pt idx="1">
                    <c:v>0.0399999999999999</c:v>
                  </c:pt>
                  <c:pt idx="2">
                    <c:v>0.0299999999999999</c:v>
                  </c:pt>
                  <c:pt idx="3">
                    <c:v>0.04</c:v>
                  </c:pt>
                </c:numCache>
              </c:numRef>
            </c:plus>
            <c:minus>
              <c:numRef>
                <c:f>Sheet1!$J$12:$J$15</c:f>
                <c:numCache>
                  <c:formatCode>General</c:formatCode>
                  <c:ptCount val="4"/>
                  <c:pt idx="0">
                    <c:v>0.04</c:v>
                  </c:pt>
                  <c:pt idx="1">
                    <c:v>0.03</c:v>
                  </c:pt>
                  <c:pt idx="2">
                    <c:v>0.03</c:v>
                  </c:pt>
                  <c:pt idx="3">
                    <c:v>0.0399999999999999</c:v>
                  </c:pt>
                </c:numCache>
              </c:numRef>
            </c:minus>
            <c:spPr>
              <a:noFill/>
              <a:ln w="22225" cap="flat" cmpd="sng" algn="ctr">
                <a:solidFill>
                  <a:schemeClr val="tx1">
                    <a:lumMod val="65000"/>
                    <a:lumOff val="35000"/>
                  </a:schemeClr>
                </a:solidFill>
                <a:round/>
              </a:ln>
              <a:effectLst/>
            </c:spPr>
          </c:errBars>
          <c:xVal>
            <c:numRef>
              <c:f>Sheet1!$G$12:$G$15</c:f>
              <c:numCache>
                <c:formatCode>General</c:formatCode>
                <c:ptCount val="4"/>
                <c:pt idx="0">
                  <c:v>0.8</c:v>
                </c:pt>
                <c:pt idx="1">
                  <c:v>0.68</c:v>
                </c:pt>
                <c:pt idx="2">
                  <c:v>0.8</c:v>
                </c:pt>
                <c:pt idx="3">
                  <c:v>0.83</c:v>
                </c:pt>
              </c:numCache>
            </c:numRef>
          </c:xVal>
          <c:yVal>
            <c:numRef>
              <c:f>Sheet1!$F$12:$F$15</c:f>
              <c:numCache>
                <c:formatCode>General</c:formatCode>
                <c:ptCount val="4"/>
                <c:pt idx="0">
                  <c:v>4</c:v>
                </c:pt>
                <c:pt idx="1">
                  <c:v>3</c:v>
                </c:pt>
                <c:pt idx="2">
                  <c:v>2</c:v>
                </c:pt>
                <c:pt idx="3">
                  <c:v>1</c:v>
                </c:pt>
              </c:numCache>
            </c:numRef>
          </c:yVal>
          <c:smooth val="0"/>
        </c:ser>
        <c:ser>
          <c:idx val="1"/>
          <c:order val="1"/>
          <c:spPr>
            <a:ln w="12700" cap="rnd">
              <a:solidFill>
                <a:schemeClr val="tx1">
                  <a:lumMod val="65000"/>
                  <a:lumOff val="35000"/>
                </a:schemeClr>
              </a:solidFill>
              <a:round/>
            </a:ln>
            <a:effectLst/>
          </c:spPr>
          <c:marker>
            <c:symbol val="circle"/>
            <c:size val="5"/>
            <c:spPr>
              <a:noFill/>
              <a:ln w="9525">
                <a:noFill/>
              </a:ln>
              <a:effectLst/>
            </c:spPr>
          </c:marker>
          <c:dLbls>
            <c:delete val="1"/>
          </c:dLbls>
          <c:xVal>
            <c:numRef>
              <c:f>Sheet1!$L$12:$L$16</c:f>
              <c:numCache>
                <c:formatCode>General</c:formatCode>
                <c:ptCount val="5"/>
                <c:pt idx="0">
                  <c:v>1</c:v>
                </c:pt>
                <c:pt idx="1">
                  <c:v>1</c:v>
                </c:pt>
                <c:pt idx="2">
                  <c:v>1</c:v>
                </c:pt>
                <c:pt idx="3">
                  <c:v>1</c:v>
                </c:pt>
                <c:pt idx="4">
                  <c:v>1</c:v>
                </c:pt>
              </c:numCache>
            </c:numRef>
          </c:xVal>
          <c:yVal>
            <c:numRef>
              <c:f>Sheet1!$F$12:$F$16</c:f>
              <c:numCache>
                <c:formatCode>General</c:formatCode>
                <c:ptCount val="5"/>
                <c:pt idx="0">
                  <c:v>4</c:v>
                </c:pt>
                <c:pt idx="1">
                  <c:v>3</c:v>
                </c:pt>
                <c:pt idx="2">
                  <c:v>2</c:v>
                </c:pt>
                <c:pt idx="3">
                  <c:v>1</c:v>
                </c:pt>
                <c:pt idx="4">
                  <c:v>0</c:v>
                </c:pt>
              </c:numCache>
            </c:numRef>
          </c:yVal>
          <c:smooth val="0"/>
        </c:ser>
        <c:dLbls>
          <c:showLegendKey val="0"/>
          <c:showVal val="0"/>
          <c:showCatName val="0"/>
          <c:showSerName val="0"/>
          <c:showPercent val="0"/>
          <c:showBubbleSize val="0"/>
        </c:dLbls>
        <c:axId val="770569952"/>
        <c:axId val="772474544"/>
      </c:scatterChart>
      <c:valAx>
        <c:axId val="770569952"/>
        <c:scaling>
          <c:orientation val="minMax"/>
          <c:max val="1.2"/>
          <c:min val="0.6"/>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2474544"/>
        <c:crosses val="autoZero"/>
        <c:crossBetween val="midCat"/>
      </c:valAx>
      <c:valAx>
        <c:axId val="77247454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56995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6EEDC8-B79F-4CFD-A3FA-E62ECAEE6F7E}">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253</Words>
  <Characters>1436</Characters>
  <Lines>11</Lines>
  <Paragraphs>3</Paragraphs>
  <TotalTime>2</TotalTime>
  <ScaleCrop>false</ScaleCrop>
  <LinksUpToDate>false</LinksUpToDate>
  <CharactersWithSpaces>1549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2023-08-28T07:56:00Z</dcterms:created>
  <dc:creator>Chenzj</dc:creator>
  <cp:lastModifiedBy>喜东喜东喜东东</cp:lastModifiedBy>
  <dcterms:modified xsi:type="dcterms:W3CDTF">2023-10-14T10:12:01Z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1C63A5822E924201ABDE57ED579FA9A6_13</vt:lpwstr>
  </property>
</Properties>
</file>