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B3E" w:rsidRDefault="00C60B3E" w:rsidP="00C60B3E">
      <w:pPr>
        <w:rPr>
          <w:rFonts w:ascii="Times New Roman" w:hAnsi="Times New Roman" w:cs="Times New Roman"/>
          <w:sz w:val="18"/>
          <w:szCs w:val="18"/>
        </w:rPr>
      </w:pPr>
    </w:p>
    <w:p w:rsidR="00C60B3E" w:rsidRPr="002B7571" w:rsidRDefault="00C60B3E" w:rsidP="00C60B3E">
      <w:r>
        <w:rPr>
          <w:noProof/>
          <w:lang w:val="sv-SE" w:eastAsia="sv-SE"/>
        </w:rPr>
        <w:drawing>
          <wp:inline distT="0" distB="0" distL="0" distR="0" wp14:anchorId="7566A667" wp14:editId="7E0AA27E">
            <wp:extent cx="5612130" cy="247904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luc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B3E" w:rsidRPr="002B7571" w:rsidRDefault="00C60B3E" w:rsidP="00C60B3E"/>
    <w:p w:rsidR="00C60B3E" w:rsidRDefault="00EB3A68" w:rsidP="00C60B3E">
      <w:pPr>
        <w:spacing w:after="160" w:line="259" w:lineRule="auto"/>
      </w:pPr>
      <w:r>
        <w:rPr>
          <w:b/>
        </w:rPr>
        <w:t>Supplemental</w:t>
      </w:r>
      <w:r w:rsidR="00C60B3E" w:rsidRPr="00920FDD">
        <w:rPr>
          <w:b/>
        </w:rPr>
        <w:t xml:space="preserve"> Figure S1</w:t>
      </w:r>
      <w:r w:rsidR="00C60B3E">
        <w:t xml:space="preserve">. Evaluation of enhancer activity by Luciferase reporter assay. </w:t>
      </w:r>
    </w:p>
    <w:p w:rsidR="00C60B3E" w:rsidRDefault="00C60B3E" w:rsidP="00C60B3E">
      <w:pPr>
        <w:spacing w:after="160" w:line="259" w:lineRule="auto"/>
      </w:pPr>
    </w:p>
    <w:p w:rsidR="00C60B3E" w:rsidRPr="00E12143" w:rsidRDefault="00C60B3E" w:rsidP="00C60B3E">
      <w:pPr>
        <w:pStyle w:val="ListParagraph"/>
        <w:numPr>
          <w:ilvl w:val="0"/>
          <w:numId w:val="1"/>
        </w:numPr>
        <w:spacing w:after="160" w:line="259" w:lineRule="auto"/>
        <w:rPr>
          <w:b/>
        </w:rPr>
      </w:pPr>
      <w:r w:rsidRPr="002B7571">
        <w:br w:type="page"/>
      </w:r>
      <w:proofErr w:type="gramStart"/>
      <w:r w:rsidRPr="00E12143">
        <w:rPr>
          <w:b/>
        </w:rPr>
        <w:lastRenderedPageBreak/>
        <w:t>gRNA-</w:t>
      </w:r>
      <w:proofErr w:type="gramEnd"/>
      <w:r w:rsidRPr="00E12143">
        <w:rPr>
          <w:b/>
        </w:rPr>
        <w:t>1- Bulk culture</w:t>
      </w:r>
      <w:r w:rsidRPr="00E12143">
        <w:rPr>
          <w:b/>
        </w:rPr>
        <w:br/>
      </w:r>
      <w:r w:rsidRPr="007B06CD">
        <w:t>Total efficiency: 97.8%. R</w:t>
      </w:r>
      <w:r w:rsidRPr="00E12143">
        <w:rPr>
          <w:vertAlign w:val="superscript"/>
        </w:rPr>
        <w:t>2</w:t>
      </w:r>
      <w:r w:rsidRPr="007B06CD">
        <w:t xml:space="preserve"> = 0.98</w:t>
      </w:r>
      <w:r w:rsidRPr="00E12143">
        <w:rPr>
          <w:b/>
        </w:rPr>
        <w:t xml:space="preserve"> </w:t>
      </w:r>
    </w:p>
    <w:p w:rsidR="00C60B3E" w:rsidRDefault="00C60B3E" w:rsidP="00C60B3E">
      <w:pPr>
        <w:spacing w:after="160" w:line="259" w:lineRule="auto"/>
      </w:pPr>
      <w:r w:rsidRPr="007B06CD">
        <w:rPr>
          <w:noProof/>
          <w:lang w:val="sv-SE" w:eastAsia="sv-SE"/>
        </w:rPr>
        <w:drawing>
          <wp:inline distT="0" distB="0" distL="0" distR="0" wp14:anchorId="7908BD52" wp14:editId="5F53F53D">
            <wp:extent cx="5612130" cy="2104390"/>
            <wp:effectExtent l="0" t="0" r="7620" b="0"/>
            <wp:docPr id="2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B3E" w:rsidRDefault="00C60B3E" w:rsidP="00C60B3E">
      <w:pPr>
        <w:spacing w:after="160" w:line="259" w:lineRule="auto"/>
      </w:pPr>
    </w:p>
    <w:p w:rsidR="00C60B3E" w:rsidRPr="00E12143" w:rsidRDefault="00C60B3E" w:rsidP="00C60B3E">
      <w:pPr>
        <w:pStyle w:val="ListParagraph"/>
        <w:numPr>
          <w:ilvl w:val="0"/>
          <w:numId w:val="1"/>
        </w:numPr>
        <w:spacing w:after="160" w:line="259" w:lineRule="auto"/>
        <w:rPr>
          <w:b/>
        </w:rPr>
      </w:pPr>
      <w:proofErr w:type="gramStart"/>
      <w:r w:rsidRPr="00E12143">
        <w:rPr>
          <w:b/>
        </w:rPr>
        <w:t>gRNA-2</w:t>
      </w:r>
      <w:proofErr w:type="gramEnd"/>
      <w:r w:rsidRPr="00E12143">
        <w:rPr>
          <w:b/>
        </w:rPr>
        <w:t xml:space="preserve"> Bulk culture</w:t>
      </w:r>
      <w:r w:rsidRPr="00E12143">
        <w:rPr>
          <w:b/>
        </w:rPr>
        <w:br/>
      </w:r>
      <w:r w:rsidRPr="007B06CD">
        <w:t>Total efficiency: 88.5%. R</w:t>
      </w:r>
      <w:r w:rsidRPr="00E12143">
        <w:rPr>
          <w:vertAlign w:val="superscript"/>
        </w:rPr>
        <w:t>2</w:t>
      </w:r>
      <w:r w:rsidRPr="007B06CD">
        <w:t xml:space="preserve"> = 0.99</w:t>
      </w:r>
    </w:p>
    <w:p w:rsidR="00C60B3E" w:rsidRPr="00584D92" w:rsidRDefault="00C60B3E" w:rsidP="00C60B3E">
      <w:pPr>
        <w:spacing w:after="160" w:line="259" w:lineRule="auto"/>
        <w:rPr>
          <w:b/>
        </w:rPr>
      </w:pPr>
      <w:r w:rsidRPr="007B06CD">
        <w:rPr>
          <w:b/>
          <w:noProof/>
          <w:lang w:val="sv-SE" w:eastAsia="sv-SE"/>
        </w:rPr>
        <w:drawing>
          <wp:inline distT="0" distB="0" distL="0" distR="0" wp14:anchorId="32F40824" wp14:editId="56E924E5">
            <wp:extent cx="5612130" cy="2104390"/>
            <wp:effectExtent l="0" t="0" r="7620" b="0"/>
            <wp:docPr id="5" name="Marcador de contenido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rcador de contenido 3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B3E" w:rsidRDefault="00C60B3E" w:rsidP="00C60B3E"/>
    <w:p w:rsidR="00C60B3E" w:rsidRDefault="00C60B3E" w:rsidP="00C60B3E"/>
    <w:p w:rsidR="00C60B3E" w:rsidRDefault="00C60B3E" w:rsidP="00C60B3E">
      <w:pPr>
        <w:spacing w:after="160" w:line="259" w:lineRule="auto"/>
      </w:pPr>
    </w:p>
    <w:p w:rsidR="00C60B3E" w:rsidRPr="00EB3A68" w:rsidRDefault="00C60B3E" w:rsidP="00C60B3E">
      <w:pPr>
        <w:rPr>
          <w:rFonts w:cstheme="minorHAnsi"/>
          <w:noProof/>
        </w:rPr>
      </w:pPr>
    </w:p>
    <w:p w:rsidR="00C60B3E" w:rsidRPr="00EB3A68" w:rsidRDefault="00EB3A68" w:rsidP="00C60B3E">
      <w:pPr>
        <w:rPr>
          <w:rFonts w:eastAsiaTheme="minorHAnsi" w:cstheme="minorHAnsi"/>
        </w:rPr>
      </w:pPr>
      <w:r w:rsidRPr="00EB3A68">
        <w:rPr>
          <w:rFonts w:cstheme="minorHAnsi"/>
          <w:b/>
          <w:noProof/>
        </w:rPr>
        <w:t>Supplemental</w:t>
      </w:r>
      <w:r w:rsidR="00C60B3E" w:rsidRPr="00EB3A68">
        <w:rPr>
          <w:rFonts w:cstheme="minorHAnsi"/>
          <w:b/>
          <w:noProof/>
        </w:rPr>
        <w:t xml:space="preserve"> Figure S2.</w:t>
      </w:r>
      <w:r w:rsidR="00C60B3E" w:rsidRPr="00EB3A68">
        <w:rPr>
          <w:rFonts w:cstheme="minorHAnsi"/>
          <w:noProof/>
        </w:rPr>
        <w:t xml:space="preserve"> Estimation of genome editing efficiency by TIDE. </w:t>
      </w:r>
      <w:proofErr w:type="spellStart"/>
      <w:r w:rsidR="00C60B3E" w:rsidRPr="00EB3A68">
        <w:rPr>
          <w:rFonts w:eastAsiaTheme="minorHAnsi" w:cstheme="minorHAnsi"/>
        </w:rPr>
        <w:t>Indel</w:t>
      </w:r>
      <w:proofErr w:type="spellEnd"/>
      <w:r w:rsidR="00C60B3E" w:rsidRPr="00EB3A68">
        <w:rPr>
          <w:rFonts w:eastAsiaTheme="minorHAnsi" w:cstheme="minorHAnsi"/>
        </w:rPr>
        <w:t xml:space="preserve"> spectrum of UpsDIO1 mutants assessed by Tracking of </w:t>
      </w:r>
      <w:proofErr w:type="spellStart"/>
      <w:r w:rsidR="00C60B3E" w:rsidRPr="00EB3A68">
        <w:rPr>
          <w:rFonts w:eastAsiaTheme="minorHAnsi" w:cstheme="minorHAnsi"/>
        </w:rPr>
        <w:t>Indels</w:t>
      </w:r>
      <w:proofErr w:type="spellEnd"/>
      <w:r w:rsidR="00C60B3E" w:rsidRPr="00EB3A68">
        <w:rPr>
          <w:rFonts w:eastAsiaTheme="minorHAnsi" w:cstheme="minorHAnsi"/>
        </w:rPr>
        <w:t xml:space="preserve"> by Decomposition (TIDE). A) </w:t>
      </w:r>
      <w:r w:rsidR="00C60B3E" w:rsidRPr="00EB3A68">
        <w:rPr>
          <w:rFonts w:eastAsiaTheme="minorHAnsi" w:cstheme="minorHAnsi"/>
          <w:noProof/>
        </w:rPr>
        <w:t>Indel spectrum of gRNA-1 bulk mutant B) Indel spectrum of gRNA-2 bulk mutant.</w:t>
      </w:r>
    </w:p>
    <w:p w:rsidR="00C60B3E" w:rsidRDefault="00C60B3E" w:rsidP="00C60B3E">
      <w:pPr>
        <w:spacing w:after="160" w:line="259" w:lineRule="auto"/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spacing w:after="160" w:line="259" w:lineRule="auto"/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sv-SE" w:eastAsia="sv-SE"/>
        </w:rPr>
        <w:lastRenderedPageBreak/>
        <w:drawing>
          <wp:inline distT="0" distB="0" distL="0" distR="0" wp14:anchorId="49393A89" wp14:editId="33876F57">
            <wp:extent cx="5610374" cy="2750024"/>
            <wp:effectExtent l="0" t="0" r="0" b="0"/>
            <wp:docPr id="25" name="Imagen 11" descr="C:\Users\JoséRamón\Downloads\PCA_PLOT_BOTHGUIDES_OCT_ANALYSI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séRamón\Downloads\PCA_PLOT_BOTHGUIDES_OCT_ANALYSIS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87" b="20780"/>
                    <a:stretch/>
                  </pic:blipFill>
                  <pic:spPr bwMode="auto">
                    <a:xfrm>
                      <a:off x="0" y="0"/>
                      <a:ext cx="5610860" cy="275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Pr="00920FDD" w:rsidRDefault="00EB3A68" w:rsidP="00C60B3E">
      <w:pPr>
        <w:rPr>
          <w:rFonts w:cstheme="minorHAnsi"/>
          <w:noProof/>
        </w:rPr>
      </w:pPr>
      <w:r>
        <w:rPr>
          <w:rFonts w:cstheme="minorHAnsi"/>
          <w:b/>
          <w:noProof/>
        </w:rPr>
        <w:t>Supplemental</w:t>
      </w:r>
      <w:r w:rsidR="00C60B3E" w:rsidRPr="00920FDD">
        <w:rPr>
          <w:rFonts w:cstheme="minorHAnsi"/>
          <w:b/>
          <w:noProof/>
        </w:rPr>
        <w:t xml:space="preserve"> Figure S3</w:t>
      </w:r>
      <w:r w:rsidR="00C60B3E" w:rsidRPr="00920FDD">
        <w:rPr>
          <w:rFonts w:cstheme="minorHAnsi"/>
          <w:noProof/>
        </w:rPr>
        <w:t>. PCA</w:t>
      </w:r>
      <w:r>
        <w:rPr>
          <w:rFonts w:cstheme="minorHAnsi"/>
          <w:noProof/>
        </w:rPr>
        <w:t xml:space="preserve"> of </w:t>
      </w:r>
      <w:r>
        <w:t>gRNA-1</w:t>
      </w:r>
      <w:r>
        <w:rPr>
          <w:bCs/>
          <w:color w:val="000000"/>
          <w:lang w:val="en-GB"/>
        </w:rPr>
        <w:t xml:space="preserve">, </w:t>
      </w:r>
      <w:r>
        <w:t>gRNA-2</w:t>
      </w:r>
      <w:r>
        <w:rPr>
          <w:bCs/>
          <w:color w:val="000000"/>
          <w:lang w:val="en-GB"/>
        </w:rPr>
        <w:t xml:space="preserve"> mutant </w:t>
      </w:r>
      <w:r w:rsidRPr="008772EC">
        <w:rPr>
          <w:bCs/>
          <w:lang w:val="en-GB"/>
        </w:rPr>
        <w:t>clones</w:t>
      </w:r>
      <w:r>
        <w:rPr>
          <w:bCs/>
          <w:lang w:val="en-GB"/>
        </w:rPr>
        <w:t xml:space="preserve"> and WT HepG2 cells</w:t>
      </w: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rPr>
          <w:rFonts w:ascii="Times New Roman" w:hAnsi="Times New Roman" w:cs="Times New Roman"/>
          <w:noProof/>
        </w:rPr>
      </w:pPr>
    </w:p>
    <w:p w:rsidR="00C60B3E" w:rsidRDefault="00C60B3E" w:rsidP="00C60B3E">
      <w:pPr>
        <w:spacing w:after="160" w:line="259" w:lineRule="auto"/>
        <w:rPr>
          <w:bCs/>
          <w:color w:val="000000"/>
          <w:sz w:val="20"/>
          <w:szCs w:val="20"/>
          <w:lang w:val="en-GB"/>
        </w:rPr>
      </w:pPr>
    </w:p>
    <w:p w:rsidR="00C60B3E" w:rsidRDefault="00C60B3E" w:rsidP="00C60B3E">
      <w:pPr>
        <w:spacing w:after="160" w:line="259" w:lineRule="auto"/>
        <w:rPr>
          <w:bCs/>
          <w:color w:val="000000"/>
          <w:sz w:val="20"/>
          <w:szCs w:val="20"/>
          <w:lang w:val="en-GB"/>
        </w:rPr>
      </w:pPr>
      <w:r>
        <w:rPr>
          <w:bCs/>
          <w:noProof/>
          <w:color w:val="000000"/>
          <w:sz w:val="20"/>
          <w:szCs w:val="20"/>
          <w:lang w:val="sv-SE" w:eastAsia="sv-SE"/>
        </w:rPr>
        <w:lastRenderedPageBreak/>
        <w:drawing>
          <wp:inline distT="0" distB="0" distL="0" distR="0">
            <wp:extent cx="4551680" cy="6612255"/>
            <wp:effectExtent l="0" t="0" r="1270" b="0"/>
            <wp:docPr id="2" name="Picture 2" descr="SUPPLEMENTARY_FI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_FIG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80" cy="661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A68" w:rsidRDefault="00EB3A68" w:rsidP="00C60B3E">
      <w:pPr>
        <w:spacing w:after="160" w:line="259" w:lineRule="auto"/>
        <w:rPr>
          <w:rFonts w:cstheme="minorHAnsi"/>
          <w:b/>
          <w:bCs/>
          <w:color w:val="000000"/>
          <w:lang w:val="en-GB"/>
        </w:rPr>
      </w:pPr>
    </w:p>
    <w:p w:rsidR="00C60B3E" w:rsidRDefault="00EB3A68" w:rsidP="00C60B3E">
      <w:pPr>
        <w:spacing w:after="160" w:line="259" w:lineRule="auto"/>
        <w:rPr>
          <w:bCs/>
          <w:color w:val="000000"/>
        </w:rPr>
      </w:pPr>
      <w:r>
        <w:rPr>
          <w:rFonts w:cstheme="minorHAnsi"/>
          <w:b/>
          <w:bCs/>
          <w:color w:val="000000"/>
          <w:lang w:val="en-GB"/>
        </w:rPr>
        <w:t>Supplemental</w:t>
      </w:r>
      <w:r w:rsidR="00C60B3E" w:rsidRPr="00920FDD">
        <w:rPr>
          <w:rFonts w:cstheme="minorHAnsi"/>
          <w:b/>
          <w:bCs/>
          <w:color w:val="000000"/>
          <w:lang w:val="en-GB"/>
        </w:rPr>
        <w:t xml:space="preserve"> Figure S4.</w:t>
      </w:r>
      <w:r w:rsidR="00C60B3E" w:rsidRPr="00920FDD">
        <w:rPr>
          <w:rFonts w:cstheme="minorHAnsi"/>
          <w:bCs/>
          <w:color w:val="000000"/>
          <w:lang w:val="en-GB"/>
        </w:rPr>
        <w:t xml:space="preserve"> A) Biochemical quantification of culture cell extracts after treatment with 120 µM OA for glucose. B) </w:t>
      </w:r>
      <w:r w:rsidR="00C60B3E" w:rsidRPr="00920FDD">
        <w:rPr>
          <w:rFonts w:eastAsia="Calibri" w:cstheme="minorHAnsi"/>
        </w:rPr>
        <w:t xml:space="preserve">Lipid accumulation </w:t>
      </w:r>
      <w:bookmarkStart w:id="0" w:name="_GoBack"/>
      <w:bookmarkEnd w:id="0"/>
      <w:r>
        <w:rPr>
          <w:rFonts w:eastAsia="Calibri" w:cstheme="minorHAnsi"/>
        </w:rPr>
        <w:t>by glucose overloading</w:t>
      </w:r>
      <w:r w:rsidR="00C60B3E" w:rsidRPr="00920FDD">
        <w:rPr>
          <w:rFonts w:cstheme="minorHAnsi"/>
          <w:bCs/>
          <w:color w:val="000000"/>
          <w:lang w:val="en-GB"/>
        </w:rPr>
        <w:t>.</w:t>
      </w:r>
    </w:p>
    <w:p w:rsidR="00EC00D5" w:rsidRDefault="00793041"/>
    <w:sectPr w:rsidR="00EC00D5" w:rsidSect="00AB378A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CC71A9"/>
    <w:multiLevelType w:val="hybridMultilevel"/>
    <w:tmpl w:val="9B8CCFBE"/>
    <w:lvl w:ilvl="0" w:tplc="3BDAAEA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3E"/>
    <w:rsid w:val="0057693E"/>
    <w:rsid w:val="00793041"/>
    <w:rsid w:val="00C60B3E"/>
    <w:rsid w:val="00C93C61"/>
    <w:rsid w:val="00EB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4C95"/>
  <w15:chartTrackingRefBased/>
  <w15:docId w15:val="{65B235EB-180F-40E3-B12F-64DB08C50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3E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116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Cavalli</dc:creator>
  <cp:keywords/>
  <dc:description/>
  <cp:lastModifiedBy>Marco Cavalli</cp:lastModifiedBy>
  <cp:revision>2</cp:revision>
  <dcterms:created xsi:type="dcterms:W3CDTF">2023-09-29T07:09:00Z</dcterms:created>
  <dcterms:modified xsi:type="dcterms:W3CDTF">2023-09-29T07:21:00Z</dcterms:modified>
</cp:coreProperties>
</file>