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both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Supplementary Table 3.  Association of blood urea nitrogen with all-cause and CVD mortality in patients with hyperlipidemia in NHANES 1999-2018 after excluding the patients with a history of CVD at baseline</w:t>
      </w:r>
    </w:p>
    <w:tbl>
      <w:tblPr>
        <w:tblStyle w:val="2"/>
        <w:tblW w:w="8332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185"/>
        <w:gridCol w:w="1186"/>
        <w:gridCol w:w="1108"/>
        <w:gridCol w:w="1186"/>
        <w:gridCol w:w="1186"/>
        <w:gridCol w:w="11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851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BUN, mmol/L</w:t>
            </w:r>
          </w:p>
        </w:tc>
        <w:tc>
          <w:tcPr>
            <w:tcW w:w="11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&lt;3.57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3.57-4.29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4.30-5.00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5.01-6.09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&gt;6.09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 trend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All-cause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1.82 (1.55, 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1.15 (0.99,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1.00 (0.85,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1.33 (1.15, 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1.42 (1.24, 1.69)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1.09 (0.94, 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1.04 (0.89,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1.34 (1.16, 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1.43 (1.20, 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1.09 (0.93, 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0.99 (0.84,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1.21 (1.05, 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CVD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1.42 (0.92, 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1.25 (0.91, 1.72)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1.23 (0.92, 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1.77 (1.33, 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1.14 (0.74, 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1.20 (0.86, 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1.28 (0.96, 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1.74 (1.30, 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1.17 (0.76, 1.80)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1.21 (0.87, 1.69)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1.18 (0.89, 1.58)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1.48 (1.09, 2.01)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332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HR (95% CI) was estimated by weighted Cox regression analysis. Model 1: adjusted for age, sex, race/ethnicity. Model 2: Model 1 + education, PIR, smoking status, alcohol intake, protein intake, physical activity, BMI. Model 3: Model 2 + diabetes, hypertension, CVD, medications, eGFR, albumin, ALT, AST, serum uric acid.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3MjU0YTE2MGE5YjM2OTBkM2ZlMTA2YTM4ZGFjMzIifQ=="/>
  </w:docVars>
  <w:rsids>
    <w:rsidRoot w:val="4599153D"/>
    <w:rsid w:val="4599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2023-11-15T06:38:00Z</dcterms:created>
  <dc:creator>荒野</dc:creator>
  <cp:lastModifiedBy>荒野</cp:lastModifiedBy>
  <dcterms:modified xsi:type="dcterms:W3CDTF">2023-11-15T06:38:11Z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B7E57FD694914726A68D8DEFB938246D_11</vt:lpwstr>
  </property>
</Properties>
</file>