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B88" w:rsidRDefault="0006228A">
      <w:pPr>
        <w:spacing w:after="0"/>
        <w:rPr>
          <w:rFonts w:cs="Times New Roman"/>
          <w:sz w:val="28"/>
          <w:szCs w:val="28"/>
          <w:lang w:val="en-US"/>
        </w:rPr>
      </w:pPr>
      <w:r>
        <w:rPr>
          <w:rFonts w:cs="Times New Roman"/>
          <w:b/>
          <w:sz w:val="28"/>
          <w:szCs w:val="28"/>
          <w:lang w:val="en-US"/>
        </w:rPr>
        <w:t xml:space="preserve">Sensitivity analyses 1: </w:t>
      </w:r>
    </w:p>
    <w:p w:rsidR="00617B88" w:rsidRDefault="00617B88">
      <w:pPr>
        <w:spacing w:after="0"/>
        <w:rPr>
          <w:rFonts w:cs="Times New Roman"/>
          <w:b/>
          <w:sz w:val="28"/>
          <w:szCs w:val="28"/>
          <w:lang w:val="en-US"/>
        </w:rPr>
      </w:pPr>
    </w:p>
    <w:p w:rsidR="00617B88" w:rsidRDefault="0006228A">
      <w:pPr>
        <w:spacing w:after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noProof/>
          <w:szCs w:val="24"/>
          <w:lang w:val="en-US"/>
        </w:rPr>
        <w:drawing>
          <wp:inline distT="0" distB="0" distL="0" distR="0">
            <wp:extent cx="5296039" cy="33909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1438" cy="339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B88" w:rsidRDefault="0006228A">
      <w:pPr>
        <w:spacing w:after="0"/>
        <w:rPr>
          <w:rFonts w:cs="Times New Roman"/>
          <w:sz w:val="20"/>
          <w:szCs w:val="20"/>
          <w:lang w:val="en-US"/>
        </w:rPr>
      </w:pPr>
      <w:r>
        <w:rPr>
          <w:rFonts w:cs="Times New Roman"/>
          <w:b/>
          <w:szCs w:val="24"/>
          <w:lang w:val="en-US"/>
        </w:rPr>
        <w:t>Figure S1: Change in non-</w:t>
      </w:r>
      <w:r w:rsidR="00A258E7">
        <w:rPr>
          <w:rFonts w:cs="Times New Roman"/>
          <w:b/>
          <w:szCs w:val="24"/>
          <w:lang w:val="en-US"/>
        </w:rPr>
        <w:t>high-density</w:t>
      </w:r>
      <w:r>
        <w:rPr>
          <w:rFonts w:cs="Times New Roman"/>
          <w:b/>
          <w:szCs w:val="24"/>
          <w:lang w:val="en-US"/>
        </w:rPr>
        <w:t xml:space="preserve"> lipoprotein cholesterol levels from childhood to young adulthood (Sensitivity analysis 1, N=681)</w:t>
      </w:r>
      <w:r w:rsidR="00A258E7">
        <w:rPr>
          <w:rFonts w:cs="Times New Roman"/>
          <w:b/>
          <w:szCs w:val="24"/>
          <w:lang w:val="en-US"/>
        </w:rPr>
        <w:t xml:space="preserve">. </w:t>
      </w:r>
      <w:r w:rsidR="00A258E7" w:rsidRPr="00A258E7">
        <w:rPr>
          <w:rFonts w:cs="Times New Roman"/>
          <w:b/>
          <w:szCs w:val="24"/>
          <w:lang w:val="en-US"/>
        </w:rPr>
        <w:t>Analyses excluding individuals with TC levels&gt;6.98mmol/l, diabetes mellitus, and medication use with effect on serum lipid levels (lipid-lowering drugs, systemic corticosteroids).</w:t>
      </w:r>
    </w:p>
    <w:p w:rsidR="00617B88" w:rsidRDefault="0006228A">
      <w:pPr>
        <w:rPr>
          <w:rFonts w:cs="Times New Roman"/>
          <w:szCs w:val="24"/>
          <w:lang w:val="en-US"/>
        </w:rPr>
      </w:pPr>
      <w:r>
        <w:rPr>
          <w:rFonts w:cs="Times New Roman"/>
          <w:sz w:val="20"/>
          <w:szCs w:val="20"/>
          <w:lang w:val="en-US"/>
        </w:rPr>
        <w:t xml:space="preserve">Percent </w:t>
      </w:r>
      <w:r w:rsidR="00A258E7">
        <w:rPr>
          <w:rFonts w:cs="Times New Roman"/>
          <w:sz w:val="20"/>
          <w:szCs w:val="20"/>
          <w:lang w:val="en-US"/>
        </w:rPr>
        <w:t>c</w:t>
      </w:r>
      <w:r>
        <w:rPr>
          <w:rFonts w:cs="Times New Roman"/>
          <w:sz w:val="20"/>
          <w:szCs w:val="20"/>
          <w:lang w:val="en-US"/>
        </w:rPr>
        <w:t xml:space="preserve">hange in risk categories from baseline to follow-up is depicted in the arrows. For proportions in bold print the numerator is the whole study cohort; for proportions in </w:t>
      </w:r>
      <w:r w:rsidR="00A258E7">
        <w:rPr>
          <w:rFonts w:cs="Times New Roman"/>
          <w:sz w:val="20"/>
          <w:szCs w:val="20"/>
          <w:lang w:val="en-US"/>
        </w:rPr>
        <w:t>parentheses</w:t>
      </w:r>
      <w:r>
        <w:rPr>
          <w:rFonts w:cs="Times New Roman"/>
          <w:sz w:val="20"/>
          <w:szCs w:val="20"/>
          <w:lang w:val="en-US"/>
        </w:rPr>
        <w:t xml:space="preserve"> the numerator is the total number of individuals in that particular baseline risk category. </w:t>
      </w:r>
      <w:r>
        <w:rPr>
          <w:rFonts w:cs="Times New Roman"/>
          <w:sz w:val="20"/>
          <w:szCs w:val="20"/>
          <w:lang w:val="en-US"/>
        </w:rPr>
        <w:br/>
      </w:r>
      <w:r w:rsidR="00A258E7">
        <w:rPr>
          <w:rFonts w:cs="Times New Roman"/>
          <w:sz w:val="20"/>
          <w:szCs w:val="20"/>
          <w:lang w:val="en-US"/>
        </w:rPr>
        <w:t>C</w:t>
      </w:r>
      <w:r>
        <w:rPr>
          <w:rFonts w:cs="Times New Roman"/>
          <w:sz w:val="20"/>
          <w:szCs w:val="20"/>
          <w:lang w:val="en-US"/>
        </w:rPr>
        <w:t>ut-offs for serum lipids according to Expert Panel on Integrated Guidelines for Cardiovascular Health and Risk Reduction in Children and Adolescents</w:t>
      </w:r>
      <w:r w:rsidR="00622C7B">
        <w:rPr>
          <w:rFonts w:cs="Times New Roman"/>
          <w:sz w:val="20"/>
          <w:szCs w:val="20"/>
          <w:lang w:val="en-US"/>
        </w:rPr>
        <w:t xml:space="preserve"> (36)</w:t>
      </w:r>
      <w:r>
        <w:rPr>
          <w:rFonts w:cs="Times New Roman"/>
          <w:sz w:val="20"/>
          <w:szCs w:val="20"/>
          <w:lang w:val="en-US"/>
        </w:rPr>
        <w:t>:</w:t>
      </w:r>
      <w:r>
        <w:rPr>
          <w:rFonts w:cs="Times New Roman"/>
          <w:sz w:val="20"/>
          <w:szCs w:val="20"/>
          <w:lang w:val="en-US"/>
        </w:rPr>
        <w:br/>
        <w:t>Borderline/elevated non-HDL-C: baseline (≥3.11 mmol/l), follow up (≥3.89 mmol/l)</w:t>
      </w:r>
    </w:p>
    <w:p w:rsidR="00617B88" w:rsidRDefault="00617B88">
      <w:pPr>
        <w:spacing w:after="0"/>
        <w:rPr>
          <w:rFonts w:cs="Times New Roman"/>
          <w:b/>
          <w:szCs w:val="24"/>
          <w:lang w:val="en-US"/>
        </w:rPr>
      </w:pPr>
    </w:p>
    <w:p w:rsidR="00617B88" w:rsidRDefault="0006228A">
      <w:pPr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br w:type="page"/>
      </w:r>
    </w:p>
    <w:p w:rsidR="00617B88" w:rsidRPr="00A258E7" w:rsidRDefault="0006228A">
      <w:pPr>
        <w:spacing w:after="0"/>
        <w:rPr>
          <w:rFonts w:cs="Times New Roman"/>
          <w:sz w:val="20"/>
          <w:szCs w:val="20"/>
          <w:lang w:val="en-US"/>
        </w:rPr>
      </w:pPr>
      <w:r>
        <w:rPr>
          <w:rFonts w:cs="Times New Roman"/>
          <w:b/>
          <w:szCs w:val="24"/>
          <w:lang w:val="en-US"/>
        </w:rPr>
        <w:lastRenderedPageBreak/>
        <w:t>Table S5: Determinants of non-high-density lipoprotein cholesterol in young adulthood, N=585 persons 6-8 years of age at KiGGS baseline and ≥18+ years at KiGGS wave 2 (Sensitivity analysis 1, N=585)</w:t>
      </w:r>
      <w:r w:rsidR="00A258E7">
        <w:rPr>
          <w:rFonts w:cs="Times New Roman"/>
          <w:b/>
          <w:szCs w:val="24"/>
          <w:lang w:val="en-US"/>
        </w:rPr>
        <w:t xml:space="preserve">. </w:t>
      </w:r>
      <w:r w:rsidR="00A258E7" w:rsidRPr="00A258E7">
        <w:rPr>
          <w:rFonts w:cs="Times New Roman"/>
          <w:b/>
          <w:szCs w:val="24"/>
          <w:lang w:val="en-US"/>
        </w:rPr>
        <w:t>Analyses excluding individuals with TC levels&gt;6.98mmol/l, diabetes mellitus, and medication use with effect on serum lipid levels (lipid-lowering drugs, systemic corticosteroids).</w:t>
      </w:r>
    </w:p>
    <w:tbl>
      <w:tblPr>
        <w:tblStyle w:val="Tabellenraster"/>
        <w:tblW w:w="15115" w:type="dxa"/>
        <w:tblLayout w:type="fixed"/>
        <w:tblLook w:val="04A0" w:firstRow="1" w:lastRow="0" w:firstColumn="1" w:lastColumn="0" w:noHBand="0" w:noVBand="1"/>
      </w:tblPr>
      <w:tblGrid>
        <w:gridCol w:w="3794"/>
        <w:gridCol w:w="1871"/>
        <w:gridCol w:w="850"/>
        <w:gridCol w:w="8"/>
        <w:gridCol w:w="2006"/>
        <w:gridCol w:w="789"/>
        <w:gridCol w:w="9"/>
        <w:gridCol w:w="2005"/>
        <w:gridCol w:w="854"/>
        <w:gridCol w:w="1981"/>
        <w:gridCol w:w="939"/>
        <w:gridCol w:w="9"/>
      </w:tblGrid>
      <w:tr w:rsidR="00617B88">
        <w:tc>
          <w:tcPr>
            <w:tcW w:w="3794" w:type="dxa"/>
          </w:tcPr>
          <w:p w:rsidR="00617B88" w:rsidRDefault="00617B8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533" w:type="dxa"/>
            <w:gridSpan w:val="6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Male (N=303)</w:t>
            </w:r>
          </w:p>
        </w:tc>
        <w:tc>
          <w:tcPr>
            <w:tcW w:w="5788" w:type="dxa"/>
            <w:gridSpan w:val="5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Female (N=282)</w:t>
            </w:r>
          </w:p>
        </w:tc>
      </w:tr>
      <w:tr w:rsidR="00617B88">
        <w:tc>
          <w:tcPr>
            <w:tcW w:w="3794" w:type="dxa"/>
          </w:tcPr>
          <w:p w:rsidR="00617B88" w:rsidRDefault="00617B8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729" w:type="dxa"/>
            <w:gridSpan w:val="3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804" w:type="dxa"/>
            <w:gridSpan w:val="3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  <w:tc>
          <w:tcPr>
            <w:tcW w:w="2859" w:type="dxa"/>
            <w:gridSpan w:val="2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929" w:type="dxa"/>
            <w:gridSpan w:val="3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617B8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789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939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Baseline level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0.79 (0.69;0.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89)*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0.40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0.73 (0.63;0.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82)*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 w:val="restart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0.48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0.62 (0.47;0.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78)*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0.61 (0.50;0.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72)*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 w:val="restart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0.48</w:t>
            </w: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BMI z-score in childhood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 (-0.07;0.14)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(-0.03;0.08)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0.10 (-0.02;0.21)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(-0.06;0.11)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Difference in BMI z-score to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0.29 (0.16;0.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41)*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0.12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0.24 (0.15;0.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33)*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0.09 (-0.05;0.24)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0.13 (0.05;0.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20)*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childhood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0.28 (-0.42;0.96)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-0.19 (-0.98;0.60)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0.23 (-0.58;1.04)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0.26 (-0.47;0.99)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Difference in HFD index score to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-0.44 (-1.12;0.24)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-0.28 (-0.99;0.42)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0.22 (-0.46;0.90)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0.21 (-0.53;0.94)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Physical activity in childhood</w:t>
            </w:r>
          </w:p>
        </w:tc>
        <w:tc>
          <w:tcPr>
            <w:tcW w:w="187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Low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0.04 (-0.22;0.29)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-0.10 (-0.30;0.11)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-0.10 (-0.44;0.25)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0.18 (0.02;0.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35)*</w:t>
            </w:r>
            <w:proofErr w:type="gramEnd"/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Middle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-0.08 (-0.30;0.14)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(-0.13;0.16)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0.11 (-0.13;0.34)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0.08 (-0.10;0.26)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High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Sports (h per week) in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(-0.04;0.03)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(-0.04;0.01)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0.00 (-0.04;0.04)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(-0.04;0.01)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Smoking in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-0.18 (-0.38;0.02)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-0.07 (-0.23;0.08)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0.26 (-0.08;0.60)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0.26 (0.00;0.51)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Alcohol use in young adulthood</w:t>
            </w:r>
          </w:p>
        </w:tc>
        <w:tc>
          <w:tcPr>
            <w:tcW w:w="187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2014" w:type="dxa"/>
            <w:gridSpan w:val="2"/>
          </w:tcPr>
          <w:p w:rsidR="00617B88" w:rsidRDefault="00617B88">
            <w:pPr>
              <w:tabs>
                <w:tab w:val="left" w:pos="480"/>
              </w:tabs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No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0.28 (-0.12;0.67)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 (-0.07;0.41)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-0.16 (-0.57;0.25)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0.20 (-0.15;0.54)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Moderate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At risk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-0.11 (-0.31;0.10)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-0.03 (-0.17;0.10)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(-0.30;0.27)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-0.14 (-0.33;0.05)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Oral contraceptives use in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0.62 (0.41;0.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84)*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0.62 (0.45;0.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79)*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:rsidR="00617B88" w:rsidRDefault="0006228A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*p&lt;0.05, **p&lt;0.01, ***p&lt;0.001</w:t>
      </w:r>
      <w:r>
        <w:rPr>
          <w:lang w:val="en-US"/>
        </w:rPr>
        <w:br/>
      </w:r>
      <w:r>
        <w:rPr>
          <w:rFonts w:cs="Times New Roman"/>
          <w:sz w:val="20"/>
          <w:szCs w:val="20"/>
          <w:lang w:val="en-US"/>
        </w:rPr>
        <w:t>HFD: Healthy Food Diversity index</w:t>
      </w:r>
    </w:p>
    <w:p w:rsidR="00617B88" w:rsidRDefault="0006228A">
      <w:pPr>
        <w:rPr>
          <w:rFonts w:cs="Times New Roman"/>
          <w:b/>
          <w:sz w:val="28"/>
          <w:szCs w:val="28"/>
          <w:lang w:val="en-US"/>
        </w:rPr>
      </w:pPr>
      <w:r>
        <w:rPr>
          <w:rFonts w:cs="Times New Roman"/>
          <w:b/>
          <w:sz w:val="28"/>
          <w:szCs w:val="28"/>
          <w:lang w:val="en-US"/>
        </w:rPr>
        <w:br w:type="page"/>
      </w:r>
    </w:p>
    <w:p w:rsidR="00617B88" w:rsidRDefault="0006228A">
      <w:pPr>
        <w:spacing w:after="0"/>
        <w:rPr>
          <w:rFonts w:cs="Times New Roman"/>
          <w:sz w:val="28"/>
          <w:szCs w:val="28"/>
          <w:lang w:val="en-US"/>
        </w:rPr>
      </w:pPr>
      <w:r>
        <w:rPr>
          <w:rFonts w:cs="Times New Roman"/>
          <w:b/>
          <w:sz w:val="28"/>
          <w:szCs w:val="28"/>
          <w:lang w:val="en-US"/>
        </w:rPr>
        <w:lastRenderedPageBreak/>
        <w:t xml:space="preserve">Sensitivity analyses 2: </w:t>
      </w:r>
    </w:p>
    <w:p w:rsidR="00617B88" w:rsidRDefault="00617B88">
      <w:pPr>
        <w:spacing w:after="0"/>
        <w:rPr>
          <w:rFonts w:cs="Times New Roman"/>
          <w:b/>
          <w:sz w:val="28"/>
          <w:szCs w:val="28"/>
          <w:lang w:val="en-US"/>
        </w:rPr>
      </w:pPr>
    </w:p>
    <w:p w:rsidR="00617B88" w:rsidRDefault="0006228A">
      <w:pPr>
        <w:rPr>
          <w:rFonts w:cs="Times New Roman"/>
          <w:szCs w:val="24"/>
          <w:lang w:val="en-US"/>
        </w:rPr>
      </w:pPr>
      <w:r>
        <w:rPr>
          <w:rFonts w:cs="Times New Roman"/>
          <w:noProof/>
          <w:szCs w:val="24"/>
          <w:lang w:val="en-US"/>
        </w:rPr>
        <w:drawing>
          <wp:inline distT="0" distB="0" distL="0" distR="0">
            <wp:extent cx="5810250" cy="371646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6514" cy="372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B88" w:rsidRDefault="0006228A">
      <w:pPr>
        <w:spacing w:after="0"/>
        <w:rPr>
          <w:rFonts w:cs="Times New Roman"/>
          <w:sz w:val="20"/>
          <w:szCs w:val="20"/>
          <w:lang w:val="en-US"/>
        </w:rPr>
      </w:pPr>
      <w:r>
        <w:rPr>
          <w:rFonts w:cs="Times New Roman"/>
          <w:b/>
          <w:szCs w:val="24"/>
          <w:lang w:val="en-US"/>
        </w:rPr>
        <w:t>Figure S2: Change in non-</w:t>
      </w:r>
      <w:r w:rsidR="00A258E7">
        <w:rPr>
          <w:rFonts w:cs="Times New Roman"/>
          <w:b/>
          <w:szCs w:val="24"/>
          <w:lang w:val="en-US"/>
        </w:rPr>
        <w:t>high-density</w:t>
      </w:r>
      <w:r>
        <w:rPr>
          <w:rFonts w:cs="Times New Roman"/>
          <w:b/>
          <w:szCs w:val="24"/>
          <w:lang w:val="en-US"/>
        </w:rPr>
        <w:t xml:space="preserve"> lipoprotein cholesterol levels from childhood to young adulthood (Sensitivity analysis 2, N=493)</w:t>
      </w:r>
      <w:r w:rsidR="00A258E7">
        <w:rPr>
          <w:rFonts w:cs="Times New Roman"/>
          <w:b/>
          <w:szCs w:val="24"/>
          <w:lang w:val="en-US"/>
        </w:rPr>
        <w:t xml:space="preserve">. </w:t>
      </w:r>
      <w:r w:rsidR="00A258E7" w:rsidRPr="00A258E7">
        <w:rPr>
          <w:rFonts w:cs="Times New Roman"/>
          <w:b/>
          <w:szCs w:val="24"/>
          <w:lang w:val="en-US"/>
        </w:rPr>
        <w:t>Analyses excluding individuals with TC levels&gt;6.98mmol/l, diabetes mellitus, and medication use with effect on serum lipid levels (lipid-lowering drugs, systemic corticosteroids, oral contraceptives)</w:t>
      </w:r>
      <w:r w:rsidR="00A258E7">
        <w:rPr>
          <w:rFonts w:cs="Times New Roman"/>
          <w:b/>
          <w:szCs w:val="24"/>
          <w:lang w:val="en-US"/>
        </w:rPr>
        <w:t xml:space="preserve">. </w:t>
      </w:r>
    </w:p>
    <w:p w:rsidR="00617B88" w:rsidRDefault="0006228A">
      <w:pPr>
        <w:rPr>
          <w:rFonts w:cs="Times New Roman"/>
          <w:szCs w:val="24"/>
          <w:lang w:val="en-US"/>
        </w:rPr>
      </w:pPr>
      <w:r>
        <w:rPr>
          <w:rFonts w:cs="Times New Roman"/>
          <w:sz w:val="20"/>
          <w:szCs w:val="20"/>
          <w:lang w:val="en-US"/>
        </w:rPr>
        <w:t xml:space="preserve">Percent </w:t>
      </w:r>
      <w:r w:rsidR="00A258E7">
        <w:rPr>
          <w:rFonts w:cs="Times New Roman"/>
          <w:sz w:val="20"/>
          <w:szCs w:val="20"/>
          <w:lang w:val="en-US"/>
        </w:rPr>
        <w:t>c</w:t>
      </w:r>
      <w:r>
        <w:rPr>
          <w:rFonts w:cs="Times New Roman"/>
          <w:sz w:val="20"/>
          <w:szCs w:val="20"/>
          <w:lang w:val="en-US"/>
        </w:rPr>
        <w:t>hange in categories from baseline to follow-up is depicted in the arrows</w:t>
      </w:r>
      <w:r w:rsidR="00A258E7">
        <w:rPr>
          <w:rFonts w:cs="Times New Roman"/>
          <w:sz w:val="20"/>
          <w:szCs w:val="20"/>
          <w:lang w:val="en-US"/>
        </w:rPr>
        <w:t>.</w:t>
      </w:r>
      <w:r>
        <w:rPr>
          <w:rFonts w:cs="Times New Roman"/>
          <w:sz w:val="20"/>
          <w:szCs w:val="20"/>
          <w:lang w:val="en-US"/>
        </w:rPr>
        <w:t xml:space="preserve"> For proportions in bold print the numerator is the whole study cohort; for proportions in </w:t>
      </w:r>
      <w:r w:rsidR="00A258E7">
        <w:rPr>
          <w:rFonts w:cs="Times New Roman"/>
          <w:sz w:val="20"/>
          <w:szCs w:val="20"/>
          <w:lang w:val="en-US"/>
        </w:rPr>
        <w:t>parentheses</w:t>
      </w:r>
      <w:r>
        <w:rPr>
          <w:rFonts w:cs="Times New Roman"/>
          <w:sz w:val="20"/>
          <w:szCs w:val="20"/>
          <w:lang w:val="en-US"/>
        </w:rPr>
        <w:t xml:space="preserve"> the numerator is the total number of individuals in that particular baseline risk category</w:t>
      </w:r>
      <w:r w:rsidR="00A258E7">
        <w:rPr>
          <w:rFonts w:cs="Times New Roman"/>
          <w:sz w:val="20"/>
          <w:szCs w:val="20"/>
          <w:lang w:val="en-US"/>
        </w:rPr>
        <w:t>. C</w:t>
      </w:r>
      <w:r>
        <w:rPr>
          <w:rFonts w:cs="Times New Roman"/>
          <w:sz w:val="20"/>
          <w:szCs w:val="20"/>
          <w:lang w:val="en-US"/>
        </w:rPr>
        <w:t>ut-offs for serum lipids according to Expert Panel on Integrated Guidelines for Cardiovascular Health and Risk Reduction in Children and Adolescents</w:t>
      </w:r>
      <w:r w:rsidR="00622C7B">
        <w:rPr>
          <w:rFonts w:cs="Times New Roman"/>
          <w:sz w:val="20"/>
          <w:szCs w:val="20"/>
          <w:lang w:val="en-US"/>
        </w:rPr>
        <w:t xml:space="preserve"> 36</w:t>
      </w:r>
      <w:r>
        <w:rPr>
          <w:rFonts w:cs="Times New Roman"/>
          <w:sz w:val="20"/>
          <w:szCs w:val="20"/>
          <w:lang w:val="en-US"/>
        </w:rPr>
        <w:t>:</w:t>
      </w:r>
      <w:r>
        <w:rPr>
          <w:rFonts w:cs="Times New Roman"/>
          <w:sz w:val="20"/>
          <w:szCs w:val="20"/>
          <w:lang w:val="en-US"/>
        </w:rPr>
        <w:br/>
        <w:t>Borderline/elevated non-HDL-C: baseline (≥3.11 mmol/l), follow up (≥3.89 mmol/l)</w:t>
      </w:r>
      <w:bookmarkStart w:id="0" w:name="_Hlk172290734"/>
      <w:r>
        <w:rPr>
          <w:rFonts w:cs="Times New Roman"/>
          <w:b/>
          <w:szCs w:val="24"/>
          <w:lang w:val="en-US"/>
        </w:rPr>
        <w:br w:type="page"/>
      </w:r>
    </w:p>
    <w:p w:rsidR="00617B88" w:rsidRPr="00A258E7" w:rsidRDefault="0006228A">
      <w:pPr>
        <w:spacing w:after="0"/>
        <w:rPr>
          <w:rFonts w:cs="Times New Roman"/>
          <w:sz w:val="20"/>
          <w:szCs w:val="20"/>
          <w:lang w:val="en-US"/>
        </w:rPr>
      </w:pPr>
      <w:r>
        <w:rPr>
          <w:rFonts w:cs="Times New Roman"/>
          <w:b/>
          <w:szCs w:val="24"/>
          <w:lang w:val="en-US"/>
        </w:rPr>
        <w:lastRenderedPageBreak/>
        <w:t>Table S6: Association between follow-up levels of non-high-density lipoprotein cholesterol and determinants of non-high-density lipoprotein cholesterol in young adulthood, N=420 persons 6-8 years of age at KiGGS baseline and ≥18+ years at KiGGS wave 2 (Sensitivity analysis 2, N=420)</w:t>
      </w:r>
      <w:r w:rsidR="00A258E7">
        <w:rPr>
          <w:rFonts w:cs="Times New Roman"/>
          <w:b/>
          <w:szCs w:val="24"/>
          <w:lang w:val="en-US"/>
        </w:rPr>
        <w:t xml:space="preserve">. </w:t>
      </w:r>
      <w:r w:rsidR="00A258E7" w:rsidRPr="00A258E7">
        <w:rPr>
          <w:rFonts w:cs="Times New Roman"/>
          <w:b/>
          <w:szCs w:val="24"/>
          <w:lang w:val="en-US"/>
        </w:rPr>
        <w:t>Analyses excluding individuals with TC levels&gt;6.98mmol/l, diabetes mellitus, and medication use with effect on serum lipid levels (lipid-lowering drugs, systemic corticosteroids, oral contraceptives)</w:t>
      </w:r>
      <w:r w:rsidR="00A258E7">
        <w:rPr>
          <w:rFonts w:cs="Times New Roman"/>
          <w:b/>
          <w:szCs w:val="24"/>
          <w:lang w:val="en-US"/>
        </w:rPr>
        <w:t xml:space="preserve">. </w:t>
      </w:r>
    </w:p>
    <w:tbl>
      <w:tblPr>
        <w:tblStyle w:val="Tabellenraster"/>
        <w:tblW w:w="15115" w:type="dxa"/>
        <w:tblLayout w:type="fixed"/>
        <w:tblLook w:val="04A0" w:firstRow="1" w:lastRow="0" w:firstColumn="1" w:lastColumn="0" w:noHBand="0" w:noVBand="1"/>
      </w:tblPr>
      <w:tblGrid>
        <w:gridCol w:w="3794"/>
        <w:gridCol w:w="1871"/>
        <w:gridCol w:w="850"/>
        <w:gridCol w:w="8"/>
        <w:gridCol w:w="2006"/>
        <w:gridCol w:w="789"/>
        <w:gridCol w:w="9"/>
        <w:gridCol w:w="2005"/>
        <w:gridCol w:w="854"/>
        <w:gridCol w:w="1981"/>
        <w:gridCol w:w="939"/>
        <w:gridCol w:w="9"/>
      </w:tblGrid>
      <w:tr w:rsidR="00617B88">
        <w:tc>
          <w:tcPr>
            <w:tcW w:w="3794" w:type="dxa"/>
          </w:tcPr>
          <w:p w:rsidR="00617B88" w:rsidRDefault="00617B8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533" w:type="dxa"/>
            <w:gridSpan w:val="6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Male (N=303)</w:t>
            </w:r>
          </w:p>
        </w:tc>
        <w:tc>
          <w:tcPr>
            <w:tcW w:w="5788" w:type="dxa"/>
            <w:gridSpan w:val="5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Female (N=117)</w:t>
            </w:r>
          </w:p>
        </w:tc>
      </w:tr>
      <w:tr w:rsidR="00617B88">
        <w:tc>
          <w:tcPr>
            <w:tcW w:w="3794" w:type="dxa"/>
          </w:tcPr>
          <w:p w:rsidR="00617B88" w:rsidRDefault="00617B8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729" w:type="dxa"/>
            <w:gridSpan w:val="3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804" w:type="dxa"/>
            <w:gridSpan w:val="3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  <w:tc>
          <w:tcPr>
            <w:tcW w:w="2859" w:type="dxa"/>
            <w:gridSpan w:val="2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bivariable</w:t>
            </w:r>
          </w:p>
        </w:tc>
        <w:tc>
          <w:tcPr>
            <w:tcW w:w="2929" w:type="dxa"/>
            <w:gridSpan w:val="3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multivariable</w:t>
            </w: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617B8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789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Beta (95% CI)</w:t>
            </w:r>
          </w:p>
        </w:tc>
        <w:tc>
          <w:tcPr>
            <w:tcW w:w="939" w:type="dxa"/>
          </w:tcPr>
          <w:p w:rsidR="00617B88" w:rsidRDefault="0006228A">
            <w:pPr>
              <w:jc w:val="right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R²</w:t>
            </w: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Baseline level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0.79 (0.69;0.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89)*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0.40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0.73 (0.63;0.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82)*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 w:val="restart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0.48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0.54 (0.39;0.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69)*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0.32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0.59 (0.45;0.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73)*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939" w:type="dxa"/>
            <w:vMerge w:val="restart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0.51</w:t>
            </w: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BMI z-score in childhood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 (-0.08;0.14)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(-0.03;0.08)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0.12 (-0.02;0.27)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 (-0.06;0.12)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Difference in BMI z-score to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0.29 (0.16;0.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41)*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0.24 (0.15;0.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33)*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0.12 (-0.02;0.27)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0.14 (0.05;0.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23)*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HFD index in childhood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0.27 (-0.41;0.96)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-0.19 (-0.98;0.60)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0.46 (-0.34;1.27)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0.63 (-0.37;1.63)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Difference in HFD index score to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-0.44 (-1.11;0.24)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-0.28 (-0.99;0.43)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0.34 (-0.37;1.05)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0.53 (-0.37;1.43)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1" w:name="_Hlk116304569"/>
            <w:r>
              <w:rPr>
                <w:rFonts w:cs="Times New Roman"/>
                <w:sz w:val="20"/>
                <w:szCs w:val="20"/>
                <w:lang w:val="en-US"/>
              </w:rPr>
              <w:t>Physical activity in childhood</w:t>
            </w:r>
          </w:p>
        </w:tc>
        <w:tc>
          <w:tcPr>
            <w:tcW w:w="187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98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bookmarkEnd w:id="1"/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Low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0.04 (-0.22;0.29)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-0.10 (-0.30;0.11)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0.05 (-0.30;0.40)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0.29 (0.09;0.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50)*</w:t>
            </w:r>
            <w:proofErr w:type="gramEnd"/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Middle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-0.08 (-0.30;0.14)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 (-0.13;0.16)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0.26 (-0.16;0.68)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0.27 (0.00;0.53)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High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Sports (h per week) in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-0.01 (-0.04;0.03)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-0.02 (-0.04;0.00)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-0.05 (-0.10;0.00)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-0.05 (-0.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08;-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>0.02)*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Smoking in young adulthood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-0.18 (-0.38;0.02)</w:t>
            </w: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-0.07 (-0.23;0.08)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0.11 (-0.46;0.68)</w:t>
            </w: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0.45 (0.04;0.86)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bookmarkStart w:id="2" w:name="_GoBack"/>
        <w:bookmarkEnd w:id="2"/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Alcohol use in young adulthood</w:t>
            </w:r>
          </w:p>
        </w:tc>
        <w:tc>
          <w:tcPr>
            <w:tcW w:w="187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2014" w:type="dxa"/>
            <w:gridSpan w:val="2"/>
          </w:tcPr>
          <w:p w:rsidR="00617B88" w:rsidRDefault="00617B88">
            <w:pPr>
              <w:tabs>
                <w:tab w:val="left" w:pos="480"/>
              </w:tabs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4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981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No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0.28 (-0.12;0.67)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0.17 (-0.07;0.41)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0.10 (-0.34;0.55)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0.20 (-0.15;0.54)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Moderate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17B88">
        <w:trPr>
          <w:gridAfter w:val="1"/>
          <w:wAfter w:w="9" w:type="dxa"/>
          <w:trHeight w:val="270"/>
        </w:trPr>
        <w:tc>
          <w:tcPr>
            <w:tcW w:w="3794" w:type="dxa"/>
          </w:tcPr>
          <w:p w:rsidR="00617B88" w:rsidRDefault="0006228A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  At risk</w:t>
            </w:r>
          </w:p>
        </w:tc>
        <w:tc>
          <w:tcPr>
            <w:tcW w:w="187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-0.11 (-0.31;0.10)</w:t>
            </w:r>
          </w:p>
        </w:tc>
        <w:tc>
          <w:tcPr>
            <w:tcW w:w="850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-0.03 (-0.17;0.10)</w:t>
            </w:r>
          </w:p>
        </w:tc>
        <w:tc>
          <w:tcPr>
            <w:tcW w:w="78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gridSpan w:val="2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-0.05 (-0.37;0.27)</w:t>
            </w:r>
          </w:p>
        </w:tc>
        <w:tc>
          <w:tcPr>
            <w:tcW w:w="854" w:type="dxa"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81" w:type="dxa"/>
          </w:tcPr>
          <w:p w:rsidR="00617B88" w:rsidRDefault="0006228A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-0.19 (-0.41;0.04)</w:t>
            </w:r>
          </w:p>
        </w:tc>
        <w:tc>
          <w:tcPr>
            <w:tcW w:w="939" w:type="dxa"/>
            <w:vMerge/>
          </w:tcPr>
          <w:p w:rsidR="00617B88" w:rsidRDefault="00617B88">
            <w:pPr>
              <w:jc w:val="righ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:rsidR="00617B88" w:rsidRDefault="0006228A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*p&lt;0.05, **p&lt;0.01, ***p&lt;0.001</w:t>
      </w:r>
      <w:r>
        <w:rPr>
          <w:lang w:val="en-US"/>
        </w:rPr>
        <w:br/>
      </w:r>
      <w:r>
        <w:rPr>
          <w:rFonts w:cs="Times New Roman"/>
          <w:sz w:val="20"/>
          <w:szCs w:val="20"/>
          <w:lang w:val="en-US"/>
        </w:rPr>
        <w:t>HFD: Healthy Food Diversity index</w:t>
      </w:r>
    </w:p>
    <w:bookmarkEnd w:id="0"/>
    <w:p w:rsidR="00617B88" w:rsidRDefault="00617B88">
      <w:pPr>
        <w:rPr>
          <w:rFonts w:cs="Times New Roman"/>
          <w:b/>
          <w:szCs w:val="24"/>
          <w:lang w:val="en-US"/>
        </w:rPr>
      </w:pPr>
    </w:p>
    <w:sectPr w:rsidR="00617B88">
      <w:foot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9EA" w:rsidRDefault="006A09EA">
      <w:pPr>
        <w:spacing w:after="0" w:line="240" w:lineRule="auto"/>
      </w:pPr>
      <w:r>
        <w:separator/>
      </w:r>
    </w:p>
  </w:endnote>
  <w:endnote w:type="continuationSeparator" w:id="0">
    <w:p w:rsidR="006A09EA" w:rsidRDefault="006A0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0837733"/>
      <w:docPartObj>
        <w:docPartGallery w:val="Page Numbers (Bottom of Page)"/>
        <w:docPartUnique/>
      </w:docPartObj>
    </w:sdtPr>
    <w:sdtEndPr/>
    <w:sdtContent>
      <w:p w:rsidR="00617B88" w:rsidRDefault="0006228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17B88" w:rsidRDefault="00617B8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9EA" w:rsidRDefault="006A09EA">
      <w:pPr>
        <w:spacing w:after="0" w:line="240" w:lineRule="auto"/>
      </w:pPr>
      <w:r>
        <w:separator/>
      </w:r>
    </w:p>
  </w:footnote>
  <w:footnote w:type="continuationSeparator" w:id="0">
    <w:p w:rsidR="006A09EA" w:rsidRDefault="006A09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66BF4"/>
    <w:multiLevelType w:val="hybridMultilevel"/>
    <w:tmpl w:val="9078E06E"/>
    <w:lvl w:ilvl="0" w:tplc="F2F4415A">
      <w:start w:val="5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52B54"/>
    <w:multiLevelType w:val="hybridMultilevel"/>
    <w:tmpl w:val="BFC0B6BA"/>
    <w:lvl w:ilvl="0" w:tplc="1EA2A19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4132E"/>
    <w:multiLevelType w:val="hybridMultilevel"/>
    <w:tmpl w:val="05A2683E"/>
    <w:lvl w:ilvl="0" w:tplc="9420215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136F0"/>
    <w:multiLevelType w:val="hybridMultilevel"/>
    <w:tmpl w:val="B22CD0BA"/>
    <w:lvl w:ilvl="0" w:tplc="18BEAE1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1D348D"/>
    <w:multiLevelType w:val="hybridMultilevel"/>
    <w:tmpl w:val="DD22EB7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D5BD0"/>
    <w:multiLevelType w:val="hybridMultilevel"/>
    <w:tmpl w:val="8E26D854"/>
    <w:lvl w:ilvl="0" w:tplc="7FE04A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A5795"/>
    <w:multiLevelType w:val="hybridMultilevel"/>
    <w:tmpl w:val="637881D4"/>
    <w:lvl w:ilvl="0" w:tplc="45C06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5ABE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5AEA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269D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50E10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D010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E2A5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E645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DC20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842AE"/>
    <w:multiLevelType w:val="hybridMultilevel"/>
    <w:tmpl w:val="C0AAB2DC"/>
    <w:lvl w:ilvl="0" w:tplc="FA2CFE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956DE"/>
    <w:multiLevelType w:val="multilevel"/>
    <w:tmpl w:val="A22E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B23A0C"/>
    <w:multiLevelType w:val="hybridMultilevel"/>
    <w:tmpl w:val="498E456A"/>
    <w:lvl w:ilvl="0" w:tplc="6BB8E3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F001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12C1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FA9C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B021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942D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E29D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6413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3AC0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656AC"/>
    <w:multiLevelType w:val="hybridMultilevel"/>
    <w:tmpl w:val="13EA397A"/>
    <w:lvl w:ilvl="0" w:tplc="7AAEDA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B69CC"/>
    <w:multiLevelType w:val="multilevel"/>
    <w:tmpl w:val="E6A4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0"/>
  </w:num>
  <w:num w:numId="5">
    <w:abstractNumId w:val="4"/>
  </w:num>
  <w:num w:numId="6">
    <w:abstractNumId w:val="8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5v2xtsvgvf9riew2f7pe2werwstpaexxfwz&quot;&gt;CholesterolKiGGSLS&lt;record-ids&gt;&lt;item&gt;3&lt;/item&gt;&lt;item&gt;4&lt;/item&gt;&lt;item&gt;5&lt;/item&gt;&lt;item&gt;6&lt;/item&gt;&lt;item&gt;9&lt;/item&gt;&lt;item&gt;10&lt;/item&gt;&lt;item&gt;13&lt;/item&gt;&lt;item&gt;14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32&lt;/item&gt;&lt;item&gt;33&lt;/item&gt;&lt;item&gt;34&lt;/item&gt;&lt;item&gt;35&lt;/item&gt;&lt;item&gt;38&lt;/item&gt;&lt;item&gt;39&lt;/item&gt;&lt;item&gt;43&lt;/item&gt;&lt;item&gt;46&lt;/item&gt;&lt;item&gt;47&lt;/item&gt;&lt;item&gt;51&lt;/item&gt;&lt;item&gt;53&lt;/item&gt;&lt;item&gt;55&lt;/item&gt;&lt;item&gt;56&lt;/item&gt;&lt;item&gt;57&lt;/item&gt;&lt;item&gt;58&lt;/item&gt;&lt;item&gt;59&lt;/item&gt;&lt;item&gt;60&lt;/item&gt;&lt;item&gt;62&lt;/item&gt;&lt;item&gt;64&lt;/item&gt;&lt;item&gt;65&lt;/item&gt;&lt;/record-ids&gt;&lt;/item&gt;&lt;/Libraries&gt;"/>
  </w:docVars>
  <w:rsids>
    <w:rsidRoot w:val="00617B88"/>
    <w:rsid w:val="0006228A"/>
    <w:rsid w:val="00617B88"/>
    <w:rsid w:val="00622C7B"/>
    <w:rsid w:val="006A09EA"/>
    <w:rsid w:val="00A258E7"/>
    <w:rsid w:val="00B9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33FA6"/>
  <w15:docId w15:val="{671BB5F3-4184-4EDF-8E93-2BF97554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258E7"/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Times New Roman" w:eastAsiaTheme="majorEastAsia" w:hAnsi="Times New Roman" w:cstheme="majorBidi"/>
      <w:b/>
      <w:bCs/>
      <w:sz w:val="26"/>
      <w:szCs w:val="26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Textkrper2">
    <w:name w:val="Body Text 2"/>
    <w:basedOn w:val="Standard"/>
    <w:link w:val="Textkrper2Zchn"/>
    <w:pPr>
      <w:spacing w:after="0" w:line="360" w:lineRule="auto"/>
      <w:jc w:val="center"/>
    </w:pPr>
    <w:rPr>
      <w:rFonts w:ascii="Arial" w:eastAsia="Times New Roman" w:hAnsi="Arial" w:cs="Times New Roman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Pr>
      <w:rFonts w:ascii="Arial" w:eastAsia="Times New Roman" w:hAnsi="Arial" w:cs="Times New Roman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Standard"/>
    <w:link w:val="EndNoteBibliographyTitleZchn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pPr>
      <w:spacing w:line="480" w:lineRule="auto"/>
    </w:pPr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Pr>
      <w:rFonts w:ascii="Times New Roman" w:hAnsi="Times New Roman" w:cs="Times New Roman"/>
      <w:noProof/>
      <w:sz w:val="24"/>
      <w:lang w:val="en-US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styleId="Zeilennummer">
    <w:name w:val="line number"/>
    <w:basedOn w:val="Absatz-Standardschriftar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Times New Roman" w:hAnsi="Times New Roman"/>
      <w:sz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rarbeitung">
    <w:name w:val="Revision"/>
    <w:hidden/>
    <w:uiPriority w:val="99"/>
    <w:semiHidden/>
    <w:pPr>
      <w:spacing w:after="0" w:line="240" w:lineRule="auto"/>
    </w:pPr>
    <w:rPr>
      <w:rFonts w:ascii="Times New Roman" w:hAnsi="Times New Roman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428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6033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5173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35161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6694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99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0114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3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7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1125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547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15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446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460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73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0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1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CFF99-82F6-4CD3-ACE3-20DA8D8A0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Truthmann, Julia</dc:creator>
  <cp:lastModifiedBy>Julia Truthmann</cp:lastModifiedBy>
  <cp:revision>4</cp:revision>
  <cp:lastPrinted>2021-06-15T12:05:00Z</cp:lastPrinted>
  <dcterms:created xsi:type="dcterms:W3CDTF">2024-11-18T09:02:00Z</dcterms:created>
  <dcterms:modified xsi:type="dcterms:W3CDTF">2024-11-18T13:46:00Z</dcterms:modified>
</cp:coreProperties>
</file>