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02D86">
      <w:pPr>
        <w:rPr>
          <w:rFonts w:hint="default"/>
          <w:sz w:val="24"/>
          <w:szCs w:val="24"/>
        </w:rPr>
      </w:pPr>
      <w:r>
        <w:rPr>
          <w:rFonts w:hint="eastAsia" w:ascii="Times New Roman Bold" w:hAnsi="Times New Roman Bold" w:cs="Times New Roman Bold"/>
          <w:b/>
          <w:bCs/>
          <w:sz w:val="24"/>
          <w:szCs w:val="24"/>
          <w:lang w:val="en-US" w:eastAsia="zh-CN"/>
        </w:rPr>
        <w:t>D</w:t>
      </w:r>
      <w:r>
        <w:rPr>
          <w:rFonts w:hint="default" w:ascii="Times New Roman Bold" w:hAnsi="Times New Roman Bold" w:cs="Times New Roman Bold"/>
          <w:b/>
          <w:bCs/>
          <w:sz w:val="24"/>
          <w:szCs w:val="24"/>
        </w:rPr>
        <w:t>efinition of covariates</w:t>
      </w:r>
    </w:p>
    <w:p w14:paraId="4ED56282">
      <w:pPr>
        <w:rPr>
          <w:rFonts w:hint="default"/>
          <w:sz w:val="24"/>
          <w:szCs w:val="24"/>
        </w:rPr>
      </w:pPr>
      <w:r>
        <w:rPr>
          <w:rFonts w:hint="default"/>
          <w:sz w:val="24"/>
          <w:szCs w:val="24"/>
        </w:rPr>
        <w:t>PIR was stratified into three categories: low income (&lt; 1.3), medium income (1.3-3.5), and high income (≥ 3.5)</w:t>
      </w:r>
      <w:r>
        <w:rPr>
          <w:rFonts w:hint="eastAsia"/>
          <w:sz w:val="24"/>
          <w:szCs w:val="24"/>
          <w:lang w:val="en-US" w:eastAsia="zh-CN"/>
        </w:rPr>
        <w:t xml:space="preserve">. </w:t>
      </w:r>
      <w:r>
        <w:rPr>
          <w:rFonts w:hint="default"/>
          <w:sz w:val="24"/>
          <w:szCs w:val="24"/>
        </w:rPr>
        <w:t>BMI was categorized into three groups: underweight/normal (&lt; 25 kg/m</w:t>
      </w:r>
      <w:r>
        <w:rPr>
          <w:rFonts w:hint="default"/>
          <w:sz w:val="24"/>
          <w:szCs w:val="24"/>
          <w:vertAlign w:val="superscript"/>
        </w:rPr>
        <w:t>2</w:t>
      </w:r>
      <w:r>
        <w:rPr>
          <w:rFonts w:hint="default"/>
          <w:sz w:val="24"/>
          <w:szCs w:val="24"/>
        </w:rPr>
        <w:t>), overweight (25-30 kg/m</w:t>
      </w:r>
      <w:r>
        <w:rPr>
          <w:rFonts w:hint="default"/>
          <w:sz w:val="24"/>
          <w:szCs w:val="24"/>
          <w:vertAlign w:val="superscript"/>
        </w:rPr>
        <w:t>2</w:t>
      </w:r>
      <w:r>
        <w:rPr>
          <w:rFonts w:hint="default"/>
          <w:sz w:val="24"/>
          <w:szCs w:val="24"/>
        </w:rPr>
        <w:t>), and obese (≥ 30 kg/m</w:t>
      </w:r>
      <w:r>
        <w:rPr>
          <w:rFonts w:hint="default"/>
          <w:sz w:val="24"/>
          <w:szCs w:val="24"/>
          <w:vertAlign w:val="superscript"/>
        </w:rPr>
        <w:t>2</w:t>
      </w:r>
      <w:r>
        <w:rPr>
          <w:rFonts w:hint="default"/>
          <w:sz w:val="24"/>
          <w:szCs w:val="24"/>
        </w:rPr>
        <w:t>). Smoking status was categorized as non-smokers (individuals who had smoked &lt; 100 cigarettes in their lifetime), former smokers (those who had smoked ≥ 100 cigarettes but were not currently smoking), and current smokers (individuals who were currently smoking daily or on some days after having smoked ≥ 100 cigarettes). Drinking status was assessed based on alcohol consumption, calculated using the mean of two 24-hour dietary recalls. Participants were classified as non-drinkers, moderate drinkers (&lt; 15 g/day for females, &lt; 30 g/day for males) and heavy drinkers (≥ 15 g/day for females, ≥ 30 g/day for males). Physical activity</w:t>
      </w:r>
      <w:r>
        <w:rPr>
          <w:rFonts w:hint="eastAsia"/>
          <w:sz w:val="24"/>
          <w:szCs w:val="24"/>
          <w:lang w:val="en-US" w:eastAsia="zh-CN"/>
        </w:rPr>
        <w:t xml:space="preserve"> (PA)</w:t>
      </w:r>
      <w:r>
        <w:rPr>
          <w:rFonts w:hint="default"/>
          <w:sz w:val="24"/>
          <w:szCs w:val="24"/>
        </w:rPr>
        <w:t xml:space="preserve"> was quantified by</w:t>
      </w:r>
      <w:r>
        <w:rPr>
          <w:rFonts w:hint="eastAsia"/>
          <w:sz w:val="24"/>
          <w:szCs w:val="24"/>
          <w:lang w:val="en-US" w:eastAsia="zh-CN"/>
        </w:rPr>
        <w:t xml:space="preserve"> </w:t>
      </w:r>
      <w:r>
        <w:rPr>
          <w:rFonts w:hint="default"/>
          <w:sz w:val="24"/>
          <w:szCs w:val="24"/>
        </w:rPr>
        <w:t xml:space="preserve">MET derived from the Physical Activity Questionnaire, which captured various types of physical activities, including work-related activity (vigorous or moderate), walking or bicycling for transportation, </w:t>
      </w:r>
      <w:r>
        <w:rPr>
          <w:rFonts w:hint="eastAsia"/>
          <w:sz w:val="24"/>
          <w:szCs w:val="24"/>
          <w:lang w:val="en-US" w:eastAsia="zh-CN"/>
        </w:rPr>
        <w:t xml:space="preserve">and </w:t>
      </w:r>
      <w:r>
        <w:rPr>
          <w:rFonts w:hint="default"/>
          <w:sz w:val="24"/>
          <w:szCs w:val="24"/>
        </w:rPr>
        <w:t>recreational activity (vigorous or moderate. PA (MET-min/week) = recommended MET score × duration of physical activity (min/day) × frequency of physical activity (day/week), categorizing participants as active (≥ 600 MET-mins/week) or inactive (&lt; 600 MET-mins/week). Participants were defined as having diabetes as follows: (1) self-reported diabetes, currently taking insulin or pills to lower blood sugar;  (2) fasting plasma glucose ≥ 126 mg/dL; or (3) glycated hemoglobin ≥ 6.5%. Hypertension was defined as an average systolic blood pressure ≥ 140 mmHg, average diastolic blood pressure readings ≥ 90 mmHg, self-reported hypertension, or prescribed antihypertensive medication. CVDs included coronary heart disease, angina, heart attack, congestive heart failure, and stroke. Participants were asked if they had been told to have these conditions, and those responding affirmatively to any of these inquiries were considered to have CVDs. A history of asthma was identified according to the question "Has a doctor or other health professional ever told you that you have asthma?". Participants who answered "yes" were classified as having asthma; those who answered "no" were classified as non-asthma. COPD was defined as a self-reported history of emphysema, chronic bronchitis, or COPD. The Patient Health Questionnaire (PHQ-9), utilized for screening or assessing the severity of depression, consists of nine questions with each item scored on a scale from 0 (not at all) to 3 (almost every day). Thus, participant's total PHQ-9 scores varied from 0 to 27, with a score of 10 or above indicating clinically significant depression.</w:t>
      </w:r>
    </w:p>
    <w:p w14:paraId="20627429">
      <w:pPr>
        <w:rPr>
          <w:rFonts w:hint="default"/>
          <w:sz w:val="24"/>
          <w:szCs w:val="24"/>
          <w:lang w:val="en-US"/>
        </w:rPr>
      </w:pPr>
    </w:p>
    <w:p w14:paraId="68110462">
      <w:pPr>
        <w:rPr>
          <w:rFonts w:hint="default" w:ascii="Times New Roman Bold" w:hAnsi="Times New Roman Bold" w:cs="Times New Roman Bold"/>
          <w:b/>
          <w:bCs/>
          <w:sz w:val="24"/>
          <w:szCs w:val="24"/>
          <w:highlight w:val="none"/>
          <w:lang w:val="en-US"/>
        </w:rPr>
      </w:pPr>
    </w:p>
    <w:p w14:paraId="7C9FEB01">
      <w:pPr>
        <w:rPr>
          <w:rFonts w:hint="default" w:ascii="Times New Roman Bold" w:hAnsi="Times New Roman Bold" w:cs="Times New Roman Bold"/>
          <w:b/>
          <w:bCs/>
          <w:sz w:val="24"/>
          <w:szCs w:val="24"/>
          <w:highlight w:val="none"/>
          <w:lang w:val="en-US"/>
        </w:rPr>
      </w:pPr>
    </w:p>
    <w:p w14:paraId="11304ACE">
      <w:pPr>
        <w:rPr>
          <w:rFonts w:hint="default" w:ascii="Times New Roman Bold" w:hAnsi="Times New Roman Bold" w:cs="Times New Roman Bold"/>
          <w:b/>
          <w:bCs/>
          <w:sz w:val="24"/>
          <w:szCs w:val="24"/>
          <w:highlight w:val="none"/>
          <w:lang w:val="en-US"/>
        </w:rPr>
      </w:pPr>
    </w:p>
    <w:p w14:paraId="31698018">
      <w:pPr>
        <w:rPr>
          <w:rFonts w:hint="default" w:ascii="Times New Roman Bold" w:hAnsi="Times New Roman Bold" w:cs="Times New Roman Bold"/>
          <w:b/>
          <w:bCs/>
          <w:sz w:val="24"/>
          <w:szCs w:val="24"/>
          <w:highlight w:val="none"/>
          <w:lang w:val="en-US"/>
        </w:rPr>
      </w:pPr>
    </w:p>
    <w:p w14:paraId="4409B6D4">
      <w:pPr>
        <w:rPr>
          <w:rFonts w:hint="default" w:ascii="Times New Roman Bold" w:hAnsi="Times New Roman Bold" w:cs="Times New Roman Bold"/>
          <w:b/>
          <w:bCs/>
          <w:sz w:val="24"/>
          <w:szCs w:val="24"/>
          <w:highlight w:val="none"/>
          <w:lang w:val="en-US"/>
        </w:rPr>
      </w:pPr>
    </w:p>
    <w:p w14:paraId="5A414AF5">
      <w:pPr>
        <w:rPr>
          <w:rFonts w:hint="default" w:ascii="Times New Roman Bold" w:hAnsi="Times New Roman Bold" w:cs="Times New Roman Bold"/>
          <w:b/>
          <w:bCs/>
          <w:sz w:val="24"/>
          <w:szCs w:val="24"/>
          <w:highlight w:val="none"/>
          <w:lang w:val="en-US"/>
        </w:rPr>
      </w:pPr>
    </w:p>
    <w:p w14:paraId="4AD7C058">
      <w:pPr>
        <w:rPr>
          <w:rFonts w:hint="default" w:ascii="Times New Roman Bold" w:hAnsi="Times New Roman Bold" w:cs="Times New Roman Bold"/>
          <w:b/>
          <w:bCs/>
          <w:sz w:val="24"/>
          <w:szCs w:val="24"/>
          <w:highlight w:val="none"/>
          <w:lang w:val="en-US"/>
        </w:rPr>
      </w:pPr>
    </w:p>
    <w:p w14:paraId="1FEF9946">
      <w:pPr>
        <w:rPr>
          <w:rFonts w:hint="default" w:ascii="Times New Roman Bold" w:hAnsi="Times New Roman Bold" w:cs="Times New Roman Bold"/>
          <w:b/>
          <w:bCs/>
          <w:sz w:val="24"/>
          <w:szCs w:val="24"/>
          <w:highlight w:val="none"/>
          <w:lang w:val="en-US"/>
        </w:rPr>
      </w:pPr>
    </w:p>
    <w:p w14:paraId="5D177FF0">
      <w:pPr>
        <w:rPr>
          <w:sz w:val="24"/>
          <w:szCs w:val="24"/>
          <w:highlight w:val="none"/>
          <w:lang w:val="en-US"/>
        </w:rPr>
      </w:pPr>
      <w:r>
        <w:rPr>
          <w:rFonts w:hint="default" w:ascii="Times New Roman Bold" w:hAnsi="Times New Roman Bold" w:cs="Times New Roman Bold"/>
          <w:b/>
          <w:bCs/>
          <w:sz w:val="24"/>
          <w:szCs w:val="24"/>
          <w:highlight w:val="none"/>
          <w:lang w:val="en-US"/>
        </w:rPr>
        <w:t xml:space="preserve">Supplementary </w:t>
      </w:r>
      <w:r>
        <w:rPr>
          <w:rFonts w:hint="eastAsia" w:ascii="Times New Roman Bold" w:hAnsi="Times New Roman Bold" w:cs="Times New Roman Bold"/>
          <w:b/>
          <w:bCs/>
          <w:sz w:val="24"/>
          <w:szCs w:val="24"/>
          <w:highlight w:val="none"/>
          <w:lang w:val="en-US" w:eastAsia="zh-CN"/>
        </w:rPr>
        <w:t>T</w:t>
      </w:r>
      <w:r>
        <w:rPr>
          <w:rFonts w:hint="default" w:ascii="Times New Roman Bold" w:hAnsi="Times New Roman Bold" w:cs="Times New Roman Bold"/>
          <w:b/>
          <w:bCs/>
          <w:sz w:val="24"/>
          <w:szCs w:val="24"/>
          <w:highlight w:val="none"/>
          <w:lang w:val="en-US"/>
        </w:rPr>
        <w:t>able 1</w:t>
      </w:r>
      <w:r>
        <w:rPr>
          <w:rFonts w:hint="default"/>
          <w:sz w:val="24"/>
          <w:szCs w:val="24"/>
          <w:highlight w:val="none"/>
          <w:lang w:val="en-US"/>
        </w:rPr>
        <w:t xml:space="preserve">  </w:t>
      </w:r>
      <w:r>
        <w:rPr>
          <w:sz w:val="24"/>
          <w:szCs w:val="24"/>
          <w:highlight w:val="none"/>
          <w:lang w:val="en-US"/>
        </w:rPr>
        <w:t xml:space="preserve">Weight </w:t>
      </w:r>
      <w:r>
        <w:rPr>
          <w:rFonts w:hint="default"/>
          <w:sz w:val="24"/>
          <w:szCs w:val="24"/>
          <w:highlight w:val="none"/>
          <w:lang w:val="en-US"/>
        </w:rPr>
        <w:t>a</w:t>
      </w:r>
      <w:r>
        <w:rPr>
          <w:sz w:val="24"/>
          <w:szCs w:val="24"/>
          <w:highlight w:val="none"/>
          <w:lang w:val="en-US"/>
        </w:rPr>
        <w:t xml:space="preserve">djustment </w:t>
      </w:r>
      <w:r>
        <w:rPr>
          <w:rFonts w:hint="default"/>
          <w:sz w:val="24"/>
          <w:szCs w:val="24"/>
          <w:highlight w:val="none"/>
          <w:lang w:val="en-US"/>
        </w:rPr>
        <w:t>p</w:t>
      </w:r>
      <w:r>
        <w:rPr>
          <w:sz w:val="24"/>
          <w:szCs w:val="24"/>
          <w:highlight w:val="none"/>
          <w:lang w:val="en-US"/>
        </w:rPr>
        <w:t>rocess</w:t>
      </w:r>
    </w:p>
    <w:tbl>
      <w:tblPr>
        <w:tblStyle w:val="5"/>
        <w:tblpPr w:leftFromText="180" w:rightFromText="180" w:vertAnchor="page" w:horzAnchor="page" w:tblpX="329" w:tblpY="1880"/>
        <w:tblOverlap w:val="never"/>
        <w:tblW w:w="11453" w:type="dxa"/>
        <w:tblInd w:w="0" w:type="dxa"/>
        <w:tblBorders>
          <w:top w:val="single" w:color="auto" w:sz="8" w:space="0"/>
          <w:left w:val="none" w:color="auto" w:sz="0" w:space="0"/>
          <w:bottom w:val="single" w:color="auto" w:sz="8"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589"/>
        <w:gridCol w:w="2000"/>
        <w:gridCol w:w="2922"/>
        <w:gridCol w:w="5942"/>
      </w:tblGrid>
      <w:tr w14:paraId="34A63AFC">
        <w:tc>
          <w:tcPr>
            <w:tcW w:w="589" w:type="dxa"/>
            <w:tcBorders>
              <w:tl2br w:val="nil"/>
              <w:tr2bl w:val="nil"/>
            </w:tcBorders>
          </w:tcPr>
          <w:p w14:paraId="7EC56274">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sz w:val="15"/>
                <w:szCs w:val="15"/>
                <w:highlight w:val="none"/>
                <w:lang w:val="en-US"/>
              </w:rPr>
            </w:pPr>
            <w:r>
              <w:rPr>
                <w:rFonts w:hint="default" w:ascii="Times New Roman Bold" w:hAnsi="Times New Roman Bold" w:cs="Times New Roman Bold"/>
                <w:b/>
                <w:bCs/>
                <w:sz w:val="15"/>
                <w:szCs w:val="15"/>
                <w:highlight w:val="none"/>
                <w:lang w:val="en-US"/>
              </w:rPr>
              <w:t>Step</w:t>
            </w:r>
          </w:p>
        </w:tc>
        <w:tc>
          <w:tcPr>
            <w:tcW w:w="2000" w:type="dxa"/>
            <w:tcBorders>
              <w:tl2br w:val="nil"/>
              <w:tr2bl w:val="nil"/>
            </w:tcBorders>
          </w:tcPr>
          <w:p w14:paraId="2E0B9437">
            <w:pPr>
              <w:keepNext w:val="0"/>
              <w:keepLines w:val="0"/>
              <w:pageBreakBefore w:val="0"/>
              <w:widowControl w:val="0"/>
              <w:kinsoku/>
              <w:wordWrap/>
              <w:overflowPunct/>
              <w:topLinePunct w:val="0"/>
              <w:autoSpaceDE/>
              <w:autoSpaceDN/>
              <w:bidi w:val="0"/>
              <w:adjustRightInd/>
              <w:snapToGrid/>
              <w:textAlignment w:val="auto"/>
              <w:rPr>
                <w:rFonts w:hint="default" w:ascii="Times New Roman Bold" w:hAnsi="Times New Roman Bold" w:cs="Times New Roman Bold"/>
                <w:b/>
                <w:bCs/>
                <w:sz w:val="15"/>
                <w:szCs w:val="15"/>
                <w:highlight w:val="none"/>
                <w:lang w:val="en-US"/>
              </w:rPr>
            </w:pPr>
            <w:r>
              <w:rPr>
                <w:rFonts w:hint="default" w:ascii="Times New Roman Bold" w:hAnsi="Times New Roman Bold" w:cs="Times New Roman Bold"/>
                <w:b/>
                <w:bCs/>
                <w:sz w:val="15"/>
                <w:szCs w:val="15"/>
                <w:highlight w:val="none"/>
                <w:lang w:val="en-US"/>
              </w:rPr>
              <w:t>Purpose</w:t>
            </w:r>
          </w:p>
        </w:tc>
        <w:tc>
          <w:tcPr>
            <w:tcW w:w="2922" w:type="dxa"/>
            <w:tcBorders>
              <w:tl2br w:val="nil"/>
              <w:tr2bl w:val="nil"/>
            </w:tcBorders>
          </w:tcPr>
          <w:p w14:paraId="1C543FFC">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b/>
                <w:bCs/>
                <w:sz w:val="15"/>
                <w:szCs w:val="15"/>
                <w:highlight w:val="none"/>
                <w:lang w:val="en-US"/>
              </w:rPr>
            </w:pPr>
            <w:r>
              <w:rPr>
                <w:rFonts w:hint="default" w:ascii="Times New Roman Bold" w:hAnsi="Times New Roman Bold" w:cs="Times New Roman Bold"/>
                <w:b/>
                <w:bCs/>
                <w:sz w:val="15"/>
                <w:szCs w:val="15"/>
                <w:highlight w:val="none"/>
                <w:lang w:val="en-US"/>
              </w:rPr>
              <w:t>Description</w:t>
            </w:r>
          </w:p>
        </w:tc>
        <w:tc>
          <w:tcPr>
            <w:tcW w:w="5942" w:type="dxa"/>
            <w:tcBorders>
              <w:tl2br w:val="nil"/>
              <w:tr2bl w:val="nil"/>
            </w:tcBorders>
          </w:tcPr>
          <w:p w14:paraId="582C868C">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b/>
                <w:bCs/>
                <w:sz w:val="15"/>
                <w:szCs w:val="15"/>
                <w:highlight w:val="none"/>
                <w:lang w:val="en-US"/>
              </w:rPr>
            </w:pPr>
            <w:r>
              <w:rPr>
                <w:rFonts w:hint="default" w:ascii="Times New Roman Regular" w:hAnsi="Times New Roman Regular" w:cs="Times New Roman Regular"/>
                <w:b/>
                <w:bCs/>
                <w:sz w:val="15"/>
                <w:szCs w:val="15"/>
                <w:highlight w:val="none"/>
                <w:lang w:val="en-US"/>
              </w:rPr>
              <w:t>R dode</w:t>
            </w:r>
          </w:p>
        </w:tc>
      </w:tr>
      <w:tr w14:paraId="099482C6">
        <w:tc>
          <w:tcPr>
            <w:tcW w:w="589" w:type="dxa"/>
            <w:tcBorders>
              <w:tl2br w:val="nil"/>
              <w:tr2bl w:val="nil"/>
            </w:tcBorders>
          </w:tcPr>
          <w:p w14:paraId="68BC0D40">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sz w:val="15"/>
                <w:szCs w:val="15"/>
                <w:highlight w:val="none"/>
                <w:lang w:val="en-US"/>
              </w:rPr>
            </w:pPr>
            <w:r>
              <w:rPr>
                <w:rFonts w:hint="default" w:ascii="Times New Roman Regular" w:hAnsi="Times New Roman Regular" w:cs="Times New Roman Regular"/>
                <w:sz w:val="15"/>
                <w:szCs w:val="15"/>
                <w:highlight w:val="none"/>
                <w:lang w:val="en-US"/>
              </w:rPr>
              <w:t>1</w:t>
            </w:r>
          </w:p>
        </w:tc>
        <w:tc>
          <w:tcPr>
            <w:tcW w:w="2000" w:type="dxa"/>
            <w:tcBorders>
              <w:tl2br w:val="nil"/>
              <w:tr2bl w:val="nil"/>
            </w:tcBorders>
          </w:tcPr>
          <w:p w14:paraId="6E8F813E">
            <w:pPr>
              <w:rPr>
                <w:rFonts w:hint="default"/>
                <w:highlight w:val="none"/>
                <w:lang w:val="en-US"/>
              </w:rPr>
            </w:pPr>
            <w:r>
              <w:rPr>
                <w:rFonts w:hint="default"/>
                <w:highlight w:val="none"/>
                <w:lang w:val="en-US"/>
              </w:rPr>
              <w:t>Obtaining weight variables</w:t>
            </w:r>
          </w:p>
        </w:tc>
        <w:tc>
          <w:tcPr>
            <w:tcW w:w="2922" w:type="dxa"/>
            <w:tcBorders>
              <w:tl2br w:val="nil"/>
              <w:tr2bl w:val="nil"/>
            </w:tcBorders>
          </w:tcPr>
          <w:p w14:paraId="6CD0DBAC">
            <w:pPr>
              <w:rPr>
                <w:rFonts w:hint="default"/>
                <w:highlight w:val="none"/>
                <w:lang w:val="en-US"/>
              </w:rPr>
            </w:pPr>
            <w:r>
              <w:rPr>
                <w:rFonts w:hint="default"/>
                <w:highlight w:val="none"/>
                <w:lang w:val="en-US"/>
              </w:rPr>
              <w:t>E</w:t>
            </w:r>
            <w:bookmarkStart w:id="0" w:name="_GoBack"/>
            <w:bookmarkEnd w:id="0"/>
            <w:r>
              <w:rPr>
                <w:rFonts w:hint="default"/>
                <w:highlight w:val="none"/>
                <w:lang w:val="en-US"/>
              </w:rPr>
              <w:t>xtracting dietary and fasting weight in the 2015-2016 cycle and the 2017-March 2020 cycle</w:t>
            </w:r>
          </w:p>
        </w:tc>
        <w:tc>
          <w:tcPr>
            <w:tcW w:w="5942" w:type="dxa"/>
            <w:tcBorders>
              <w:tl2br w:val="nil"/>
              <w:tr2bl w:val="nil"/>
            </w:tcBorders>
          </w:tcPr>
          <w:p w14:paraId="524BDCDF">
            <w:pPr>
              <w:rPr>
                <w:rFonts w:hint="default"/>
                <w:highlight w:val="none"/>
                <w:lang w:val="en-US"/>
              </w:rPr>
            </w:pPr>
            <w:r>
              <w:rPr>
                <w:rFonts w:hint="default"/>
                <w:highlight w:val="none"/>
                <w:lang w:val="en-US"/>
              </w:rPr>
              <w:t>wtdr.i &lt;- dr1tot.i[, c('SEQN', 'WTDRD1', 'WTDR2D')]</w:t>
            </w:r>
          </w:p>
          <w:p w14:paraId="66C0E88D">
            <w:pPr>
              <w:rPr>
                <w:rFonts w:hint="default"/>
                <w:highlight w:val="none"/>
                <w:lang w:val="en-US"/>
              </w:rPr>
            </w:pPr>
            <w:r>
              <w:rPr>
                <w:rFonts w:hint="default"/>
                <w:highlight w:val="none"/>
                <w:lang w:val="en-US"/>
              </w:rPr>
              <w:t>wtglfas.i &lt;- FBS.i[, c('SEQN', 'WTSAF2YR')]</w:t>
            </w:r>
          </w:p>
          <w:p w14:paraId="1ECC2763">
            <w:pPr>
              <w:rPr>
                <w:rFonts w:hint="default"/>
                <w:highlight w:val="none"/>
                <w:lang w:val="en-US"/>
              </w:rPr>
            </w:pPr>
            <w:r>
              <w:rPr>
                <w:rFonts w:hint="default"/>
                <w:highlight w:val="none"/>
                <w:lang w:val="en-US"/>
              </w:rPr>
              <w:t>wtdr.p &lt;- dr1tot.p[, c('SEQN', 'WTDRD1PP', 'WTDR2DPP')]</w:t>
            </w:r>
          </w:p>
          <w:p w14:paraId="3C84D17B">
            <w:pPr>
              <w:rPr>
                <w:rFonts w:hint="default"/>
                <w:highlight w:val="none"/>
                <w:lang w:val="en-US"/>
              </w:rPr>
            </w:pPr>
            <w:r>
              <w:rPr>
                <w:rFonts w:hint="default"/>
                <w:highlight w:val="none"/>
                <w:lang w:val="en-US"/>
              </w:rPr>
              <w:t>wtglfas.p &lt;- FBS.p[, c('SEQN', 'WTSAFPRP')]</w:t>
            </w:r>
          </w:p>
        </w:tc>
      </w:tr>
      <w:tr w14:paraId="7C926085">
        <w:tc>
          <w:tcPr>
            <w:tcW w:w="589" w:type="dxa"/>
            <w:tcBorders>
              <w:tl2br w:val="nil"/>
              <w:tr2bl w:val="nil"/>
            </w:tcBorders>
          </w:tcPr>
          <w:p w14:paraId="71D53F19">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sz w:val="15"/>
                <w:szCs w:val="15"/>
                <w:highlight w:val="none"/>
                <w:lang w:val="en-US"/>
              </w:rPr>
            </w:pPr>
            <w:r>
              <w:rPr>
                <w:rFonts w:hint="default" w:ascii="Times New Roman Regular" w:hAnsi="Times New Roman Regular" w:cs="Times New Roman Regular"/>
                <w:sz w:val="15"/>
                <w:szCs w:val="15"/>
                <w:highlight w:val="none"/>
                <w:lang w:val="en-US"/>
              </w:rPr>
              <w:t>2</w:t>
            </w:r>
          </w:p>
        </w:tc>
        <w:tc>
          <w:tcPr>
            <w:tcW w:w="2000" w:type="dxa"/>
            <w:tcBorders>
              <w:tl2br w:val="nil"/>
              <w:tr2bl w:val="nil"/>
            </w:tcBorders>
            <w:shd w:val="clear" w:color="auto" w:fill="auto"/>
            <w:vAlign w:val="top"/>
          </w:tcPr>
          <w:p w14:paraId="2DCB01D2">
            <w:pPr>
              <w:rPr>
                <w:rFonts w:hint="default"/>
                <w:highlight w:val="none"/>
                <w:lang w:val="en-US" w:eastAsia="zh-CN"/>
              </w:rPr>
            </w:pPr>
            <w:r>
              <w:rPr>
                <w:rFonts w:hint="default"/>
                <w:highlight w:val="none"/>
                <w:lang w:val="en-US"/>
              </w:rPr>
              <w:t>Obtaining two integrated weight data frames</w:t>
            </w:r>
          </w:p>
        </w:tc>
        <w:tc>
          <w:tcPr>
            <w:tcW w:w="2922" w:type="dxa"/>
            <w:tcBorders>
              <w:tl2br w:val="nil"/>
              <w:tr2bl w:val="nil"/>
            </w:tcBorders>
          </w:tcPr>
          <w:p w14:paraId="487C5A1D">
            <w:pPr>
              <w:rPr>
                <w:rFonts w:hint="default"/>
                <w:highlight w:val="none"/>
                <w:lang w:val="en-US"/>
              </w:rPr>
            </w:pPr>
            <w:r>
              <w:rPr>
                <w:rFonts w:hint="default"/>
                <w:highlight w:val="none"/>
                <w:lang w:val="en-US"/>
              </w:rPr>
              <w:t>Using plyr::join_all() function to integrate dietary and fasting weight data by SEQN</w:t>
            </w:r>
          </w:p>
        </w:tc>
        <w:tc>
          <w:tcPr>
            <w:tcW w:w="5942" w:type="dxa"/>
            <w:tcBorders>
              <w:tl2br w:val="nil"/>
              <w:tr2bl w:val="nil"/>
            </w:tcBorders>
          </w:tcPr>
          <w:p w14:paraId="5973E42F">
            <w:pPr>
              <w:rPr>
                <w:rFonts w:hint="default"/>
                <w:highlight w:val="none"/>
                <w:lang w:val="en-US"/>
              </w:rPr>
            </w:pPr>
            <w:r>
              <w:rPr>
                <w:rFonts w:hint="default"/>
                <w:highlight w:val="none"/>
                <w:lang w:val="en-US"/>
              </w:rPr>
              <w:t>wti.data.file &lt;- plyr::join_all(list(wtdr.i, wtglfas.i), by='SEQN', type='left')</w:t>
            </w:r>
          </w:p>
          <w:p w14:paraId="434FDBD5">
            <w:pPr>
              <w:rPr>
                <w:rFonts w:hint="default"/>
                <w:highlight w:val="none"/>
                <w:lang w:val="en-US"/>
              </w:rPr>
            </w:pPr>
            <w:r>
              <w:rPr>
                <w:rFonts w:hint="default"/>
                <w:highlight w:val="none"/>
                <w:lang w:val="en-US"/>
              </w:rPr>
              <w:t>wtp.data.file &lt;- plyr::join_all(list(wtdr.p, wtglfas.p), by='SEQN', type='left')</w:t>
            </w:r>
          </w:p>
        </w:tc>
      </w:tr>
      <w:tr w14:paraId="03826E7C">
        <w:tc>
          <w:tcPr>
            <w:tcW w:w="589" w:type="dxa"/>
            <w:tcBorders>
              <w:tl2br w:val="nil"/>
              <w:tr2bl w:val="nil"/>
            </w:tcBorders>
          </w:tcPr>
          <w:p w14:paraId="4310FDB6">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sz w:val="15"/>
                <w:szCs w:val="15"/>
                <w:highlight w:val="none"/>
                <w:lang w:val="en-US"/>
              </w:rPr>
            </w:pPr>
            <w:r>
              <w:rPr>
                <w:rFonts w:hint="default" w:ascii="Times New Roman Regular" w:hAnsi="Times New Roman Regular" w:cs="Times New Roman Regular"/>
                <w:sz w:val="15"/>
                <w:szCs w:val="15"/>
                <w:highlight w:val="none"/>
                <w:lang w:val="en-US"/>
              </w:rPr>
              <w:t>3</w:t>
            </w:r>
          </w:p>
        </w:tc>
        <w:tc>
          <w:tcPr>
            <w:tcW w:w="2000" w:type="dxa"/>
            <w:tcBorders>
              <w:tl2br w:val="nil"/>
              <w:tr2bl w:val="nil"/>
            </w:tcBorders>
          </w:tcPr>
          <w:p w14:paraId="1C30679C">
            <w:pPr>
              <w:rPr>
                <w:rFonts w:hint="default"/>
                <w:highlight w:val="none"/>
                <w:lang w:val="en-US"/>
              </w:rPr>
            </w:pPr>
            <w:r>
              <w:rPr>
                <w:rFonts w:hint="default"/>
                <w:highlight w:val="none"/>
                <w:lang w:val="en-US"/>
              </w:rPr>
              <w:t>Integrating weight data with demographic data</w:t>
            </w:r>
          </w:p>
        </w:tc>
        <w:tc>
          <w:tcPr>
            <w:tcW w:w="2922" w:type="dxa"/>
            <w:tcBorders>
              <w:tl2br w:val="nil"/>
              <w:tr2bl w:val="nil"/>
            </w:tcBorders>
          </w:tcPr>
          <w:p w14:paraId="137FF709">
            <w:pPr>
              <w:rPr>
                <w:rFonts w:hint="default"/>
                <w:highlight w:val="none"/>
                <w:lang w:val="en-US"/>
              </w:rPr>
            </w:pPr>
            <w:r>
              <w:rPr>
                <w:rFonts w:hint="default"/>
                <w:highlight w:val="none"/>
                <w:lang w:val="en-US"/>
              </w:rPr>
              <w:t>Using merge() function to integrate weight data with demographic data by SEQN</w:t>
            </w:r>
          </w:p>
        </w:tc>
        <w:tc>
          <w:tcPr>
            <w:tcW w:w="5942" w:type="dxa"/>
            <w:tcBorders>
              <w:tl2br w:val="nil"/>
              <w:tr2bl w:val="nil"/>
            </w:tcBorders>
          </w:tcPr>
          <w:p w14:paraId="7824376A">
            <w:pPr>
              <w:rPr>
                <w:rFonts w:hint="default"/>
                <w:highlight w:val="none"/>
                <w:lang w:val="en-US"/>
              </w:rPr>
            </w:pPr>
            <w:r>
              <w:rPr>
                <w:rFonts w:hint="default"/>
                <w:highlight w:val="none"/>
                <w:lang w:val="en-US"/>
              </w:rPr>
              <w:t>wti.data.file &lt;- merge(wti.data.file, demo.data, by='SEQN')</w:t>
            </w:r>
          </w:p>
          <w:p w14:paraId="4B6CB1BD">
            <w:pPr>
              <w:rPr>
                <w:rFonts w:hint="default"/>
                <w:highlight w:val="none"/>
                <w:lang w:val="en-US"/>
              </w:rPr>
            </w:pPr>
            <w:r>
              <w:rPr>
                <w:rFonts w:hint="default"/>
                <w:highlight w:val="none"/>
                <w:lang w:val="en-US"/>
              </w:rPr>
              <w:t>wtp.data.file &lt;- merge(wtp.data.file, demo.data, by='SEQN')</w:t>
            </w:r>
          </w:p>
        </w:tc>
      </w:tr>
      <w:tr w14:paraId="5EDC5801">
        <w:tc>
          <w:tcPr>
            <w:tcW w:w="589" w:type="dxa"/>
            <w:tcBorders>
              <w:tl2br w:val="nil"/>
              <w:tr2bl w:val="nil"/>
            </w:tcBorders>
          </w:tcPr>
          <w:p w14:paraId="7E5DD3DE">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sz w:val="15"/>
                <w:szCs w:val="15"/>
                <w:highlight w:val="none"/>
                <w:lang w:val="en-US"/>
              </w:rPr>
            </w:pPr>
            <w:r>
              <w:rPr>
                <w:rFonts w:hint="default" w:ascii="Times New Roman Regular" w:hAnsi="Times New Roman Regular" w:cs="Times New Roman Regular"/>
                <w:sz w:val="15"/>
                <w:szCs w:val="15"/>
                <w:highlight w:val="none"/>
                <w:lang w:val="en-US"/>
              </w:rPr>
              <w:t>4</w:t>
            </w:r>
          </w:p>
        </w:tc>
        <w:tc>
          <w:tcPr>
            <w:tcW w:w="2000" w:type="dxa"/>
            <w:tcBorders>
              <w:tl2br w:val="nil"/>
              <w:tr2bl w:val="nil"/>
            </w:tcBorders>
          </w:tcPr>
          <w:p w14:paraId="4BE05B3C">
            <w:pPr>
              <w:keepNext w:val="0"/>
              <w:keepLines w:val="0"/>
              <w:pageBreakBefore w:val="0"/>
              <w:widowControl w:val="0"/>
              <w:kinsoku/>
              <w:wordWrap/>
              <w:overflowPunct/>
              <w:topLinePunct w:val="0"/>
              <w:autoSpaceDE/>
              <w:autoSpaceDN/>
              <w:bidi w:val="0"/>
              <w:adjustRightInd/>
              <w:snapToGrid/>
              <w:textAlignment w:val="auto"/>
              <w:rPr>
                <w:rFonts w:hint="default" w:ascii="Times New Roman Bold" w:hAnsi="Times New Roman Bold" w:cs="Times New Roman Bold"/>
                <w:b/>
                <w:bCs/>
                <w:sz w:val="15"/>
                <w:szCs w:val="15"/>
                <w:highlight w:val="none"/>
                <w:lang w:val="en-US"/>
              </w:rPr>
            </w:pPr>
            <w:r>
              <w:rPr>
                <w:rFonts w:hint="default"/>
                <w:highlight w:val="none"/>
                <w:lang w:val="en-US"/>
              </w:rPr>
              <w:t>Selecting</w:t>
            </w:r>
            <w:r>
              <w:rPr>
                <w:rFonts w:hint="default" w:ascii="Times New Roman Bold" w:hAnsi="Times New Roman Bold" w:cs="Times New Roman Bold"/>
                <w:b w:val="0"/>
                <w:bCs w:val="0"/>
                <w:sz w:val="15"/>
                <w:szCs w:val="15"/>
                <w:highlight w:val="none"/>
                <w:lang w:val="en-US"/>
              </w:rPr>
              <w:t xml:space="preserve"> </w:t>
            </w:r>
            <w:r>
              <w:rPr>
                <w:rFonts w:hint="default"/>
                <w:highlight w:val="none"/>
                <w:lang w:val="en-US"/>
              </w:rPr>
              <w:t>weight variables</w:t>
            </w:r>
          </w:p>
        </w:tc>
        <w:tc>
          <w:tcPr>
            <w:tcW w:w="2922" w:type="dxa"/>
            <w:tcBorders>
              <w:tl2br w:val="nil"/>
              <w:tr2bl w:val="nil"/>
            </w:tcBorders>
          </w:tcPr>
          <w:p w14:paraId="7C4E809D">
            <w:pPr>
              <w:rPr>
                <w:rFonts w:hint="default"/>
                <w:highlight w:val="none"/>
                <w:lang w:val="en-US"/>
              </w:rPr>
            </w:pPr>
            <w:r>
              <w:rPr>
                <w:rFonts w:hint="default"/>
                <w:highlight w:val="none"/>
                <w:lang w:val="en-US"/>
              </w:rPr>
              <w:t>Using sample weight collected on the smallest number of respondents</w:t>
            </w:r>
          </w:p>
        </w:tc>
        <w:tc>
          <w:tcPr>
            <w:tcW w:w="5942" w:type="dxa"/>
            <w:tcBorders>
              <w:tl2br w:val="nil"/>
              <w:tr2bl w:val="nil"/>
            </w:tcBorders>
          </w:tcPr>
          <w:p w14:paraId="7A7EB672">
            <w:pPr>
              <w:ind w:left="75" w:hanging="75" w:hangingChars="50"/>
              <w:rPr>
                <w:rFonts w:hint="default"/>
                <w:highlight w:val="none"/>
                <w:lang w:val="en-US"/>
              </w:rPr>
            </w:pPr>
            <w:r>
              <w:rPr>
                <w:rFonts w:hint="default"/>
                <w:highlight w:val="none"/>
                <w:lang w:val="en-US"/>
              </w:rPr>
              <w:t>wti.data.file$wtdr &lt;- ifelse(wti.data.file$WTDR2D==0 | is.na(wti.data.file$WTDR2D), wti.data.file$WTDRD1, wti.data.file$WTDR2D)</w:t>
            </w:r>
          </w:p>
          <w:p w14:paraId="400C5E88">
            <w:pPr>
              <w:rPr>
                <w:rFonts w:hint="default"/>
                <w:highlight w:val="none"/>
                <w:lang w:val="en-US"/>
              </w:rPr>
            </w:pPr>
            <w:r>
              <w:rPr>
                <w:rFonts w:hint="default"/>
                <w:highlight w:val="none"/>
                <w:lang w:val="en-US"/>
              </w:rPr>
              <w:t>wti.data.file$wti &lt;- ifelse(wti.data.file$WTSAF2YR==0 | is.na(wti.data.file$WTSAF2YR), wti.data.file$wtdr, wti.data.file$WTSAF2YR)</w:t>
            </w:r>
          </w:p>
          <w:p w14:paraId="554494E4">
            <w:pPr>
              <w:rPr>
                <w:rFonts w:hint="default"/>
                <w:highlight w:val="none"/>
                <w:lang w:val="en-US"/>
              </w:rPr>
            </w:pPr>
            <w:r>
              <w:rPr>
                <w:rFonts w:hint="default"/>
                <w:highlight w:val="none"/>
                <w:lang w:val="en-US"/>
              </w:rPr>
              <w:t>wtp.data.file$wtdr &lt;- ifelse(wtp.data.file$WTDR2DPP==0 | is.na(wtp.data.file$WTDR2DPP), wtp.data.file$WTDRD1PP, wtp.data.file$WTDR2DPP)</w:t>
            </w:r>
          </w:p>
          <w:p w14:paraId="5A4C1F47">
            <w:pPr>
              <w:rPr>
                <w:rFonts w:hint="default"/>
                <w:highlight w:val="none"/>
                <w:lang w:val="en-US"/>
              </w:rPr>
            </w:pPr>
            <w:r>
              <w:rPr>
                <w:rFonts w:hint="default"/>
                <w:highlight w:val="none"/>
                <w:lang w:val="en-US"/>
              </w:rPr>
              <w:t>wtp.data.file$wtp &lt;- ifelse(wtp.data.file$WTSAFPRP==0 | is.na(wtp.data.file$WTSAFPRP), wtp.data.file$wtdr, wtp.data.file$WTSAFPRP)</w:t>
            </w:r>
          </w:p>
        </w:tc>
      </w:tr>
      <w:tr w14:paraId="7EC9622F">
        <w:tc>
          <w:tcPr>
            <w:tcW w:w="589" w:type="dxa"/>
            <w:tcBorders>
              <w:tl2br w:val="nil"/>
              <w:tr2bl w:val="nil"/>
            </w:tcBorders>
          </w:tcPr>
          <w:p w14:paraId="7606B7A0">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sz w:val="15"/>
                <w:szCs w:val="15"/>
                <w:highlight w:val="none"/>
                <w:lang w:val="en-US"/>
              </w:rPr>
            </w:pPr>
            <w:r>
              <w:rPr>
                <w:rFonts w:hint="default" w:ascii="Times New Roman Regular" w:hAnsi="Times New Roman Regular" w:cs="Times New Roman Regular"/>
                <w:sz w:val="15"/>
                <w:szCs w:val="15"/>
                <w:highlight w:val="none"/>
                <w:lang w:val="en-US"/>
              </w:rPr>
              <w:t>5</w:t>
            </w:r>
          </w:p>
        </w:tc>
        <w:tc>
          <w:tcPr>
            <w:tcW w:w="2000" w:type="dxa"/>
            <w:tcBorders>
              <w:tl2br w:val="nil"/>
              <w:tr2bl w:val="nil"/>
            </w:tcBorders>
          </w:tcPr>
          <w:p w14:paraId="60C4870A">
            <w:pPr>
              <w:rPr>
                <w:rFonts w:hint="default" w:ascii="Times New Roman" w:hAnsi="Times New Roman" w:cs="Times New Roman"/>
                <w:b w:val="0"/>
                <w:bCs w:val="0"/>
                <w:sz w:val="15"/>
                <w:szCs w:val="15"/>
                <w:highlight w:val="none"/>
                <w:lang w:val="en-US"/>
              </w:rPr>
            </w:pPr>
            <w:r>
              <w:rPr>
                <w:rFonts w:hint="default" w:ascii="Times New Roman" w:hAnsi="Times New Roman" w:cs="Times New Roman"/>
                <w:b w:val="0"/>
                <w:bCs w:val="0"/>
                <w:sz w:val="15"/>
                <w:szCs w:val="15"/>
                <w:highlight w:val="none"/>
                <w:lang w:val="en-US"/>
              </w:rPr>
              <w:t>Obtaining a data frame containing SEQN, weight, and demographic variables</w:t>
            </w:r>
          </w:p>
        </w:tc>
        <w:tc>
          <w:tcPr>
            <w:tcW w:w="2922" w:type="dxa"/>
            <w:tcBorders>
              <w:tl2br w:val="nil"/>
              <w:tr2bl w:val="nil"/>
            </w:tcBorders>
          </w:tcPr>
          <w:p w14:paraId="1FDE8A54">
            <w:pPr>
              <w:rPr>
                <w:rFonts w:hint="default" w:ascii="Times New Roman" w:hAnsi="Times New Roman" w:cs="Times New Roman"/>
                <w:b w:val="0"/>
                <w:bCs w:val="0"/>
                <w:highlight w:val="none"/>
                <w:lang w:val="en-US"/>
              </w:rPr>
            </w:pPr>
            <w:r>
              <w:rPr>
                <w:rFonts w:hint="default" w:ascii="Times New Roman" w:hAnsi="Times New Roman" w:cs="Times New Roman"/>
                <w:b w:val="0"/>
                <w:bCs w:val="0"/>
                <w:sz w:val="15"/>
                <w:szCs w:val="15"/>
                <w:highlight w:val="none"/>
                <w:lang w:val="en-US"/>
              </w:rPr>
              <w:t>Using dplyr::bind_rows</w:t>
            </w:r>
            <w:r>
              <w:rPr>
                <w:rFonts w:hint="default" w:cs="Times New Roman"/>
                <w:b w:val="0"/>
                <w:bCs w:val="0"/>
                <w:sz w:val="15"/>
                <w:szCs w:val="15"/>
                <w:highlight w:val="none"/>
                <w:lang w:val="en-US"/>
              </w:rPr>
              <w:t>()</w:t>
            </w:r>
            <w:r>
              <w:rPr>
                <w:rFonts w:hint="default" w:ascii="Times New Roman" w:hAnsi="Times New Roman" w:cs="Times New Roman"/>
                <w:b w:val="0"/>
                <w:bCs w:val="0"/>
                <w:sz w:val="15"/>
                <w:szCs w:val="15"/>
                <w:highlight w:val="none"/>
                <w:lang w:val="en-US"/>
              </w:rPr>
              <w:t xml:space="preserve"> function to combine data frames of the two cycle</w:t>
            </w:r>
            <w:r>
              <w:rPr>
                <w:rFonts w:hint="default" w:cs="Times New Roman"/>
                <w:b w:val="0"/>
                <w:bCs w:val="0"/>
                <w:sz w:val="15"/>
                <w:szCs w:val="15"/>
                <w:highlight w:val="none"/>
                <w:lang w:val="en-US"/>
              </w:rPr>
              <w:t>s</w:t>
            </w:r>
          </w:p>
        </w:tc>
        <w:tc>
          <w:tcPr>
            <w:tcW w:w="5942" w:type="dxa"/>
            <w:tcBorders>
              <w:tl2br w:val="nil"/>
              <w:tr2bl w:val="nil"/>
            </w:tcBorders>
          </w:tcPr>
          <w:p w14:paraId="081DA861">
            <w:pPr>
              <w:rPr>
                <w:rFonts w:hint="default"/>
                <w:highlight w:val="none"/>
                <w:lang w:val="en-US"/>
              </w:rPr>
            </w:pPr>
            <w:r>
              <w:rPr>
                <w:rFonts w:hint="default"/>
                <w:highlight w:val="none"/>
                <w:lang w:val="en-US"/>
              </w:rPr>
              <w:t>wt.data.file &lt;- dplyr::bind_rows(list(wti.data.file, wtp.data.file))</w:t>
            </w:r>
          </w:p>
        </w:tc>
      </w:tr>
      <w:tr w14:paraId="10208136">
        <w:tc>
          <w:tcPr>
            <w:tcW w:w="589" w:type="dxa"/>
            <w:tcBorders>
              <w:tl2br w:val="nil"/>
              <w:tr2bl w:val="nil"/>
            </w:tcBorders>
          </w:tcPr>
          <w:p w14:paraId="48185329">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sz w:val="15"/>
                <w:szCs w:val="15"/>
                <w:highlight w:val="none"/>
                <w:lang w:val="en-US"/>
              </w:rPr>
            </w:pPr>
            <w:r>
              <w:rPr>
                <w:rFonts w:hint="default" w:ascii="Times New Roman Regular" w:hAnsi="Times New Roman Regular" w:cs="Times New Roman Regular"/>
                <w:sz w:val="15"/>
                <w:szCs w:val="15"/>
                <w:highlight w:val="none"/>
                <w:lang w:val="en-US"/>
              </w:rPr>
              <w:t>6</w:t>
            </w:r>
          </w:p>
        </w:tc>
        <w:tc>
          <w:tcPr>
            <w:tcW w:w="2000" w:type="dxa"/>
            <w:tcBorders>
              <w:tl2br w:val="nil"/>
              <w:tr2bl w:val="nil"/>
            </w:tcBorders>
          </w:tcPr>
          <w:p w14:paraId="321F66DD">
            <w:pPr>
              <w:rPr>
                <w:rFonts w:hint="default" w:ascii="Times New Roman" w:hAnsi="Times New Roman" w:cs="Times New Roman"/>
                <w:b w:val="0"/>
                <w:bCs w:val="0"/>
                <w:sz w:val="15"/>
                <w:szCs w:val="15"/>
                <w:highlight w:val="none"/>
                <w:lang w:val="en-US"/>
              </w:rPr>
            </w:pPr>
            <w:r>
              <w:rPr>
                <w:rFonts w:hint="default" w:cs="Times New Roman"/>
                <w:b w:val="0"/>
                <w:bCs w:val="0"/>
                <w:sz w:val="15"/>
                <w:szCs w:val="15"/>
                <w:highlight w:val="none"/>
                <w:lang w:val="en-US"/>
              </w:rPr>
              <w:t xml:space="preserve">Generating the final </w:t>
            </w:r>
            <w:r>
              <w:rPr>
                <w:rFonts w:hint="default" w:ascii="Times New Roman" w:hAnsi="Times New Roman" w:cs="Times New Roman"/>
                <w:b w:val="0"/>
                <w:bCs w:val="0"/>
                <w:sz w:val="15"/>
                <w:szCs w:val="15"/>
                <w:highlight w:val="none"/>
                <w:lang w:val="en-US"/>
              </w:rPr>
              <w:t>weight</w:t>
            </w:r>
          </w:p>
        </w:tc>
        <w:tc>
          <w:tcPr>
            <w:tcW w:w="2922" w:type="dxa"/>
            <w:tcBorders>
              <w:tl2br w:val="nil"/>
              <w:tr2bl w:val="nil"/>
            </w:tcBorders>
          </w:tcPr>
          <w:p w14:paraId="6332DD5C">
            <w:pPr>
              <w:rPr>
                <w:rFonts w:hint="default" w:ascii="Times New Roman" w:hAnsi="Times New Roman" w:cs="Times New Roman"/>
                <w:b w:val="0"/>
                <w:bCs w:val="0"/>
                <w:sz w:val="15"/>
                <w:szCs w:val="15"/>
                <w:highlight w:val="none"/>
                <w:lang w:val="en-US"/>
              </w:rPr>
            </w:pPr>
            <w:r>
              <w:rPr>
                <w:rFonts w:hint="default" w:ascii="Times New Roman" w:hAnsi="Times New Roman" w:cs="Times New Roman"/>
                <w:b w:val="0"/>
                <w:bCs w:val="0"/>
                <w:sz w:val="15"/>
                <w:szCs w:val="15"/>
                <w:highlight w:val="none"/>
                <w:lang w:val="en-US"/>
              </w:rPr>
              <w:t>Adjusting</w:t>
            </w:r>
            <w:r>
              <w:rPr>
                <w:rFonts w:hint="default" w:cs="Times New Roman"/>
                <w:b w:val="0"/>
                <w:bCs w:val="0"/>
                <w:sz w:val="15"/>
                <w:szCs w:val="15"/>
                <w:highlight w:val="none"/>
                <w:lang w:val="en-US"/>
              </w:rPr>
              <w:t xml:space="preserve"> </w:t>
            </w:r>
            <w:r>
              <w:rPr>
                <w:rFonts w:hint="default" w:ascii="Times New Roman" w:hAnsi="Times New Roman" w:cs="Times New Roman"/>
                <w:b w:val="0"/>
                <w:bCs w:val="0"/>
                <w:sz w:val="15"/>
                <w:szCs w:val="15"/>
                <w:highlight w:val="none"/>
                <w:lang w:val="en-US"/>
              </w:rPr>
              <w:t>weight variables</w:t>
            </w:r>
            <w:r>
              <w:rPr>
                <w:rFonts w:hint="default" w:cs="Times New Roman"/>
                <w:b w:val="0"/>
                <w:bCs w:val="0"/>
                <w:sz w:val="15"/>
                <w:szCs w:val="15"/>
                <w:highlight w:val="none"/>
                <w:lang w:val="en-US"/>
              </w:rPr>
              <w:t xml:space="preserve"> </w:t>
            </w:r>
            <w:r>
              <w:rPr>
                <w:rFonts w:hint="default" w:ascii="Times New Roman" w:hAnsi="Times New Roman" w:cs="Times New Roman"/>
                <w:b w:val="0"/>
                <w:bCs w:val="0"/>
                <w:sz w:val="15"/>
                <w:szCs w:val="15"/>
                <w:highlight w:val="none"/>
                <w:lang w:val="en-US"/>
              </w:rPr>
              <w:t>according to different cycles</w:t>
            </w:r>
          </w:p>
        </w:tc>
        <w:tc>
          <w:tcPr>
            <w:tcW w:w="5942" w:type="dxa"/>
            <w:tcBorders>
              <w:tl2br w:val="nil"/>
              <w:tr2bl w:val="nil"/>
            </w:tcBorders>
          </w:tcPr>
          <w:p w14:paraId="5BFB1881">
            <w:pPr>
              <w:rPr>
                <w:rFonts w:hint="default"/>
                <w:highlight w:val="none"/>
                <w:lang w:val="en-US"/>
              </w:rPr>
            </w:pPr>
            <w:r>
              <w:rPr>
                <w:rFonts w:hint="default"/>
                <w:highlight w:val="none"/>
                <w:lang w:val="en-US"/>
              </w:rPr>
              <w:t>wt.data.file$weight &lt;- ifelse(wt.data.file$Year %in% c('2015-2016'), 2/5.25 * wt.data.file$wti, 3.25/5.25 * wt.data.file$wtp)</w:t>
            </w:r>
          </w:p>
          <w:p w14:paraId="4C1E8D48">
            <w:pPr>
              <w:rPr>
                <w:rFonts w:hint="default"/>
                <w:highlight w:val="none"/>
                <w:lang w:val="en-US"/>
              </w:rPr>
            </w:pPr>
            <w:r>
              <w:rPr>
                <w:rFonts w:hint="default"/>
                <w:highlight w:val="none"/>
                <w:lang w:val="en-US"/>
              </w:rPr>
              <w:t>weights &lt;- wt.data.file[, c("SEQN", "weight")]</w:t>
            </w:r>
          </w:p>
        </w:tc>
      </w:tr>
    </w:tbl>
    <w:p w14:paraId="144F529C">
      <w:pPr>
        <w:pStyle w:val="9"/>
        <w:keepNext w:val="0"/>
        <w:keepLines w:val="0"/>
        <w:widowControl/>
        <w:suppressLineNumbers w:val="0"/>
        <w:rPr>
          <w:rFonts w:hint="default" w:ascii="Times New Roman Bold" w:hAnsi="Times New Roman Bold" w:cs="Times New Roman Bold"/>
          <w:b/>
          <w:bCs/>
          <w:sz w:val="24"/>
          <w:szCs w:val="24"/>
          <w:highlight w:val="none"/>
          <w:lang w:val="en-US"/>
        </w:rPr>
      </w:pPr>
    </w:p>
    <w:p w14:paraId="448E645C">
      <w:pPr>
        <w:pStyle w:val="9"/>
        <w:keepNext w:val="0"/>
        <w:keepLines w:val="0"/>
        <w:widowControl/>
        <w:suppressLineNumbers w:val="0"/>
        <w:rPr>
          <w:rFonts w:hint="default" w:ascii="Times New Roman Bold" w:hAnsi="Times New Roman Bold" w:cs="Times New Roman Bold"/>
          <w:b/>
          <w:bCs/>
          <w:sz w:val="24"/>
          <w:szCs w:val="24"/>
          <w:highlight w:val="none"/>
          <w:lang w:val="en-US"/>
        </w:rPr>
      </w:pPr>
    </w:p>
    <w:p w14:paraId="46787017">
      <w:pPr>
        <w:pStyle w:val="9"/>
        <w:keepNext w:val="0"/>
        <w:keepLines w:val="0"/>
        <w:widowControl/>
        <w:suppressLineNumbers w:val="0"/>
        <w:rPr>
          <w:rFonts w:hint="default" w:ascii="Times New Roman Bold" w:hAnsi="Times New Roman Bold" w:cs="Times New Roman Bold"/>
          <w:b/>
          <w:bCs/>
          <w:sz w:val="24"/>
          <w:szCs w:val="24"/>
          <w:highlight w:val="none"/>
          <w:lang w:val="en-US"/>
        </w:rPr>
      </w:pPr>
    </w:p>
    <w:p w14:paraId="348C494B">
      <w:pPr>
        <w:pStyle w:val="9"/>
        <w:keepNext w:val="0"/>
        <w:keepLines w:val="0"/>
        <w:widowControl/>
        <w:suppressLineNumbers w:val="0"/>
        <w:rPr>
          <w:rFonts w:hint="default" w:ascii="Times New Roman Bold" w:hAnsi="Times New Roman Bold" w:cs="Times New Roman Bold"/>
          <w:b/>
          <w:bCs/>
          <w:sz w:val="24"/>
          <w:szCs w:val="24"/>
          <w:highlight w:val="none"/>
          <w:lang w:val="en-US"/>
        </w:rPr>
      </w:pPr>
    </w:p>
    <w:p w14:paraId="56A98715">
      <w:pPr>
        <w:pStyle w:val="9"/>
        <w:keepNext w:val="0"/>
        <w:keepLines w:val="0"/>
        <w:widowControl/>
        <w:suppressLineNumbers w:val="0"/>
        <w:rPr>
          <w:rFonts w:hint="default" w:ascii="Times New Roman Bold" w:hAnsi="Times New Roman Bold" w:cs="Times New Roman Bold"/>
          <w:b/>
          <w:bCs/>
          <w:sz w:val="24"/>
          <w:szCs w:val="24"/>
          <w:highlight w:val="none"/>
          <w:lang w:val="en-US"/>
        </w:rPr>
      </w:pPr>
    </w:p>
    <w:p w14:paraId="040891CF">
      <w:pPr>
        <w:pStyle w:val="9"/>
        <w:keepNext w:val="0"/>
        <w:keepLines w:val="0"/>
        <w:widowControl/>
        <w:suppressLineNumbers w:val="0"/>
        <w:rPr>
          <w:rFonts w:hint="default" w:ascii="Times New Roman Bold" w:hAnsi="Times New Roman Bold" w:cs="Times New Roman Bold"/>
          <w:b/>
          <w:bCs/>
          <w:sz w:val="24"/>
          <w:szCs w:val="24"/>
          <w:highlight w:val="none"/>
          <w:lang w:val="en-US"/>
        </w:rPr>
      </w:pPr>
    </w:p>
    <w:p w14:paraId="15141C05">
      <w:pPr>
        <w:pStyle w:val="9"/>
        <w:keepNext w:val="0"/>
        <w:keepLines w:val="0"/>
        <w:widowControl/>
        <w:suppressLineNumbers w:val="0"/>
        <w:rPr>
          <w:rFonts w:hint="default" w:ascii="Times New Roman Bold" w:hAnsi="Times New Roman Bold" w:cs="Times New Roman Bold"/>
          <w:b/>
          <w:bCs/>
          <w:sz w:val="24"/>
          <w:szCs w:val="24"/>
          <w:highlight w:val="none"/>
          <w:lang w:val="en-US"/>
        </w:rPr>
      </w:pPr>
    </w:p>
    <w:p w14:paraId="22EC9B3D">
      <w:pPr>
        <w:pStyle w:val="9"/>
        <w:keepNext w:val="0"/>
        <w:keepLines w:val="0"/>
        <w:widowControl/>
        <w:suppressLineNumbers w:val="0"/>
        <w:rPr>
          <w:rFonts w:hint="default" w:ascii="Times New Roman Bold" w:hAnsi="Times New Roman Bold" w:cs="Times New Roman Bold"/>
          <w:b/>
          <w:bCs/>
          <w:sz w:val="24"/>
          <w:szCs w:val="24"/>
          <w:highlight w:val="none"/>
          <w:lang w:val="en-US"/>
        </w:rPr>
      </w:pPr>
    </w:p>
    <w:p w14:paraId="303DA753">
      <w:pPr>
        <w:rPr>
          <w:rFonts w:hint="default" w:cs="Times New Roman"/>
          <w:sz w:val="18"/>
          <w:szCs w:val="18"/>
          <w:highlight w:val="none"/>
          <w:lang w:val="en-US"/>
        </w:rPr>
      </w:pPr>
    </w:p>
    <w:p w14:paraId="70A3B43F">
      <w:pPr>
        <w:rPr>
          <w:rFonts w:hint="default" w:cs="Times New Roman"/>
          <w:sz w:val="18"/>
          <w:szCs w:val="18"/>
          <w:highlight w:val="none"/>
          <w:lang w:val="en-US"/>
        </w:rPr>
      </w:pPr>
    </w:p>
    <w:p w14:paraId="458FC35F">
      <w:pPr>
        <w:rPr>
          <w:rFonts w:hint="default" w:cs="Times New Roman"/>
          <w:sz w:val="18"/>
          <w:szCs w:val="18"/>
          <w:highlight w:val="none"/>
          <w:lang w:val="en-US"/>
        </w:rPr>
      </w:pPr>
    </w:p>
    <w:p w14:paraId="6A6C3216">
      <w:pPr>
        <w:rPr>
          <w:rFonts w:hint="default" w:cs="Times New Roman"/>
          <w:sz w:val="18"/>
          <w:szCs w:val="18"/>
          <w:highlight w:val="none"/>
          <w:lang w:val="en-US"/>
        </w:rPr>
      </w:pPr>
    </w:p>
    <w:p w14:paraId="1BC815B6">
      <w:pPr>
        <w:rPr>
          <w:rFonts w:hint="default" w:cs="Times New Roman"/>
          <w:sz w:val="18"/>
          <w:szCs w:val="18"/>
          <w:highlight w:val="none"/>
          <w:lang w:val="en-US"/>
        </w:rPr>
      </w:pPr>
    </w:p>
    <w:p w14:paraId="6F9C1268">
      <w:pPr>
        <w:rPr>
          <w:rFonts w:hint="default" w:cs="Times New Roman"/>
          <w:sz w:val="18"/>
          <w:szCs w:val="18"/>
          <w:highlight w:val="none"/>
          <w:lang w:val="en-US"/>
        </w:rPr>
      </w:pPr>
    </w:p>
    <w:p w14:paraId="63D23474">
      <w:pPr>
        <w:rPr>
          <w:rFonts w:hint="default" w:cs="Times New Roman"/>
          <w:sz w:val="18"/>
          <w:szCs w:val="18"/>
          <w:highlight w:val="none"/>
          <w:lang w:val="en-US"/>
        </w:rPr>
      </w:pPr>
    </w:p>
    <w:p w14:paraId="330E9A00">
      <w:pPr>
        <w:rPr>
          <w:rFonts w:hint="default" w:cs="Times New Roman"/>
          <w:sz w:val="18"/>
          <w:szCs w:val="18"/>
          <w:highlight w:val="none"/>
          <w:lang w:val="en-US"/>
        </w:rPr>
      </w:pPr>
    </w:p>
    <w:p w14:paraId="11DC94A0">
      <w:pPr>
        <w:rPr>
          <w:rFonts w:hint="default" w:cs="Times New Roman"/>
          <w:sz w:val="18"/>
          <w:szCs w:val="18"/>
          <w:highlight w:val="none"/>
          <w:lang w:val="en-US"/>
        </w:rPr>
      </w:pPr>
    </w:p>
    <w:p w14:paraId="21D5AA27">
      <w:pPr>
        <w:rPr>
          <w:rFonts w:hint="default" w:cs="Times New Roman"/>
          <w:sz w:val="18"/>
          <w:szCs w:val="18"/>
          <w:highlight w:val="none"/>
          <w:lang w:val="en-US"/>
        </w:rPr>
      </w:pPr>
    </w:p>
    <w:p w14:paraId="19D05489">
      <w:pPr>
        <w:rPr>
          <w:rFonts w:hint="default" w:cs="Times New Roman"/>
          <w:sz w:val="18"/>
          <w:szCs w:val="18"/>
          <w:highlight w:val="none"/>
          <w:lang w:val="en-US"/>
        </w:rPr>
      </w:pPr>
    </w:p>
    <w:p w14:paraId="20950A64">
      <w:pPr>
        <w:rPr>
          <w:rFonts w:hint="default" w:cs="Times New Roman"/>
          <w:sz w:val="18"/>
          <w:szCs w:val="18"/>
          <w:highlight w:val="none"/>
          <w:lang w:val="en-US"/>
        </w:rPr>
      </w:pPr>
      <w:r>
        <w:rPr>
          <w:rFonts w:hint="default" w:ascii="Times New Roman Bold" w:hAnsi="Times New Roman Bold" w:cs="Times New Roman Bold"/>
          <w:b/>
          <w:bCs/>
          <w:sz w:val="24"/>
          <w:szCs w:val="24"/>
          <w:highlight w:val="none"/>
          <w:lang w:val="en-US"/>
        </w:rPr>
        <w:t xml:space="preserve">Supplementary </w:t>
      </w:r>
      <w:r>
        <w:rPr>
          <w:rFonts w:hint="eastAsia" w:ascii="Times New Roman Bold" w:hAnsi="Times New Roman Bold" w:cs="Times New Roman Bold"/>
          <w:b/>
          <w:bCs/>
          <w:sz w:val="24"/>
          <w:szCs w:val="24"/>
          <w:highlight w:val="none"/>
          <w:lang w:val="en-US" w:eastAsia="zh-CN"/>
        </w:rPr>
        <w:t>T</w:t>
      </w:r>
      <w:r>
        <w:rPr>
          <w:rFonts w:hint="default" w:ascii="Times New Roman Bold" w:hAnsi="Times New Roman Bold" w:cs="Times New Roman Bold"/>
          <w:b/>
          <w:bCs/>
          <w:sz w:val="24"/>
          <w:szCs w:val="24"/>
          <w:highlight w:val="none"/>
          <w:lang w:val="en-US"/>
        </w:rPr>
        <w:t>able 2</w:t>
      </w:r>
      <w:r>
        <w:rPr>
          <w:rFonts w:hint="eastAsia" w:ascii="Times New Roman Bold" w:hAnsi="Times New Roman Bold" w:cs="Times New Roman Bold"/>
          <w:b/>
          <w:bCs/>
          <w:sz w:val="24"/>
          <w:szCs w:val="24"/>
          <w:highlight w:val="none"/>
          <w:lang w:val="en-US" w:eastAsia="zh-CN"/>
        </w:rPr>
        <w:t xml:space="preserve"> </w:t>
      </w:r>
      <w:r>
        <w:rPr>
          <w:rFonts w:hint="eastAsia" w:ascii="Times New Roman" w:hAnsi="Times New Roman" w:cs="Times New Roman"/>
          <w:color w:val="000000"/>
          <w:sz w:val="24"/>
          <w:szCs w:val="24"/>
          <w:highlight w:val="none"/>
        </w:rPr>
        <w:t>Unweighted logistic regression analysis on</w:t>
      </w:r>
      <w:r>
        <w:rPr>
          <w:rFonts w:hint="default" w:ascii="Times New Roman" w:hAnsi="Times New Roman" w:cs="Times New Roman"/>
          <w:color w:val="000000"/>
          <w:sz w:val="24"/>
          <w:szCs w:val="24"/>
          <w:highlight w:val="none"/>
          <w:lang w:val="en-US"/>
        </w:rPr>
        <w:t xml:space="preserve"> the a</w:t>
      </w:r>
      <w:r>
        <w:rPr>
          <w:rFonts w:ascii="Times New Roman" w:hAnsi="Times New Roman" w:cs="Times New Roman"/>
          <w:color w:val="000000"/>
          <w:sz w:val="24"/>
          <w:szCs w:val="24"/>
          <w:highlight w:val="none"/>
        </w:rPr>
        <w:t>ssociation between UHR and OSA</w:t>
      </w:r>
      <w:r>
        <w:rPr>
          <w:rFonts w:hint="default" w:ascii="Times New Roman" w:hAnsi="Times New Roman" w:cs="Times New Roman"/>
          <w:color w:val="000000"/>
          <w:sz w:val="24"/>
          <w:szCs w:val="24"/>
          <w:highlight w:val="none"/>
          <w:lang w:val="en-US"/>
        </w:rPr>
        <w:t xml:space="preserve"> </w:t>
      </w:r>
      <w:r>
        <w:rPr>
          <w:rFonts w:ascii="Times New Roman" w:hAnsi="Times New Roman" w:cs="Times New Roman"/>
          <w:color w:val="000000"/>
          <w:sz w:val="24"/>
          <w:szCs w:val="24"/>
          <w:highlight w:val="none"/>
        </w:rPr>
        <w:t>in sensitivity analysis</w:t>
      </w:r>
    </w:p>
    <w:tbl>
      <w:tblPr>
        <w:tblStyle w:val="4"/>
        <w:tblpPr w:leftFromText="180" w:rightFromText="180" w:vertAnchor="page" w:horzAnchor="page" w:tblpX="1917" w:tblpY="2134"/>
        <w:tblOverlap w:val="never"/>
        <w:tblW w:w="0" w:type="auto"/>
        <w:tblInd w:w="0" w:type="dxa"/>
        <w:tblLayout w:type="autofit"/>
        <w:tblCellMar>
          <w:top w:w="0" w:type="dxa"/>
          <w:left w:w="108" w:type="dxa"/>
          <w:bottom w:w="0" w:type="dxa"/>
          <w:right w:w="108" w:type="dxa"/>
        </w:tblCellMar>
      </w:tblPr>
      <w:tblGrid>
        <w:gridCol w:w="1031"/>
        <w:gridCol w:w="1400"/>
        <w:gridCol w:w="765"/>
        <w:gridCol w:w="1400"/>
        <w:gridCol w:w="765"/>
        <w:gridCol w:w="1400"/>
        <w:gridCol w:w="981"/>
      </w:tblGrid>
      <w:tr w14:paraId="5130E06F">
        <w:trPr>
          <w:trHeight w:val="349" w:hRule="atLeast"/>
          <w:tblHeader/>
        </w:trPr>
        <w:tc>
          <w:tcPr>
            <w:tcW w:w="1031" w:type="dxa"/>
            <w:vMerge w:val="restart"/>
            <w:tcBorders>
              <w:top w:val="single" w:color="000000" w:sz="8" w:space="0"/>
              <w:left w:val="nil"/>
              <w:right w:val="nil"/>
            </w:tcBorders>
            <w:shd w:val="clear" w:color="auto" w:fill="FFFFFF"/>
            <w:tcMar>
              <w:top w:w="0" w:type="dxa"/>
              <w:left w:w="0" w:type="dxa"/>
              <w:bottom w:w="0" w:type="dxa"/>
              <w:right w:w="0" w:type="dxa"/>
            </w:tcMar>
            <w:vAlign w:val="center"/>
          </w:tcPr>
          <w:p w14:paraId="471B16D7">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sz w:val="18"/>
                <w:szCs w:val="18"/>
                <w:highlight w:val="none"/>
              </w:rPr>
            </w:pPr>
          </w:p>
        </w:tc>
        <w:tc>
          <w:tcPr>
            <w:tcW w:w="2165" w:type="dxa"/>
            <w:gridSpan w:val="2"/>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5D2B1536">
            <w:pPr>
              <w:pBdr>
                <w:top w:val="none" w:color="000000" w:sz="0" w:space="0"/>
                <w:left w:val="none" w:color="000000" w:sz="0" w:space="0"/>
                <w:bottom w:val="none" w:color="000000" w:sz="0" w:space="0"/>
                <w:right w:val="none" w:color="000000" w:sz="0" w:space="0"/>
              </w:pBdr>
              <w:spacing w:before="40" w:after="40"/>
              <w:ind w:left="100" w:right="100"/>
              <w:rPr>
                <w:rFonts w:ascii="Times New Roman" w:hAnsi="Times New Roman" w:eastAsia="Arial" w:cs="Times New Roman"/>
                <w:b/>
                <w:color w:val="000000"/>
                <w:sz w:val="18"/>
                <w:szCs w:val="18"/>
                <w:highlight w:val="none"/>
              </w:rPr>
            </w:pPr>
            <w:r>
              <w:rPr>
                <w:rFonts w:ascii="Times New Roman" w:hAnsi="Times New Roman" w:eastAsia="Arial" w:cs="Times New Roman"/>
                <w:b/>
                <w:color w:val="000000"/>
                <w:sz w:val="18"/>
                <w:szCs w:val="18"/>
                <w:highlight w:val="none"/>
              </w:rPr>
              <w:t>Model 1</w:t>
            </w:r>
          </w:p>
        </w:tc>
        <w:tc>
          <w:tcPr>
            <w:tcW w:w="2165" w:type="dxa"/>
            <w:gridSpan w:val="2"/>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613DDEE5">
            <w:pPr>
              <w:pBdr>
                <w:top w:val="none" w:color="000000" w:sz="0" w:space="0"/>
                <w:left w:val="none" w:color="000000" w:sz="0" w:space="0"/>
                <w:bottom w:val="none" w:color="000000" w:sz="0" w:space="0"/>
                <w:right w:val="none" w:color="000000" w:sz="0" w:space="0"/>
              </w:pBdr>
              <w:spacing w:before="40" w:after="40"/>
              <w:ind w:left="100" w:right="100"/>
              <w:rPr>
                <w:rFonts w:ascii="Times New Roman" w:hAnsi="Times New Roman" w:eastAsia="Arial" w:cs="Times New Roman"/>
                <w:b/>
                <w:color w:val="000000"/>
                <w:sz w:val="18"/>
                <w:szCs w:val="18"/>
                <w:highlight w:val="none"/>
              </w:rPr>
            </w:pPr>
            <w:r>
              <w:rPr>
                <w:rFonts w:ascii="Times New Roman" w:hAnsi="Times New Roman" w:eastAsia="Arial" w:cs="Times New Roman"/>
                <w:b/>
                <w:color w:val="000000"/>
                <w:sz w:val="18"/>
                <w:szCs w:val="18"/>
                <w:highlight w:val="none"/>
              </w:rPr>
              <w:t>Model 2</w:t>
            </w:r>
          </w:p>
        </w:tc>
        <w:tc>
          <w:tcPr>
            <w:tcW w:w="2381" w:type="dxa"/>
            <w:gridSpan w:val="2"/>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2C56C00D">
            <w:pPr>
              <w:pBdr>
                <w:top w:val="none" w:color="000000" w:sz="0" w:space="0"/>
                <w:left w:val="none" w:color="000000" w:sz="0" w:space="0"/>
                <w:bottom w:val="none" w:color="000000" w:sz="0" w:space="0"/>
                <w:right w:val="none" w:color="000000" w:sz="0" w:space="0"/>
              </w:pBdr>
              <w:spacing w:before="40" w:after="40"/>
              <w:ind w:left="100" w:right="100"/>
              <w:rPr>
                <w:rFonts w:ascii="Times New Roman" w:hAnsi="Times New Roman" w:eastAsia="Arial" w:cs="Times New Roman"/>
                <w:b/>
                <w:color w:val="000000"/>
                <w:sz w:val="18"/>
                <w:szCs w:val="18"/>
                <w:highlight w:val="none"/>
              </w:rPr>
            </w:pPr>
            <w:r>
              <w:rPr>
                <w:rFonts w:ascii="Times New Roman" w:hAnsi="Times New Roman" w:eastAsia="Arial" w:cs="Times New Roman"/>
                <w:b/>
                <w:color w:val="000000"/>
                <w:sz w:val="18"/>
                <w:szCs w:val="18"/>
                <w:highlight w:val="none"/>
              </w:rPr>
              <w:t>Model 3</w:t>
            </w:r>
          </w:p>
        </w:tc>
      </w:tr>
      <w:tr w14:paraId="2E0DC5C9">
        <w:trPr>
          <w:trHeight w:val="349" w:hRule="atLeast"/>
        </w:trPr>
        <w:tc>
          <w:tcPr>
            <w:tcW w:w="1031" w:type="dxa"/>
            <w:vMerge w:val="continue"/>
            <w:tcBorders>
              <w:left w:val="nil"/>
              <w:bottom w:val="nil"/>
              <w:right w:val="nil"/>
            </w:tcBorders>
            <w:shd w:val="clear" w:color="auto" w:fill="FFFFFF"/>
            <w:tcMar>
              <w:top w:w="0" w:type="dxa"/>
              <w:left w:w="0" w:type="dxa"/>
              <w:bottom w:w="0" w:type="dxa"/>
              <w:right w:w="0" w:type="dxa"/>
            </w:tcMar>
          </w:tcPr>
          <w:p w14:paraId="0A259401">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sz w:val="18"/>
                <w:szCs w:val="18"/>
                <w:highlight w:val="none"/>
              </w:rPr>
            </w:pPr>
          </w:p>
        </w:tc>
        <w:tc>
          <w:tcPr>
            <w:tcW w:w="1400" w:type="dxa"/>
            <w:tcBorders>
              <w:top w:val="single" w:color="000000" w:sz="8" w:space="0"/>
              <w:left w:val="nil"/>
              <w:bottom w:val="nil"/>
              <w:right w:val="nil"/>
            </w:tcBorders>
            <w:shd w:val="clear" w:color="auto" w:fill="FFFFFF"/>
            <w:tcMar>
              <w:top w:w="0" w:type="dxa"/>
              <w:left w:w="0" w:type="dxa"/>
              <w:bottom w:w="0" w:type="dxa"/>
              <w:right w:w="0" w:type="dxa"/>
            </w:tcMar>
          </w:tcPr>
          <w:p w14:paraId="5C3B5EF9">
            <w:pPr>
              <w:spacing w:before="100" w:after="100"/>
              <w:ind w:left="100" w:right="100"/>
              <w:rPr>
                <w:rFonts w:ascii="Times New Roman" w:hAnsi="Times New Roman" w:cs="Times New Roman"/>
                <w:b/>
                <w:sz w:val="18"/>
                <w:szCs w:val="18"/>
                <w:highlight w:val="none"/>
              </w:rPr>
            </w:pPr>
            <w:r>
              <w:rPr>
                <w:rFonts w:ascii="Times New Roman" w:hAnsi="Times New Roman" w:cs="Times New Roman"/>
                <w:b/>
                <w:sz w:val="18"/>
                <w:szCs w:val="18"/>
                <w:highlight w:val="none"/>
              </w:rPr>
              <w:t>OR (95% CI)</w:t>
            </w:r>
          </w:p>
        </w:tc>
        <w:tc>
          <w:tcPr>
            <w:tcW w:w="765" w:type="dxa"/>
            <w:tcBorders>
              <w:top w:val="single" w:color="000000" w:sz="8" w:space="0"/>
              <w:left w:val="nil"/>
              <w:bottom w:val="nil"/>
              <w:right w:val="nil"/>
            </w:tcBorders>
            <w:shd w:val="clear" w:color="auto" w:fill="FFFFFF"/>
            <w:tcMar>
              <w:top w:w="0" w:type="dxa"/>
              <w:left w:w="0" w:type="dxa"/>
              <w:bottom w:w="0" w:type="dxa"/>
              <w:right w:w="0" w:type="dxa"/>
            </w:tcMar>
          </w:tcPr>
          <w:p w14:paraId="542144F1">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b/>
                <w:sz w:val="18"/>
                <w:szCs w:val="18"/>
                <w:highlight w:val="none"/>
              </w:rPr>
            </w:pPr>
            <w:r>
              <w:rPr>
                <w:rFonts w:hint="default" w:ascii="Times New Roman Bold Italic" w:hAnsi="Times New Roman Bold Italic" w:eastAsia="Arial" w:cs="Times New Roman Bold Italic"/>
                <w:b/>
                <w:i/>
                <w:iCs/>
                <w:color w:val="000000"/>
                <w:sz w:val="18"/>
                <w:szCs w:val="18"/>
                <w:highlight w:val="none"/>
              </w:rPr>
              <w:t>P</w:t>
            </w:r>
            <w:r>
              <w:rPr>
                <w:rFonts w:ascii="Times New Roman" w:hAnsi="Times New Roman" w:cs="Times New Roman"/>
                <w:b/>
                <w:sz w:val="18"/>
                <w:szCs w:val="18"/>
                <w:highlight w:val="none"/>
              </w:rPr>
              <w:t xml:space="preserve"> </w:t>
            </w:r>
            <w:r>
              <w:rPr>
                <w:rFonts w:ascii="Times New Roman" w:hAnsi="Times New Roman" w:cs="Times New Roman"/>
                <w:b/>
                <w:sz w:val="18"/>
                <w:szCs w:val="18"/>
                <w:highlight w:val="none"/>
                <w:lang w:eastAsia="zh-CN"/>
              </w:rPr>
              <w:t>value</w:t>
            </w:r>
          </w:p>
        </w:tc>
        <w:tc>
          <w:tcPr>
            <w:tcW w:w="1400" w:type="dxa"/>
            <w:tcBorders>
              <w:top w:val="single" w:color="000000" w:sz="8" w:space="0"/>
              <w:left w:val="nil"/>
              <w:bottom w:val="nil"/>
              <w:right w:val="nil"/>
            </w:tcBorders>
            <w:shd w:val="clear" w:color="auto" w:fill="FFFFFF"/>
            <w:tcMar>
              <w:top w:w="0" w:type="dxa"/>
              <w:left w:w="0" w:type="dxa"/>
              <w:bottom w:w="0" w:type="dxa"/>
              <w:right w:w="0" w:type="dxa"/>
            </w:tcMar>
          </w:tcPr>
          <w:p w14:paraId="34A63E05">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b/>
                <w:color w:val="000000"/>
                <w:sz w:val="18"/>
                <w:szCs w:val="18"/>
                <w:highlight w:val="none"/>
              </w:rPr>
            </w:pPr>
            <w:r>
              <w:rPr>
                <w:rFonts w:ascii="Times New Roman" w:hAnsi="Times New Roman" w:cs="Times New Roman"/>
                <w:b/>
                <w:sz w:val="18"/>
                <w:szCs w:val="18"/>
                <w:highlight w:val="none"/>
              </w:rPr>
              <w:t>OR (95% CI)</w:t>
            </w:r>
          </w:p>
        </w:tc>
        <w:tc>
          <w:tcPr>
            <w:tcW w:w="765" w:type="dxa"/>
            <w:tcBorders>
              <w:top w:val="single" w:color="000000" w:sz="8" w:space="0"/>
              <w:left w:val="nil"/>
              <w:bottom w:val="nil"/>
              <w:right w:val="nil"/>
            </w:tcBorders>
            <w:shd w:val="clear" w:color="auto" w:fill="FFFFFF"/>
            <w:tcMar>
              <w:top w:w="0" w:type="dxa"/>
              <w:left w:w="0" w:type="dxa"/>
              <w:bottom w:w="0" w:type="dxa"/>
              <w:right w:w="0" w:type="dxa"/>
            </w:tcMar>
          </w:tcPr>
          <w:p w14:paraId="65CC62FF">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b/>
                <w:color w:val="000000"/>
                <w:sz w:val="18"/>
                <w:szCs w:val="18"/>
                <w:highlight w:val="none"/>
              </w:rPr>
            </w:pPr>
            <w:r>
              <w:rPr>
                <w:rFonts w:hint="default" w:ascii="Times New Roman Bold Italic" w:hAnsi="Times New Roman Bold Italic" w:eastAsia="Arial" w:cs="Times New Roman Bold Italic"/>
                <w:b/>
                <w:i/>
                <w:iCs/>
                <w:color w:val="000000"/>
                <w:sz w:val="18"/>
                <w:szCs w:val="18"/>
                <w:highlight w:val="none"/>
              </w:rPr>
              <w:t>P</w:t>
            </w:r>
            <w:r>
              <w:rPr>
                <w:rFonts w:ascii="Times New Roman" w:hAnsi="Times New Roman" w:eastAsia="Arial" w:cs="Times New Roman"/>
                <w:b/>
                <w:color w:val="000000"/>
                <w:sz w:val="18"/>
                <w:szCs w:val="18"/>
                <w:highlight w:val="none"/>
              </w:rPr>
              <w:t xml:space="preserve"> </w:t>
            </w:r>
            <w:r>
              <w:rPr>
                <w:rFonts w:ascii="Times New Roman" w:hAnsi="Times New Roman" w:cs="Times New Roman"/>
                <w:b/>
                <w:sz w:val="18"/>
                <w:szCs w:val="18"/>
                <w:highlight w:val="none"/>
                <w:lang w:eastAsia="zh-CN"/>
              </w:rPr>
              <w:t>value</w:t>
            </w:r>
          </w:p>
        </w:tc>
        <w:tc>
          <w:tcPr>
            <w:tcW w:w="1400" w:type="dxa"/>
            <w:tcBorders>
              <w:top w:val="single" w:color="000000" w:sz="8" w:space="0"/>
              <w:left w:val="nil"/>
              <w:bottom w:val="nil"/>
              <w:right w:val="nil"/>
            </w:tcBorders>
            <w:shd w:val="clear" w:color="auto" w:fill="FFFFFF"/>
            <w:tcMar>
              <w:top w:w="0" w:type="dxa"/>
              <w:left w:w="0" w:type="dxa"/>
              <w:bottom w:w="0" w:type="dxa"/>
              <w:right w:w="0" w:type="dxa"/>
            </w:tcMar>
          </w:tcPr>
          <w:p w14:paraId="3C3D5AE3">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b/>
                <w:color w:val="000000"/>
                <w:sz w:val="18"/>
                <w:szCs w:val="18"/>
                <w:highlight w:val="none"/>
              </w:rPr>
            </w:pPr>
            <w:r>
              <w:rPr>
                <w:rFonts w:ascii="Times New Roman" w:hAnsi="Times New Roman" w:cs="Times New Roman"/>
                <w:b/>
                <w:sz w:val="18"/>
                <w:szCs w:val="18"/>
                <w:highlight w:val="none"/>
              </w:rPr>
              <w:t>OR (95% CI)</w:t>
            </w:r>
          </w:p>
        </w:tc>
        <w:tc>
          <w:tcPr>
            <w:tcW w:w="981" w:type="dxa"/>
            <w:tcBorders>
              <w:top w:val="single" w:color="000000" w:sz="8" w:space="0"/>
              <w:left w:val="nil"/>
              <w:bottom w:val="nil"/>
              <w:right w:val="nil"/>
            </w:tcBorders>
            <w:shd w:val="clear" w:color="auto" w:fill="FFFFFF"/>
          </w:tcPr>
          <w:p w14:paraId="2D3D4FB5">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b/>
                <w:color w:val="000000"/>
                <w:sz w:val="18"/>
                <w:szCs w:val="18"/>
                <w:highlight w:val="none"/>
              </w:rPr>
            </w:pPr>
            <w:r>
              <w:rPr>
                <w:rFonts w:hint="default" w:ascii="Times New Roman Bold Italic" w:hAnsi="Times New Roman Bold Italic" w:eastAsia="Arial" w:cs="Times New Roman Bold Italic"/>
                <w:b/>
                <w:i/>
                <w:iCs/>
                <w:color w:val="000000"/>
                <w:sz w:val="18"/>
                <w:szCs w:val="18"/>
                <w:highlight w:val="none"/>
              </w:rPr>
              <w:t>P</w:t>
            </w:r>
            <w:r>
              <w:rPr>
                <w:rFonts w:ascii="Times New Roman" w:hAnsi="Times New Roman" w:eastAsia="Arial" w:cs="Times New Roman"/>
                <w:b/>
                <w:color w:val="000000"/>
                <w:sz w:val="18"/>
                <w:szCs w:val="18"/>
                <w:highlight w:val="none"/>
              </w:rPr>
              <w:t xml:space="preserve"> </w:t>
            </w:r>
            <w:r>
              <w:rPr>
                <w:rFonts w:ascii="Times New Roman" w:hAnsi="Times New Roman" w:cs="Times New Roman"/>
                <w:b/>
                <w:sz w:val="18"/>
                <w:szCs w:val="18"/>
                <w:highlight w:val="none"/>
                <w:lang w:eastAsia="zh-CN"/>
              </w:rPr>
              <w:t>value</w:t>
            </w:r>
          </w:p>
        </w:tc>
      </w:tr>
      <w:tr w14:paraId="617CF11D">
        <w:trPr>
          <w:trHeight w:val="350" w:hRule="atLeast"/>
        </w:trPr>
        <w:tc>
          <w:tcPr>
            <w:tcW w:w="1031" w:type="dxa"/>
            <w:tcBorders>
              <w:top w:val="single" w:color="000000" w:sz="8" w:space="0"/>
              <w:left w:val="nil"/>
              <w:bottom w:val="nil"/>
              <w:right w:val="nil"/>
            </w:tcBorders>
            <w:shd w:val="clear" w:color="auto" w:fill="FFFFFF"/>
            <w:tcMar>
              <w:top w:w="0" w:type="dxa"/>
              <w:left w:w="0" w:type="dxa"/>
              <w:bottom w:w="0" w:type="dxa"/>
              <w:right w:w="0" w:type="dxa"/>
            </w:tcMar>
          </w:tcPr>
          <w:p w14:paraId="4AA145DA">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bCs/>
                <w:color w:val="000000"/>
                <w:sz w:val="18"/>
                <w:szCs w:val="18"/>
                <w:highlight w:val="none"/>
              </w:rPr>
              <w:t>Continuous</w:t>
            </w:r>
          </w:p>
        </w:tc>
        <w:tc>
          <w:tcPr>
            <w:tcW w:w="1400" w:type="dxa"/>
            <w:tcBorders>
              <w:top w:val="single" w:color="000000" w:sz="8" w:space="0"/>
              <w:left w:val="nil"/>
              <w:bottom w:val="nil"/>
              <w:right w:val="nil"/>
            </w:tcBorders>
            <w:shd w:val="clear" w:color="auto" w:fill="FFFFFF"/>
            <w:tcMar>
              <w:top w:w="0" w:type="dxa"/>
              <w:left w:w="0" w:type="dxa"/>
              <w:bottom w:w="0" w:type="dxa"/>
              <w:right w:w="0" w:type="dxa"/>
            </w:tcMar>
          </w:tcPr>
          <w:p w14:paraId="58249A01">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1.0</w:t>
            </w:r>
            <w:r>
              <w:rPr>
                <w:rFonts w:hint="default" w:eastAsia="Arial" w:cs="Times New Roman"/>
                <w:color w:val="000000"/>
                <w:sz w:val="18"/>
                <w:szCs w:val="18"/>
                <w:highlight w:val="none"/>
                <w:lang w:val="en-US"/>
              </w:rPr>
              <w:t>6</w:t>
            </w:r>
            <w:r>
              <w:rPr>
                <w:rFonts w:ascii="Times New Roman" w:hAnsi="Times New Roman" w:eastAsia="Arial" w:cs="Times New Roman"/>
                <w:color w:val="000000"/>
                <w:sz w:val="18"/>
                <w:szCs w:val="18"/>
                <w:highlight w:val="none"/>
              </w:rPr>
              <w:t xml:space="preserve"> (1.0</w:t>
            </w:r>
            <w:r>
              <w:rPr>
                <w:rFonts w:hint="default" w:eastAsia="Arial" w:cs="Times New Roman"/>
                <w:color w:val="000000"/>
                <w:sz w:val="18"/>
                <w:szCs w:val="18"/>
                <w:highlight w:val="none"/>
                <w:lang w:val="en-US"/>
              </w:rPr>
              <w:t>5</w:t>
            </w:r>
            <w:r>
              <w:rPr>
                <w:rFonts w:ascii="Times New Roman" w:hAnsi="Times New Roman" w:eastAsia="Arial" w:cs="Times New Roman"/>
                <w:color w:val="000000"/>
                <w:sz w:val="18"/>
                <w:szCs w:val="18"/>
                <w:highlight w:val="none"/>
              </w:rPr>
              <w:t>, 1.0</w:t>
            </w:r>
            <w:r>
              <w:rPr>
                <w:rFonts w:hint="default" w:eastAsia="Arial" w:cs="Times New Roman"/>
                <w:color w:val="000000"/>
                <w:sz w:val="18"/>
                <w:szCs w:val="18"/>
                <w:highlight w:val="none"/>
                <w:lang w:val="en-US"/>
              </w:rPr>
              <w:t>7</w:t>
            </w:r>
            <w:r>
              <w:rPr>
                <w:rFonts w:ascii="Times New Roman" w:hAnsi="Times New Roman" w:eastAsia="Arial" w:cs="Times New Roman"/>
                <w:color w:val="000000"/>
                <w:sz w:val="18"/>
                <w:szCs w:val="18"/>
                <w:highlight w:val="none"/>
              </w:rPr>
              <w:t>)</w:t>
            </w:r>
          </w:p>
        </w:tc>
        <w:tc>
          <w:tcPr>
            <w:tcW w:w="765" w:type="dxa"/>
            <w:tcBorders>
              <w:top w:val="single" w:color="000000" w:sz="8" w:space="0"/>
              <w:left w:val="nil"/>
              <w:bottom w:val="nil"/>
              <w:right w:val="nil"/>
            </w:tcBorders>
            <w:shd w:val="clear" w:color="auto" w:fill="FFFFFF"/>
            <w:tcMar>
              <w:top w:w="0" w:type="dxa"/>
              <w:left w:w="0" w:type="dxa"/>
              <w:bottom w:w="0" w:type="dxa"/>
              <w:right w:w="0" w:type="dxa"/>
            </w:tcMar>
          </w:tcPr>
          <w:p w14:paraId="67F4F934">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&lt; 0.001</w:t>
            </w:r>
          </w:p>
        </w:tc>
        <w:tc>
          <w:tcPr>
            <w:tcW w:w="1400" w:type="dxa"/>
            <w:tcBorders>
              <w:top w:val="single" w:color="000000" w:sz="8" w:space="0"/>
              <w:left w:val="nil"/>
              <w:bottom w:val="nil"/>
              <w:right w:val="nil"/>
            </w:tcBorders>
            <w:shd w:val="clear" w:color="auto" w:fill="FFFFFF"/>
            <w:tcMar>
              <w:top w:w="0" w:type="dxa"/>
              <w:left w:w="0" w:type="dxa"/>
              <w:bottom w:w="0" w:type="dxa"/>
              <w:right w:w="0" w:type="dxa"/>
            </w:tcMar>
          </w:tcPr>
          <w:p w14:paraId="48ABA1B6">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1.0</w:t>
            </w:r>
            <w:r>
              <w:rPr>
                <w:rFonts w:hint="default" w:eastAsia="Arial" w:cs="Times New Roman"/>
                <w:color w:val="000000"/>
                <w:sz w:val="18"/>
                <w:szCs w:val="18"/>
                <w:highlight w:val="none"/>
                <w:lang w:val="en-US"/>
              </w:rPr>
              <w:t>5</w:t>
            </w:r>
            <w:r>
              <w:rPr>
                <w:rFonts w:ascii="Times New Roman" w:hAnsi="Times New Roman" w:eastAsia="Arial" w:cs="Times New Roman"/>
                <w:color w:val="000000"/>
                <w:sz w:val="18"/>
                <w:szCs w:val="18"/>
                <w:highlight w:val="none"/>
              </w:rPr>
              <w:t xml:space="preserve"> (1.0</w:t>
            </w:r>
            <w:r>
              <w:rPr>
                <w:rFonts w:hint="default" w:eastAsia="Arial" w:cs="Times New Roman"/>
                <w:color w:val="000000"/>
                <w:sz w:val="18"/>
                <w:szCs w:val="18"/>
                <w:highlight w:val="none"/>
                <w:lang w:val="en-US"/>
              </w:rPr>
              <w:t>5</w:t>
            </w:r>
            <w:r>
              <w:rPr>
                <w:rFonts w:ascii="Times New Roman" w:hAnsi="Times New Roman" w:eastAsia="Arial" w:cs="Times New Roman"/>
                <w:color w:val="000000"/>
                <w:sz w:val="18"/>
                <w:szCs w:val="18"/>
                <w:highlight w:val="none"/>
              </w:rPr>
              <w:t>, 1.0</w:t>
            </w:r>
            <w:r>
              <w:rPr>
                <w:rFonts w:hint="default" w:eastAsia="Arial" w:cs="Times New Roman"/>
                <w:color w:val="000000"/>
                <w:sz w:val="18"/>
                <w:szCs w:val="18"/>
                <w:highlight w:val="none"/>
                <w:lang w:val="en-US"/>
              </w:rPr>
              <w:t>6</w:t>
            </w:r>
            <w:r>
              <w:rPr>
                <w:rFonts w:ascii="Times New Roman" w:hAnsi="Times New Roman" w:eastAsia="Arial" w:cs="Times New Roman"/>
                <w:color w:val="000000"/>
                <w:sz w:val="18"/>
                <w:szCs w:val="18"/>
                <w:highlight w:val="none"/>
              </w:rPr>
              <w:t>)</w:t>
            </w:r>
          </w:p>
        </w:tc>
        <w:tc>
          <w:tcPr>
            <w:tcW w:w="765" w:type="dxa"/>
            <w:tcBorders>
              <w:top w:val="single" w:color="000000" w:sz="8" w:space="0"/>
              <w:left w:val="nil"/>
              <w:bottom w:val="nil"/>
              <w:right w:val="nil"/>
            </w:tcBorders>
            <w:shd w:val="clear" w:color="auto" w:fill="FFFFFF"/>
            <w:tcMar>
              <w:top w:w="0" w:type="dxa"/>
              <w:left w:w="0" w:type="dxa"/>
              <w:bottom w:w="0" w:type="dxa"/>
              <w:right w:w="0" w:type="dxa"/>
            </w:tcMar>
          </w:tcPr>
          <w:p w14:paraId="467FB791">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&lt; 0.001</w:t>
            </w:r>
          </w:p>
        </w:tc>
        <w:tc>
          <w:tcPr>
            <w:tcW w:w="1400" w:type="dxa"/>
            <w:tcBorders>
              <w:top w:val="single" w:color="000000" w:sz="8" w:space="0"/>
              <w:left w:val="nil"/>
              <w:bottom w:val="nil"/>
              <w:right w:val="nil"/>
            </w:tcBorders>
            <w:shd w:val="clear" w:color="auto" w:fill="FFFFFF"/>
            <w:tcMar>
              <w:top w:w="0" w:type="dxa"/>
              <w:left w:w="0" w:type="dxa"/>
              <w:bottom w:w="0" w:type="dxa"/>
              <w:right w:w="0" w:type="dxa"/>
            </w:tcMar>
          </w:tcPr>
          <w:p w14:paraId="178E5FB5">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1.02 (1.01, 1.0</w:t>
            </w:r>
            <w:r>
              <w:rPr>
                <w:rFonts w:hint="default" w:eastAsia="Arial" w:cs="Times New Roman"/>
                <w:color w:val="000000"/>
                <w:sz w:val="18"/>
                <w:szCs w:val="18"/>
                <w:highlight w:val="none"/>
                <w:lang w:val="en-US"/>
              </w:rPr>
              <w:t>3</w:t>
            </w:r>
            <w:r>
              <w:rPr>
                <w:rFonts w:ascii="Times New Roman" w:hAnsi="Times New Roman" w:eastAsia="Arial" w:cs="Times New Roman"/>
                <w:color w:val="000000"/>
                <w:sz w:val="18"/>
                <w:szCs w:val="18"/>
                <w:highlight w:val="none"/>
              </w:rPr>
              <w:t>)</w:t>
            </w:r>
          </w:p>
        </w:tc>
        <w:tc>
          <w:tcPr>
            <w:tcW w:w="981" w:type="dxa"/>
            <w:tcBorders>
              <w:top w:val="single" w:color="000000" w:sz="8" w:space="0"/>
              <w:left w:val="nil"/>
              <w:bottom w:val="nil"/>
              <w:right w:val="nil"/>
            </w:tcBorders>
            <w:shd w:val="clear" w:color="auto" w:fill="FFFFFF"/>
          </w:tcPr>
          <w:p w14:paraId="7FCD5961">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&lt; 0.001</w:t>
            </w:r>
          </w:p>
        </w:tc>
      </w:tr>
      <w:tr w14:paraId="45BEE2DF">
        <w:trPr>
          <w:trHeight w:val="243" w:hRule="atLeast"/>
        </w:trPr>
        <w:tc>
          <w:tcPr>
            <w:tcW w:w="1031" w:type="dxa"/>
            <w:tcBorders>
              <w:top w:val="nil"/>
              <w:left w:val="nil"/>
              <w:bottom w:val="nil"/>
              <w:right w:val="nil"/>
            </w:tcBorders>
            <w:shd w:val="clear" w:color="auto" w:fill="FFFFFF"/>
            <w:tcMar>
              <w:top w:w="0" w:type="dxa"/>
              <w:left w:w="0" w:type="dxa"/>
              <w:bottom w:w="0" w:type="dxa"/>
              <w:right w:w="0" w:type="dxa"/>
            </w:tcMar>
          </w:tcPr>
          <w:p w14:paraId="217D0FA3">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bCs/>
                <w:color w:val="000000"/>
                <w:sz w:val="18"/>
                <w:szCs w:val="18"/>
                <w:highlight w:val="none"/>
              </w:rPr>
            </w:pPr>
            <w:r>
              <w:rPr>
                <w:rFonts w:ascii="Times New Roman" w:hAnsi="Times New Roman" w:eastAsia="Arial" w:cs="Times New Roman"/>
                <w:bCs/>
                <w:color w:val="000000"/>
                <w:sz w:val="18"/>
                <w:szCs w:val="18"/>
                <w:highlight w:val="none"/>
              </w:rPr>
              <w:t>Q1</w:t>
            </w:r>
          </w:p>
        </w:tc>
        <w:tc>
          <w:tcPr>
            <w:tcW w:w="1400" w:type="dxa"/>
            <w:tcBorders>
              <w:top w:val="nil"/>
              <w:left w:val="nil"/>
              <w:bottom w:val="nil"/>
              <w:right w:val="nil"/>
            </w:tcBorders>
            <w:shd w:val="clear" w:color="auto" w:fill="FFFFFF"/>
            <w:tcMar>
              <w:top w:w="0" w:type="dxa"/>
              <w:left w:w="0" w:type="dxa"/>
              <w:bottom w:w="0" w:type="dxa"/>
              <w:right w:w="0" w:type="dxa"/>
            </w:tcMar>
          </w:tcPr>
          <w:p w14:paraId="65248781">
            <w:pPr>
              <w:pBdr>
                <w:top w:val="none" w:color="000000" w:sz="0" w:space="0"/>
                <w:left w:val="none" w:color="000000" w:sz="0" w:space="0"/>
                <w:bottom w:val="none" w:color="000000" w:sz="0" w:space="0"/>
                <w:right w:val="none" w:color="000000" w:sz="0" w:space="0"/>
              </w:pBdr>
              <w:spacing w:before="100" w:after="100"/>
              <w:ind w:left="100" w:right="100"/>
              <w:rPr>
                <w:rFonts w:hint="default" w:ascii="Times New Roman" w:hAnsi="Times New Roman" w:eastAsia="Arial" w:cs="Times New Roman"/>
                <w:color w:val="000000"/>
                <w:sz w:val="18"/>
                <w:szCs w:val="18"/>
                <w:highlight w:val="none"/>
                <w:lang w:val="en-US"/>
              </w:rPr>
            </w:pPr>
            <w:r>
              <w:rPr>
                <w:rFonts w:ascii="Times New Roman" w:hAnsi="Times New Roman" w:eastAsia="Arial" w:cs="Times New Roman"/>
                <w:color w:val="000000"/>
                <w:sz w:val="18"/>
                <w:szCs w:val="18"/>
                <w:highlight w:val="none"/>
              </w:rPr>
              <w:t>Ref</w:t>
            </w:r>
            <w:r>
              <w:rPr>
                <w:rFonts w:hint="default" w:ascii="Times New Roman" w:hAnsi="Times New Roman" w:eastAsia="Arial" w:cs="Times New Roman"/>
                <w:color w:val="000000"/>
                <w:sz w:val="18"/>
                <w:szCs w:val="18"/>
                <w:highlight w:val="none"/>
                <w:lang w:val="en-US"/>
              </w:rPr>
              <w:t>erence</w:t>
            </w:r>
          </w:p>
        </w:tc>
        <w:tc>
          <w:tcPr>
            <w:tcW w:w="765" w:type="dxa"/>
            <w:tcBorders>
              <w:top w:val="nil"/>
              <w:left w:val="nil"/>
              <w:bottom w:val="nil"/>
              <w:right w:val="nil"/>
            </w:tcBorders>
            <w:shd w:val="clear" w:color="auto" w:fill="FFFFFF"/>
            <w:tcMar>
              <w:top w:w="0" w:type="dxa"/>
              <w:left w:w="0" w:type="dxa"/>
              <w:bottom w:w="0" w:type="dxa"/>
              <w:right w:w="0" w:type="dxa"/>
            </w:tcMar>
          </w:tcPr>
          <w:p w14:paraId="798EA963">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p>
        </w:tc>
        <w:tc>
          <w:tcPr>
            <w:tcW w:w="1400" w:type="dxa"/>
            <w:tcBorders>
              <w:top w:val="nil"/>
              <w:left w:val="nil"/>
              <w:bottom w:val="nil"/>
              <w:right w:val="nil"/>
            </w:tcBorders>
            <w:shd w:val="clear" w:color="auto" w:fill="FFFFFF"/>
            <w:tcMar>
              <w:top w:w="0" w:type="dxa"/>
              <w:left w:w="0" w:type="dxa"/>
              <w:bottom w:w="0" w:type="dxa"/>
              <w:right w:w="0" w:type="dxa"/>
            </w:tcMar>
          </w:tcPr>
          <w:p w14:paraId="1DCF0886">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Ref</w:t>
            </w:r>
            <w:r>
              <w:rPr>
                <w:rFonts w:hint="default" w:ascii="Times New Roman" w:hAnsi="Times New Roman" w:eastAsia="Arial" w:cs="Times New Roman"/>
                <w:color w:val="000000"/>
                <w:sz w:val="18"/>
                <w:szCs w:val="18"/>
                <w:highlight w:val="none"/>
                <w:lang w:val="en-US"/>
              </w:rPr>
              <w:t>erence</w:t>
            </w:r>
          </w:p>
        </w:tc>
        <w:tc>
          <w:tcPr>
            <w:tcW w:w="765" w:type="dxa"/>
            <w:tcBorders>
              <w:top w:val="nil"/>
              <w:left w:val="nil"/>
              <w:bottom w:val="nil"/>
              <w:right w:val="nil"/>
            </w:tcBorders>
            <w:shd w:val="clear" w:color="auto" w:fill="FFFFFF"/>
            <w:tcMar>
              <w:top w:w="0" w:type="dxa"/>
              <w:left w:w="0" w:type="dxa"/>
              <w:bottom w:w="0" w:type="dxa"/>
              <w:right w:w="0" w:type="dxa"/>
            </w:tcMar>
          </w:tcPr>
          <w:p w14:paraId="26D75880">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p>
        </w:tc>
        <w:tc>
          <w:tcPr>
            <w:tcW w:w="1400" w:type="dxa"/>
            <w:tcBorders>
              <w:top w:val="nil"/>
              <w:left w:val="nil"/>
              <w:bottom w:val="nil"/>
              <w:right w:val="nil"/>
            </w:tcBorders>
            <w:shd w:val="clear" w:color="auto" w:fill="FFFFFF"/>
            <w:tcMar>
              <w:top w:w="0" w:type="dxa"/>
              <w:left w:w="0" w:type="dxa"/>
              <w:bottom w:w="0" w:type="dxa"/>
              <w:right w:w="0" w:type="dxa"/>
            </w:tcMar>
          </w:tcPr>
          <w:p w14:paraId="05EC079E">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Ref</w:t>
            </w:r>
            <w:r>
              <w:rPr>
                <w:rFonts w:hint="default" w:ascii="Times New Roman" w:hAnsi="Times New Roman" w:eastAsia="Arial" w:cs="Times New Roman"/>
                <w:color w:val="000000"/>
                <w:sz w:val="18"/>
                <w:szCs w:val="18"/>
                <w:highlight w:val="none"/>
                <w:lang w:val="en-US"/>
              </w:rPr>
              <w:t>erence</w:t>
            </w:r>
          </w:p>
        </w:tc>
        <w:tc>
          <w:tcPr>
            <w:tcW w:w="981" w:type="dxa"/>
            <w:tcBorders>
              <w:top w:val="nil"/>
              <w:left w:val="nil"/>
              <w:bottom w:val="nil"/>
              <w:right w:val="nil"/>
            </w:tcBorders>
            <w:shd w:val="clear" w:color="auto" w:fill="FFFFFF"/>
          </w:tcPr>
          <w:p w14:paraId="60D1A159">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p>
        </w:tc>
      </w:tr>
      <w:tr w14:paraId="3B128025">
        <w:trPr>
          <w:trHeight w:val="349" w:hRule="atLeast"/>
        </w:trPr>
        <w:tc>
          <w:tcPr>
            <w:tcW w:w="1031" w:type="dxa"/>
            <w:tcBorders>
              <w:top w:val="nil"/>
              <w:left w:val="nil"/>
              <w:bottom w:val="nil"/>
              <w:right w:val="nil"/>
            </w:tcBorders>
            <w:shd w:val="clear" w:color="auto" w:fill="FFFFFF"/>
            <w:tcMar>
              <w:top w:w="0" w:type="dxa"/>
              <w:left w:w="0" w:type="dxa"/>
              <w:bottom w:w="0" w:type="dxa"/>
              <w:right w:w="0" w:type="dxa"/>
            </w:tcMar>
          </w:tcPr>
          <w:p w14:paraId="0A6EF1A0">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bCs/>
                <w:color w:val="000000"/>
                <w:sz w:val="18"/>
                <w:szCs w:val="18"/>
                <w:highlight w:val="none"/>
              </w:rPr>
            </w:pPr>
            <w:r>
              <w:rPr>
                <w:rFonts w:ascii="Times New Roman" w:hAnsi="Times New Roman" w:eastAsia="Arial" w:cs="Times New Roman"/>
                <w:bCs/>
                <w:color w:val="000000"/>
                <w:sz w:val="18"/>
                <w:szCs w:val="18"/>
                <w:highlight w:val="none"/>
              </w:rPr>
              <w:t>Q2</w:t>
            </w:r>
          </w:p>
        </w:tc>
        <w:tc>
          <w:tcPr>
            <w:tcW w:w="1400" w:type="dxa"/>
            <w:tcBorders>
              <w:top w:val="nil"/>
              <w:left w:val="nil"/>
              <w:bottom w:val="nil"/>
              <w:right w:val="nil"/>
            </w:tcBorders>
            <w:shd w:val="clear" w:color="auto" w:fill="FFFFFF"/>
            <w:tcMar>
              <w:top w:w="0" w:type="dxa"/>
              <w:left w:w="0" w:type="dxa"/>
              <w:bottom w:w="0" w:type="dxa"/>
              <w:right w:w="0" w:type="dxa"/>
            </w:tcMar>
          </w:tcPr>
          <w:p w14:paraId="0C5DA11D">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1.</w:t>
            </w:r>
            <w:r>
              <w:rPr>
                <w:rFonts w:hint="default" w:eastAsia="Arial" w:cs="Times New Roman"/>
                <w:color w:val="000000"/>
                <w:sz w:val="18"/>
                <w:szCs w:val="18"/>
                <w:highlight w:val="none"/>
                <w:lang w:val="en-US"/>
              </w:rPr>
              <w:t>42</w:t>
            </w:r>
            <w:r>
              <w:rPr>
                <w:rFonts w:ascii="Times New Roman" w:hAnsi="Times New Roman" w:eastAsia="Arial" w:cs="Times New Roman"/>
                <w:color w:val="000000"/>
                <w:sz w:val="18"/>
                <w:szCs w:val="18"/>
                <w:highlight w:val="none"/>
              </w:rPr>
              <w:t xml:space="preserve"> (1.</w:t>
            </w:r>
            <w:r>
              <w:rPr>
                <w:rFonts w:hint="default" w:eastAsia="Arial" w:cs="Times New Roman"/>
                <w:color w:val="000000"/>
                <w:sz w:val="18"/>
                <w:szCs w:val="18"/>
                <w:highlight w:val="none"/>
                <w:lang w:val="en-US"/>
              </w:rPr>
              <w:t>27</w:t>
            </w:r>
            <w:r>
              <w:rPr>
                <w:rFonts w:ascii="Times New Roman" w:hAnsi="Times New Roman" w:eastAsia="Arial" w:cs="Times New Roman"/>
                <w:color w:val="000000"/>
                <w:sz w:val="18"/>
                <w:szCs w:val="18"/>
                <w:highlight w:val="none"/>
              </w:rPr>
              <w:t>, 1.</w:t>
            </w:r>
            <w:r>
              <w:rPr>
                <w:rFonts w:hint="default" w:eastAsia="Arial" w:cs="Times New Roman"/>
                <w:color w:val="000000"/>
                <w:sz w:val="18"/>
                <w:szCs w:val="18"/>
                <w:highlight w:val="none"/>
                <w:lang w:val="en-US"/>
              </w:rPr>
              <w:t>59</w:t>
            </w:r>
            <w:r>
              <w:rPr>
                <w:rFonts w:ascii="Times New Roman" w:hAnsi="Times New Roman" w:eastAsia="Arial" w:cs="Times New Roman"/>
                <w:color w:val="000000"/>
                <w:sz w:val="18"/>
                <w:szCs w:val="18"/>
                <w:highlight w:val="none"/>
              </w:rPr>
              <w:t>)</w:t>
            </w:r>
          </w:p>
        </w:tc>
        <w:tc>
          <w:tcPr>
            <w:tcW w:w="765" w:type="dxa"/>
            <w:tcBorders>
              <w:top w:val="nil"/>
              <w:left w:val="nil"/>
              <w:bottom w:val="nil"/>
              <w:right w:val="nil"/>
            </w:tcBorders>
            <w:shd w:val="clear" w:color="auto" w:fill="FFFFFF"/>
            <w:tcMar>
              <w:top w:w="0" w:type="dxa"/>
              <w:left w:w="0" w:type="dxa"/>
              <w:bottom w:w="0" w:type="dxa"/>
              <w:right w:w="0" w:type="dxa"/>
            </w:tcMar>
          </w:tcPr>
          <w:p w14:paraId="1924E804">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&lt; 0.001</w:t>
            </w:r>
          </w:p>
        </w:tc>
        <w:tc>
          <w:tcPr>
            <w:tcW w:w="1400" w:type="dxa"/>
            <w:tcBorders>
              <w:top w:val="nil"/>
              <w:left w:val="nil"/>
              <w:bottom w:val="nil"/>
              <w:right w:val="nil"/>
            </w:tcBorders>
            <w:shd w:val="clear" w:color="auto" w:fill="FFFFFF"/>
            <w:tcMar>
              <w:top w:w="0" w:type="dxa"/>
              <w:left w:w="0" w:type="dxa"/>
              <w:bottom w:w="0" w:type="dxa"/>
              <w:right w:w="0" w:type="dxa"/>
            </w:tcMar>
          </w:tcPr>
          <w:p w14:paraId="43FF47BE">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1.</w:t>
            </w:r>
            <w:r>
              <w:rPr>
                <w:rFonts w:hint="default" w:eastAsia="Arial" w:cs="Times New Roman"/>
                <w:color w:val="000000"/>
                <w:sz w:val="18"/>
                <w:szCs w:val="18"/>
                <w:highlight w:val="none"/>
                <w:lang w:val="en-US"/>
              </w:rPr>
              <w:t>39</w:t>
            </w:r>
            <w:r>
              <w:rPr>
                <w:rFonts w:ascii="Times New Roman" w:hAnsi="Times New Roman" w:eastAsia="Arial" w:cs="Times New Roman"/>
                <w:color w:val="000000"/>
                <w:sz w:val="18"/>
                <w:szCs w:val="18"/>
                <w:highlight w:val="none"/>
              </w:rPr>
              <w:t xml:space="preserve"> (1.</w:t>
            </w:r>
            <w:r>
              <w:rPr>
                <w:rFonts w:hint="default" w:eastAsia="Arial" w:cs="Times New Roman"/>
                <w:color w:val="000000"/>
                <w:sz w:val="18"/>
                <w:szCs w:val="18"/>
                <w:highlight w:val="none"/>
                <w:lang w:val="en-US"/>
              </w:rPr>
              <w:t>24</w:t>
            </w:r>
            <w:r>
              <w:rPr>
                <w:rFonts w:ascii="Times New Roman" w:hAnsi="Times New Roman" w:eastAsia="Arial" w:cs="Times New Roman"/>
                <w:color w:val="000000"/>
                <w:sz w:val="18"/>
                <w:szCs w:val="18"/>
                <w:highlight w:val="none"/>
              </w:rPr>
              <w:t>, 1.</w:t>
            </w:r>
            <w:r>
              <w:rPr>
                <w:rFonts w:hint="default" w:eastAsia="Arial" w:cs="Times New Roman"/>
                <w:color w:val="000000"/>
                <w:sz w:val="18"/>
                <w:szCs w:val="18"/>
                <w:highlight w:val="none"/>
                <w:lang w:val="en-US"/>
              </w:rPr>
              <w:t>56</w:t>
            </w:r>
            <w:r>
              <w:rPr>
                <w:rFonts w:ascii="Times New Roman" w:hAnsi="Times New Roman" w:eastAsia="Arial" w:cs="Times New Roman"/>
                <w:color w:val="000000"/>
                <w:sz w:val="18"/>
                <w:szCs w:val="18"/>
                <w:highlight w:val="none"/>
              </w:rPr>
              <w:t>)</w:t>
            </w:r>
          </w:p>
        </w:tc>
        <w:tc>
          <w:tcPr>
            <w:tcW w:w="765" w:type="dxa"/>
            <w:tcBorders>
              <w:top w:val="nil"/>
              <w:left w:val="nil"/>
              <w:bottom w:val="nil"/>
              <w:right w:val="nil"/>
            </w:tcBorders>
            <w:shd w:val="clear" w:color="auto" w:fill="FFFFFF"/>
            <w:tcMar>
              <w:top w:w="0" w:type="dxa"/>
              <w:left w:w="0" w:type="dxa"/>
              <w:bottom w:w="0" w:type="dxa"/>
              <w:right w:w="0" w:type="dxa"/>
            </w:tcMar>
          </w:tcPr>
          <w:p w14:paraId="56005B9A">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&lt; 0.001</w:t>
            </w:r>
          </w:p>
        </w:tc>
        <w:tc>
          <w:tcPr>
            <w:tcW w:w="1400" w:type="dxa"/>
            <w:tcBorders>
              <w:top w:val="nil"/>
              <w:left w:val="nil"/>
              <w:bottom w:val="nil"/>
              <w:right w:val="nil"/>
            </w:tcBorders>
            <w:shd w:val="clear" w:color="auto" w:fill="FFFFFF"/>
            <w:tcMar>
              <w:top w:w="0" w:type="dxa"/>
              <w:left w:w="0" w:type="dxa"/>
              <w:bottom w:w="0" w:type="dxa"/>
              <w:right w:w="0" w:type="dxa"/>
            </w:tcMar>
          </w:tcPr>
          <w:p w14:paraId="381C7940">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1.</w:t>
            </w:r>
            <w:r>
              <w:rPr>
                <w:rFonts w:hint="default" w:eastAsia="Arial" w:cs="Times New Roman"/>
                <w:color w:val="000000"/>
                <w:sz w:val="18"/>
                <w:szCs w:val="18"/>
                <w:highlight w:val="none"/>
                <w:lang w:val="en-US"/>
              </w:rPr>
              <w:t>12</w:t>
            </w:r>
            <w:r>
              <w:rPr>
                <w:rFonts w:ascii="Times New Roman" w:hAnsi="Times New Roman" w:eastAsia="Arial" w:cs="Times New Roman"/>
                <w:color w:val="000000"/>
                <w:sz w:val="18"/>
                <w:szCs w:val="18"/>
                <w:highlight w:val="none"/>
              </w:rPr>
              <w:t xml:space="preserve"> (</w:t>
            </w:r>
            <w:r>
              <w:rPr>
                <w:rFonts w:hint="default" w:eastAsia="Arial" w:cs="Times New Roman"/>
                <w:color w:val="000000"/>
                <w:sz w:val="18"/>
                <w:szCs w:val="18"/>
                <w:highlight w:val="none"/>
                <w:lang w:val="en-US"/>
              </w:rPr>
              <w:t>0.99</w:t>
            </w:r>
            <w:r>
              <w:rPr>
                <w:rFonts w:ascii="Times New Roman" w:hAnsi="Times New Roman" w:eastAsia="Arial" w:cs="Times New Roman"/>
                <w:color w:val="000000"/>
                <w:sz w:val="18"/>
                <w:szCs w:val="18"/>
                <w:highlight w:val="none"/>
              </w:rPr>
              <w:t>, 1.</w:t>
            </w:r>
            <w:r>
              <w:rPr>
                <w:rFonts w:hint="default" w:eastAsia="Arial" w:cs="Times New Roman"/>
                <w:color w:val="000000"/>
                <w:sz w:val="18"/>
                <w:szCs w:val="18"/>
                <w:highlight w:val="none"/>
                <w:lang w:val="en-US"/>
              </w:rPr>
              <w:t>27</w:t>
            </w:r>
            <w:r>
              <w:rPr>
                <w:rFonts w:ascii="Times New Roman" w:hAnsi="Times New Roman" w:eastAsia="Arial" w:cs="Times New Roman"/>
                <w:color w:val="000000"/>
                <w:sz w:val="18"/>
                <w:szCs w:val="18"/>
                <w:highlight w:val="none"/>
              </w:rPr>
              <w:t>)</w:t>
            </w:r>
          </w:p>
        </w:tc>
        <w:tc>
          <w:tcPr>
            <w:tcW w:w="981" w:type="dxa"/>
            <w:tcBorders>
              <w:top w:val="nil"/>
              <w:left w:val="nil"/>
              <w:bottom w:val="nil"/>
              <w:right w:val="nil"/>
            </w:tcBorders>
            <w:shd w:val="clear" w:color="auto" w:fill="FFFFFF"/>
          </w:tcPr>
          <w:p w14:paraId="3BD44778">
            <w:pPr>
              <w:pBdr>
                <w:top w:val="none" w:color="000000" w:sz="0" w:space="0"/>
                <w:left w:val="none" w:color="000000" w:sz="0" w:space="0"/>
                <w:bottom w:val="none" w:color="000000" w:sz="0" w:space="0"/>
                <w:right w:val="none" w:color="000000" w:sz="0" w:space="0"/>
              </w:pBdr>
              <w:spacing w:before="100" w:after="100"/>
              <w:ind w:left="100" w:right="100"/>
              <w:rPr>
                <w:rFonts w:hint="default" w:ascii="Times New Roman" w:hAnsi="Times New Roman" w:eastAsia="Arial" w:cs="Times New Roman"/>
                <w:color w:val="000000"/>
                <w:sz w:val="18"/>
                <w:szCs w:val="18"/>
                <w:highlight w:val="none"/>
                <w:lang w:val="en-US"/>
              </w:rPr>
            </w:pPr>
            <w:r>
              <w:rPr>
                <w:rFonts w:ascii="Times New Roman" w:hAnsi="Times New Roman" w:eastAsia="Arial" w:cs="Times New Roman"/>
                <w:color w:val="000000"/>
                <w:sz w:val="18"/>
                <w:szCs w:val="18"/>
                <w:highlight w:val="none"/>
              </w:rPr>
              <w:t>0.</w:t>
            </w:r>
            <w:r>
              <w:rPr>
                <w:rFonts w:hint="default" w:eastAsia="Arial" w:cs="Times New Roman"/>
                <w:color w:val="000000"/>
                <w:sz w:val="18"/>
                <w:szCs w:val="18"/>
                <w:highlight w:val="none"/>
                <w:lang w:val="en-US"/>
              </w:rPr>
              <w:t>061</w:t>
            </w:r>
          </w:p>
        </w:tc>
      </w:tr>
      <w:tr w14:paraId="347E46A1">
        <w:trPr>
          <w:trHeight w:val="110" w:hRule="atLeast"/>
        </w:trPr>
        <w:tc>
          <w:tcPr>
            <w:tcW w:w="1031" w:type="dxa"/>
            <w:tcBorders>
              <w:top w:val="nil"/>
              <w:left w:val="nil"/>
              <w:bottom w:val="nil"/>
              <w:right w:val="nil"/>
            </w:tcBorders>
            <w:shd w:val="clear" w:color="auto" w:fill="FFFFFF"/>
            <w:tcMar>
              <w:top w:w="0" w:type="dxa"/>
              <w:left w:w="0" w:type="dxa"/>
              <w:bottom w:w="0" w:type="dxa"/>
              <w:right w:w="0" w:type="dxa"/>
            </w:tcMar>
          </w:tcPr>
          <w:p w14:paraId="494709B7">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bCs/>
                <w:color w:val="000000"/>
                <w:sz w:val="18"/>
                <w:szCs w:val="18"/>
                <w:highlight w:val="none"/>
              </w:rPr>
            </w:pPr>
            <w:r>
              <w:rPr>
                <w:rFonts w:ascii="Times New Roman" w:hAnsi="Times New Roman" w:eastAsia="Arial" w:cs="Times New Roman"/>
                <w:bCs/>
                <w:color w:val="000000"/>
                <w:sz w:val="18"/>
                <w:szCs w:val="18"/>
                <w:highlight w:val="none"/>
              </w:rPr>
              <w:t>Q3</w:t>
            </w:r>
          </w:p>
        </w:tc>
        <w:tc>
          <w:tcPr>
            <w:tcW w:w="1400" w:type="dxa"/>
            <w:tcBorders>
              <w:top w:val="nil"/>
              <w:left w:val="nil"/>
              <w:bottom w:val="nil"/>
              <w:right w:val="nil"/>
            </w:tcBorders>
            <w:shd w:val="clear" w:color="auto" w:fill="FFFFFF"/>
            <w:tcMar>
              <w:top w:w="0" w:type="dxa"/>
              <w:left w:w="0" w:type="dxa"/>
              <w:bottom w:w="0" w:type="dxa"/>
              <w:right w:w="0" w:type="dxa"/>
            </w:tcMar>
          </w:tcPr>
          <w:p w14:paraId="0BBC774B">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1.</w:t>
            </w:r>
            <w:r>
              <w:rPr>
                <w:rFonts w:hint="default" w:eastAsia="Arial" w:cs="Times New Roman"/>
                <w:color w:val="000000"/>
                <w:sz w:val="18"/>
                <w:szCs w:val="18"/>
                <w:highlight w:val="none"/>
                <w:lang w:val="en-US"/>
              </w:rPr>
              <w:t xml:space="preserve">68 </w:t>
            </w:r>
            <w:r>
              <w:rPr>
                <w:rFonts w:ascii="Times New Roman" w:hAnsi="Times New Roman" w:eastAsia="Arial" w:cs="Times New Roman"/>
                <w:color w:val="000000"/>
                <w:sz w:val="18"/>
                <w:szCs w:val="18"/>
                <w:highlight w:val="none"/>
              </w:rPr>
              <w:t>(1.</w:t>
            </w:r>
            <w:r>
              <w:rPr>
                <w:rFonts w:hint="default" w:eastAsia="Arial" w:cs="Times New Roman"/>
                <w:color w:val="000000"/>
                <w:sz w:val="18"/>
                <w:szCs w:val="18"/>
                <w:highlight w:val="none"/>
                <w:lang w:val="en-US"/>
              </w:rPr>
              <w:t>50</w:t>
            </w:r>
            <w:r>
              <w:rPr>
                <w:rFonts w:ascii="Times New Roman" w:hAnsi="Times New Roman" w:eastAsia="Arial" w:cs="Times New Roman"/>
                <w:color w:val="000000"/>
                <w:sz w:val="18"/>
                <w:szCs w:val="18"/>
                <w:highlight w:val="none"/>
              </w:rPr>
              <w:t xml:space="preserve">, </w:t>
            </w:r>
            <w:r>
              <w:rPr>
                <w:rFonts w:hint="default" w:eastAsia="Arial" w:cs="Times New Roman"/>
                <w:color w:val="000000"/>
                <w:sz w:val="18"/>
                <w:szCs w:val="18"/>
                <w:highlight w:val="none"/>
                <w:lang w:val="en-US"/>
              </w:rPr>
              <w:t>1.88</w:t>
            </w:r>
            <w:r>
              <w:rPr>
                <w:rFonts w:ascii="Times New Roman" w:hAnsi="Times New Roman" w:eastAsia="Arial" w:cs="Times New Roman"/>
                <w:color w:val="000000"/>
                <w:sz w:val="18"/>
                <w:szCs w:val="18"/>
                <w:highlight w:val="none"/>
              </w:rPr>
              <w:t>)</w:t>
            </w:r>
          </w:p>
        </w:tc>
        <w:tc>
          <w:tcPr>
            <w:tcW w:w="765" w:type="dxa"/>
            <w:tcBorders>
              <w:top w:val="nil"/>
              <w:left w:val="nil"/>
              <w:bottom w:val="nil"/>
              <w:right w:val="nil"/>
            </w:tcBorders>
            <w:shd w:val="clear" w:color="auto" w:fill="FFFFFF"/>
            <w:tcMar>
              <w:top w:w="0" w:type="dxa"/>
              <w:left w:w="0" w:type="dxa"/>
              <w:bottom w:w="0" w:type="dxa"/>
              <w:right w:w="0" w:type="dxa"/>
            </w:tcMar>
          </w:tcPr>
          <w:p w14:paraId="7E77798E">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&lt; 0.001</w:t>
            </w:r>
          </w:p>
        </w:tc>
        <w:tc>
          <w:tcPr>
            <w:tcW w:w="1400" w:type="dxa"/>
            <w:tcBorders>
              <w:top w:val="nil"/>
              <w:left w:val="nil"/>
              <w:bottom w:val="nil"/>
              <w:right w:val="nil"/>
            </w:tcBorders>
            <w:shd w:val="clear" w:color="auto" w:fill="FFFFFF"/>
            <w:tcMar>
              <w:top w:w="0" w:type="dxa"/>
              <w:left w:w="0" w:type="dxa"/>
              <w:bottom w:w="0" w:type="dxa"/>
              <w:right w:w="0" w:type="dxa"/>
            </w:tcMar>
          </w:tcPr>
          <w:p w14:paraId="1AE8416A">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1.</w:t>
            </w:r>
            <w:r>
              <w:rPr>
                <w:rFonts w:hint="default" w:eastAsia="Arial" w:cs="Times New Roman"/>
                <w:color w:val="000000"/>
                <w:sz w:val="18"/>
                <w:szCs w:val="18"/>
                <w:highlight w:val="none"/>
                <w:lang w:val="en-US"/>
              </w:rPr>
              <w:t>5</w:t>
            </w:r>
            <w:r>
              <w:rPr>
                <w:rFonts w:ascii="Times New Roman" w:hAnsi="Times New Roman" w:eastAsia="Arial" w:cs="Times New Roman"/>
                <w:color w:val="000000"/>
                <w:sz w:val="18"/>
                <w:szCs w:val="18"/>
                <w:highlight w:val="none"/>
              </w:rPr>
              <w:t>9 (1.</w:t>
            </w:r>
            <w:r>
              <w:rPr>
                <w:rFonts w:hint="default" w:eastAsia="Arial" w:cs="Times New Roman"/>
                <w:color w:val="000000"/>
                <w:sz w:val="18"/>
                <w:szCs w:val="18"/>
                <w:highlight w:val="none"/>
                <w:lang w:val="en-US"/>
              </w:rPr>
              <w:t>41</w:t>
            </w:r>
            <w:r>
              <w:rPr>
                <w:rFonts w:ascii="Times New Roman" w:hAnsi="Times New Roman" w:eastAsia="Arial" w:cs="Times New Roman"/>
                <w:color w:val="000000"/>
                <w:sz w:val="18"/>
                <w:szCs w:val="18"/>
                <w:highlight w:val="none"/>
              </w:rPr>
              <w:t xml:space="preserve">, </w:t>
            </w:r>
            <w:r>
              <w:rPr>
                <w:rFonts w:hint="default" w:eastAsia="Arial" w:cs="Times New Roman"/>
                <w:color w:val="000000"/>
                <w:sz w:val="18"/>
                <w:szCs w:val="18"/>
                <w:highlight w:val="none"/>
                <w:lang w:val="en-US"/>
              </w:rPr>
              <w:t>1.80</w:t>
            </w:r>
            <w:r>
              <w:rPr>
                <w:rFonts w:ascii="Times New Roman" w:hAnsi="Times New Roman" w:eastAsia="Arial" w:cs="Times New Roman"/>
                <w:color w:val="000000"/>
                <w:sz w:val="18"/>
                <w:szCs w:val="18"/>
                <w:highlight w:val="none"/>
              </w:rPr>
              <w:t>)</w:t>
            </w:r>
          </w:p>
        </w:tc>
        <w:tc>
          <w:tcPr>
            <w:tcW w:w="765" w:type="dxa"/>
            <w:tcBorders>
              <w:top w:val="nil"/>
              <w:left w:val="nil"/>
              <w:bottom w:val="nil"/>
              <w:right w:val="nil"/>
            </w:tcBorders>
            <w:shd w:val="clear" w:color="auto" w:fill="FFFFFF"/>
            <w:tcMar>
              <w:top w:w="0" w:type="dxa"/>
              <w:left w:w="0" w:type="dxa"/>
              <w:bottom w:w="0" w:type="dxa"/>
              <w:right w:w="0" w:type="dxa"/>
            </w:tcMar>
          </w:tcPr>
          <w:p w14:paraId="57EC4D65">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&lt; 0.001</w:t>
            </w:r>
          </w:p>
        </w:tc>
        <w:tc>
          <w:tcPr>
            <w:tcW w:w="1400" w:type="dxa"/>
            <w:tcBorders>
              <w:top w:val="nil"/>
              <w:left w:val="nil"/>
              <w:bottom w:val="nil"/>
              <w:right w:val="nil"/>
            </w:tcBorders>
            <w:shd w:val="clear" w:color="auto" w:fill="FFFFFF"/>
            <w:tcMar>
              <w:top w:w="0" w:type="dxa"/>
              <w:left w:w="0" w:type="dxa"/>
              <w:bottom w:w="0" w:type="dxa"/>
              <w:right w:w="0" w:type="dxa"/>
            </w:tcMar>
          </w:tcPr>
          <w:p w14:paraId="3F196634">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1.1</w:t>
            </w:r>
            <w:r>
              <w:rPr>
                <w:rFonts w:hint="default" w:eastAsia="Arial" w:cs="Times New Roman"/>
                <w:color w:val="000000"/>
                <w:sz w:val="18"/>
                <w:szCs w:val="18"/>
                <w:highlight w:val="none"/>
                <w:lang w:val="en-US"/>
              </w:rPr>
              <w:t>3</w:t>
            </w:r>
            <w:r>
              <w:rPr>
                <w:rFonts w:ascii="Times New Roman" w:hAnsi="Times New Roman" w:eastAsia="Arial" w:cs="Times New Roman"/>
                <w:color w:val="000000"/>
                <w:sz w:val="18"/>
                <w:szCs w:val="18"/>
                <w:highlight w:val="none"/>
              </w:rPr>
              <w:t xml:space="preserve"> (0.</w:t>
            </w:r>
            <w:r>
              <w:rPr>
                <w:rFonts w:hint="default" w:eastAsia="Arial" w:cs="Times New Roman"/>
                <w:color w:val="000000"/>
                <w:sz w:val="18"/>
                <w:szCs w:val="18"/>
                <w:highlight w:val="none"/>
                <w:lang w:val="en-US"/>
              </w:rPr>
              <w:t>99</w:t>
            </w:r>
            <w:r>
              <w:rPr>
                <w:rFonts w:ascii="Times New Roman" w:hAnsi="Times New Roman" w:eastAsia="Arial" w:cs="Times New Roman"/>
                <w:color w:val="000000"/>
                <w:sz w:val="18"/>
                <w:szCs w:val="18"/>
                <w:highlight w:val="none"/>
              </w:rPr>
              <w:t>, 1.</w:t>
            </w:r>
            <w:r>
              <w:rPr>
                <w:rFonts w:hint="default" w:eastAsia="Arial" w:cs="Times New Roman"/>
                <w:color w:val="000000"/>
                <w:sz w:val="18"/>
                <w:szCs w:val="18"/>
                <w:highlight w:val="none"/>
                <w:lang w:val="en-US"/>
              </w:rPr>
              <w:t>29</w:t>
            </w:r>
            <w:r>
              <w:rPr>
                <w:rFonts w:ascii="Times New Roman" w:hAnsi="Times New Roman" w:eastAsia="Arial" w:cs="Times New Roman"/>
                <w:color w:val="000000"/>
                <w:sz w:val="18"/>
                <w:szCs w:val="18"/>
                <w:highlight w:val="none"/>
              </w:rPr>
              <w:t>)</w:t>
            </w:r>
          </w:p>
        </w:tc>
        <w:tc>
          <w:tcPr>
            <w:tcW w:w="981" w:type="dxa"/>
            <w:tcBorders>
              <w:top w:val="nil"/>
              <w:left w:val="nil"/>
              <w:bottom w:val="nil"/>
              <w:right w:val="nil"/>
            </w:tcBorders>
            <w:shd w:val="clear" w:color="auto" w:fill="FFFFFF"/>
          </w:tcPr>
          <w:p w14:paraId="7C5E63B7">
            <w:pPr>
              <w:pBdr>
                <w:top w:val="none" w:color="000000" w:sz="0" w:space="0"/>
                <w:left w:val="none" w:color="000000" w:sz="0" w:space="0"/>
                <w:bottom w:val="none" w:color="000000" w:sz="0" w:space="0"/>
                <w:right w:val="none" w:color="000000" w:sz="0" w:space="0"/>
              </w:pBdr>
              <w:spacing w:before="100" w:after="100"/>
              <w:ind w:left="100" w:right="100"/>
              <w:rPr>
                <w:rFonts w:hint="default" w:ascii="Times New Roman" w:hAnsi="Times New Roman" w:eastAsia="Arial" w:cs="Times New Roman"/>
                <w:color w:val="000000"/>
                <w:sz w:val="18"/>
                <w:szCs w:val="18"/>
                <w:highlight w:val="none"/>
                <w:lang w:val="en-US"/>
              </w:rPr>
            </w:pPr>
            <w:r>
              <w:rPr>
                <w:rFonts w:ascii="Times New Roman" w:hAnsi="Times New Roman" w:eastAsia="Arial" w:cs="Times New Roman"/>
                <w:color w:val="000000"/>
                <w:sz w:val="18"/>
                <w:szCs w:val="18"/>
                <w:highlight w:val="none"/>
              </w:rPr>
              <w:t>0.</w:t>
            </w:r>
            <w:r>
              <w:rPr>
                <w:rFonts w:hint="default" w:eastAsia="Arial" w:cs="Times New Roman"/>
                <w:color w:val="000000"/>
                <w:sz w:val="18"/>
                <w:szCs w:val="18"/>
                <w:highlight w:val="none"/>
                <w:lang w:val="en-US"/>
              </w:rPr>
              <w:t>066</w:t>
            </w:r>
          </w:p>
        </w:tc>
      </w:tr>
      <w:tr w14:paraId="3DB2A6D8">
        <w:trPr>
          <w:trHeight w:val="469" w:hRule="atLeast"/>
        </w:trPr>
        <w:tc>
          <w:tcPr>
            <w:tcW w:w="1031" w:type="dxa"/>
            <w:tcBorders>
              <w:top w:val="nil"/>
              <w:left w:val="nil"/>
              <w:bottom w:val="nil"/>
              <w:right w:val="nil"/>
            </w:tcBorders>
            <w:shd w:val="clear" w:color="auto" w:fill="FFFFFF"/>
            <w:tcMar>
              <w:top w:w="0" w:type="dxa"/>
              <w:left w:w="0" w:type="dxa"/>
              <w:bottom w:w="0" w:type="dxa"/>
              <w:right w:w="0" w:type="dxa"/>
            </w:tcMar>
            <w:vAlign w:val="center"/>
          </w:tcPr>
          <w:p w14:paraId="3A6B90FB">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bCs/>
                <w:color w:val="000000"/>
                <w:sz w:val="18"/>
                <w:szCs w:val="18"/>
                <w:highlight w:val="none"/>
              </w:rPr>
            </w:pPr>
            <w:r>
              <w:rPr>
                <w:rFonts w:ascii="Times New Roman" w:hAnsi="Times New Roman" w:eastAsia="Arial" w:cs="Times New Roman"/>
                <w:bCs/>
                <w:color w:val="000000"/>
                <w:sz w:val="18"/>
                <w:szCs w:val="18"/>
                <w:highlight w:val="none"/>
              </w:rPr>
              <w:t>Q4</w:t>
            </w:r>
          </w:p>
        </w:tc>
        <w:tc>
          <w:tcPr>
            <w:tcW w:w="1400" w:type="dxa"/>
            <w:tcBorders>
              <w:top w:val="nil"/>
              <w:left w:val="nil"/>
              <w:bottom w:val="nil"/>
              <w:right w:val="nil"/>
            </w:tcBorders>
            <w:shd w:val="clear" w:color="auto" w:fill="FFFFFF"/>
            <w:tcMar>
              <w:top w:w="0" w:type="dxa"/>
              <w:left w:w="0" w:type="dxa"/>
              <w:bottom w:w="0" w:type="dxa"/>
              <w:right w:w="0" w:type="dxa"/>
            </w:tcMar>
            <w:vAlign w:val="center"/>
          </w:tcPr>
          <w:p w14:paraId="3A4C1530">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2.</w:t>
            </w:r>
            <w:r>
              <w:rPr>
                <w:rFonts w:hint="default" w:eastAsia="Arial" w:cs="Times New Roman"/>
                <w:color w:val="000000"/>
                <w:sz w:val="18"/>
                <w:szCs w:val="18"/>
                <w:highlight w:val="none"/>
                <w:lang w:val="en-US"/>
              </w:rPr>
              <w:t>33</w:t>
            </w:r>
            <w:r>
              <w:rPr>
                <w:rFonts w:ascii="Times New Roman" w:hAnsi="Times New Roman" w:eastAsia="Arial" w:cs="Times New Roman"/>
                <w:color w:val="000000"/>
                <w:sz w:val="18"/>
                <w:szCs w:val="18"/>
                <w:highlight w:val="none"/>
              </w:rPr>
              <w:t xml:space="preserve"> (2.</w:t>
            </w:r>
            <w:r>
              <w:rPr>
                <w:rFonts w:hint="default" w:eastAsia="Arial" w:cs="Times New Roman"/>
                <w:color w:val="000000"/>
                <w:sz w:val="18"/>
                <w:szCs w:val="18"/>
                <w:highlight w:val="none"/>
                <w:lang w:val="en-US"/>
              </w:rPr>
              <w:t>08</w:t>
            </w:r>
            <w:r>
              <w:rPr>
                <w:rFonts w:ascii="Times New Roman" w:hAnsi="Times New Roman" w:eastAsia="Arial" w:cs="Times New Roman"/>
                <w:color w:val="000000"/>
                <w:sz w:val="18"/>
                <w:szCs w:val="18"/>
                <w:highlight w:val="none"/>
              </w:rPr>
              <w:t>,</w:t>
            </w:r>
            <w:r>
              <w:rPr>
                <w:rFonts w:hint="default" w:eastAsia="Arial" w:cs="Times New Roman"/>
                <w:color w:val="000000"/>
                <w:sz w:val="18"/>
                <w:szCs w:val="18"/>
                <w:highlight w:val="none"/>
                <w:lang w:val="en-US"/>
              </w:rPr>
              <w:t xml:space="preserve"> 2.61</w:t>
            </w:r>
            <w:r>
              <w:rPr>
                <w:rFonts w:ascii="Times New Roman" w:hAnsi="Times New Roman" w:eastAsia="Arial" w:cs="Times New Roman"/>
                <w:color w:val="000000"/>
                <w:sz w:val="18"/>
                <w:szCs w:val="18"/>
                <w:highlight w:val="none"/>
              </w:rPr>
              <w:t>)</w:t>
            </w:r>
          </w:p>
        </w:tc>
        <w:tc>
          <w:tcPr>
            <w:tcW w:w="765" w:type="dxa"/>
            <w:tcBorders>
              <w:top w:val="nil"/>
              <w:left w:val="nil"/>
              <w:bottom w:val="nil"/>
              <w:right w:val="nil"/>
            </w:tcBorders>
            <w:shd w:val="clear" w:color="auto" w:fill="FFFFFF"/>
            <w:tcMar>
              <w:top w:w="0" w:type="dxa"/>
              <w:left w:w="0" w:type="dxa"/>
              <w:bottom w:w="0" w:type="dxa"/>
              <w:right w:w="0" w:type="dxa"/>
            </w:tcMar>
            <w:vAlign w:val="center"/>
          </w:tcPr>
          <w:p w14:paraId="042359ED">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&lt; 0.001</w:t>
            </w:r>
          </w:p>
        </w:tc>
        <w:tc>
          <w:tcPr>
            <w:tcW w:w="1400" w:type="dxa"/>
            <w:tcBorders>
              <w:top w:val="nil"/>
              <w:left w:val="nil"/>
              <w:bottom w:val="nil"/>
              <w:right w:val="nil"/>
            </w:tcBorders>
            <w:shd w:val="clear" w:color="auto" w:fill="FFFFFF"/>
            <w:tcMar>
              <w:top w:w="0" w:type="dxa"/>
              <w:left w:w="0" w:type="dxa"/>
              <w:bottom w:w="0" w:type="dxa"/>
              <w:right w:w="0" w:type="dxa"/>
            </w:tcMar>
            <w:vAlign w:val="center"/>
          </w:tcPr>
          <w:p w14:paraId="63A37842">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2.</w:t>
            </w:r>
            <w:r>
              <w:rPr>
                <w:rFonts w:hint="default" w:eastAsia="Arial" w:cs="Times New Roman"/>
                <w:color w:val="000000"/>
                <w:sz w:val="18"/>
                <w:szCs w:val="18"/>
                <w:highlight w:val="none"/>
                <w:lang w:val="en-US"/>
              </w:rPr>
              <w:t>17</w:t>
            </w:r>
            <w:r>
              <w:rPr>
                <w:rFonts w:ascii="Times New Roman" w:hAnsi="Times New Roman" w:eastAsia="Arial" w:cs="Times New Roman"/>
                <w:color w:val="000000"/>
                <w:sz w:val="18"/>
                <w:szCs w:val="18"/>
                <w:highlight w:val="none"/>
              </w:rPr>
              <w:t xml:space="preserve"> (</w:t>
            </w:r>
            <w:r>
              <w:rPr>
                <w:rFonts w:hint="default" w:eastAsia="Arial" w:cs="Times New Roman"/>
                <w:color w:val="000000"/>
                <w:sz w:val="18"/>
                <w:szCs w:val="18"/>
                <w:highlight w:val="none"/>
                <w:lang w:val="en-US"/>
              </w:rPr>
              <w:t>1.91</w:t>
            </w:r>
            <w:r>
              <w:rPr>
                <w:rFonts w:ascii="Times New Roman" w:hAnsi="Times New Roman" w:eastAsia="Arial" w:cs="Times New Roman"/>
                <w:color w:val="000000"/>
                <w:sz w:val="18"/>
                <w:szCs w:val="18"/>
                <w:highlight w:val="none"/>
              </w:rPr>
              <w:t xml:space="preserve">, </w:t>
            </w:r>
            <w:r>
              <w:rPr>
                <w:rFonts w:hint="default" w:eastAsia="Arial" w:cs="Times New Roman"/>
                <w:color w:val="000000"/>
                <w:sz w:val="18"/>
                <w:szCs w:val="18"/>
                <w:highlight w:val="none"/>
                <w:lang w:val="en-US"/>
              </w:rPr>
              <w:t>2.47</w:t>
            </w:r>
            <w:r>
              <w:rPr>
                <w:rFonts w:ascii="Times New Roman" w:hAnsi="Times New Roman" w:eastAsia="Arial" w:cs="Times New Roman"/>
                <w:color w:val="000000"/>
                <w:sz w:val="18"/>
                <w:szCs w:val="18"/>
                <w:highlight w:val="none"/>
              </w:rPr>
              <w:t>)</w:t>
            </w:r>
          </w:p>
        </w:tc>
        <w:tc>
          <w:tcPr>
            <w:tcW w:w="765" w:type="dxa"/>
            <w:tcBorders>
              <w:top w:val="nil"/>
              <w:left w:val="nil"/>
              <w:bottom w:val="nil"/>
              <w:right w:val="nil"/>
            </w:tcBorders>
            <w:shd w:val="clear" w:color="auto" w:fill="FFFFFF"/>
            <w:tcMar>
              <w:top w:w="0" w:type="dxa"/>
              <w:left w:w="0" w:type="dxa"/>
              <w:bottom w:w="0" w:type="dxa"/>
              <w:right w:w="0" w:type="dxa"/>
            </w:tcMar>
          </w:tcPr>
          <w:p w14:paraId="240C059C">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&lt; 0.001</w:t>
            </w:r>
          </w:p>
        </w:tc>
        <w:tc>
          <w:tcPr>
            <w:tcW w:w="1400" w:type="dxa"/>
            <w:tcBorders>
              <w:top w:val="nil"/>
              <w:left w:val="nil"/>
              <w:bottom w:val="nil"/>
              <w:right w:val="nil"/>
            </w:tcBorders>
            <w:shd w:val="clear" w:color="auto" w:fill="FFFFFF"/>
            <w:tcMar>
              <w:top w:w="0" w:type="dxa"/>
              <w:left w:w="0" w:type="dxa"/>
              <w:bottom w:w="0" w:type="dxa"/>
              <w:right w:w="0" w:type="dxa"/>
            </w:tcMar>
            <w:vAlign w:val="center"/>
          </w:tcPr>
          <w:p w14:paraId="40C069EA">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1.</w:t>
            </w:r>
            <w:r>
              <w:rPr>
                <w:rFonts w:hint="default" w:eastAsia="Arial" w:cs="Times New Roman"/>
                <w:color w:val="000000"/>
                <w:sz w:val="18"/>
                <w:szCs w:val="18"/>
                <w:highlight w:val="none"/>
                <w:lang w:val="en-US"/>
              </w:rPr>
              <w:t>3</w:t>
            </w:r>
            <w:r>
              <w:rPr>
                <w:rFonts w:ascii="Times New Roman" w:hAnsi="Times New Roman" w:eastAsia="Arial" w:cs="Times New Roman"/>
                <w:color w:val="000000"/>
                <w:sz w:val="18"/>
                <w:szCs w:val="18"/>
                <w:highlight w:val="none"/>
              </w:rPr>
              <w:t>0 (1.1</w:t>
            </w:r>
            <w:r>
              <w:rPr>
                <w:rFonts w:hint="default" w:eastAsia="Arial" w:cs="Times New Roman"/>
                <w:color w:val="000000"/>
                <w:sz w:val="18"/>
                <w:szCs w:val="18"/>
                <w:highlight w:val="none"/>
                <w:lang w:val="en-US"/>
              </w:rPr>
              <w:t>3</w:t>
            </w:r>
            <w:r>
              <w:rPr>
                <w:rFonts w:ascii="Times New Roman" w:hAnsi="Times New Roman" w:eastAsia="Arial" w:cs="Times New Roman"/>
                <w:color w:val="000000"/>
                <w:sz w:val="18"/>
                <w:szCs w:val="18"/>
                <w:highlight w:val="none"/>
              </w:rPr>
              <w:t>, 1.</w:t>
            </w:r>
            <w:r>
              <w:rPr>
                <w:rFonts w:hint="default" w:eastAsia="Arial" w:cs="Times New Roman"/>
                <w:color w:val="000000"/>
                <w:sz w:val="18"/>
                <w:szCs w:val="18"/>
                <w:highlight w:val="none"/>
                <w:lang w:val="en-US"/>
              </w:rPr>
              <w:t>50</w:t>
            </w:r>
            <w:r>
              <w:rPr>
                <w:rFonts w:ascii="Times New Roman" w:hAnsi="Times New Roman" w:eastAsia="Arial" w:cs="Times New Roman"/>
                <w:color w:val="000000"/>
                <w:sz w:val="18"/>
                <w:szCs w:val="18"/>
                <w:highlight w:val="none"/>
              </w:rPr>
              <w:t>)</w:t>
            </w:r>
          </w:p>
        </w:tc>
        <w:tc>
          <w:tcPr>
            <w:tcW w:w="981" w:type="dxa"/>
            <w:tcBorders>
              <w:top w:val="nil"/>
              <w:left w:val="nil"/>
              <w:bottom w:val="nil"/>
              <w:right w:val="nil"/>
            </w:tcBorders>
            <w:shd w:val="clear" w:color="auto" w:fill="FFFFFF"/>
          </w:tcPr>
          <w:p w14:paraId="5C4ECFCF">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color w:val="000000"/>
                <w:sz w:val="18"/>
                <w:szCs w:val="18"/>
                <w:highlight w:val="none"/>
              </w:rPr>
            </w:pPr>
            <w:r>
              <w:rPr>
                <w:rFonts w:ascii="Times New Roman" w:hAnsi="Times New Roman" w:eastAsia="Arial" w:cs="Times New Roman"/>
                <w:color w:val="000000"/>
                <w:sz w:val="18"/>
                <w:szCs w:val="18"/>
                <w:highlight w:val="none"/>
              </w:rPr>
              <w:t>&lt; 0.001</w:t>
            </w:r>
          </w:p>
        </w:tc>
      </w:tr>
      <w:tr w14:paraId="5ADF2CE3">
        <w:trPr>
          <w:trHeight w:val="44" w:hRule="atLeast"/>
        </w:trPr>
        <w:tc>
          <w:tcPr>
            <w:tcW w:w="1031" w:type="dxa"/>
            <w:tcBorders>
              <w:top w:val="nil"/>
              <w:left w:val="nil"/>
              <w:bottom w:val="single" w:color="000000" w:sz="8" w:space="0"/>
              <w:right w:val="nil"/>
            </w:tcBorders>
            <w:shd w:val="clear" w:color="auto" w:fill="FFFFFF"/>
            <w:tcMar>
              <w:top w:w="0" w:type="dxa"/>
              <w:left w:w="0" w:type="dxa"/>
              <w:bottom w:w="0" w:type="dxa"/>
              <w:right w:w="0" w:type="dxa"/>
            </w:tcMar>
          </w:tcPr>
          <w:p w14:paraId="4A6A72E1">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Arial" w:cs="Times New Roman"/>
                <w:bCs/>
                <w:color w:val="000000"/>
                <w:sz w:val="18"/>
                <w:szCs w:val="18"/>
                <w:highlight w:val="none"/>
              </w:rPr>
            </w:pPr>
            <w:r>
              <w:rPr>
                <w:rFonts w:hint="default" w:ascii="Times New Roman Italic" w:hAnsi="Times New Roman Italic" w:eastAsia="Arial" w:cs="Times New Roman Italic"/>
                <w:b w:val="0"/>
                <w:bCs/>
                <w:i/>
                <w:iCs/>
                <w:color w:val="000000"/>
                <w:sz w:val="18"/>
                <w:szCs w:val="18"/>
                <w:highlight w:val="none"/>
                <w:lang w:eastAsia="zh-CN"/>
              </w:rPr>
              <w:t>P</w:t>
            </w:r>
            <w:r>
              <w:rPr>
                <w:rFonts w:hint="default" w:ascii="Times New Roman Italic" w:hAnsi="Times New Roman Italic" w:eastAsia="Arial" w:cs="Times New Roman Italic"/>
                <w:bCs/>
                <w:i/>
                <w:iCs/>
                <w:color w:val="000000"/>
                <w:sz w:val="18"/>
                <w:szCs w:val="18"/>
                <w:highlight w:val="none"/>
              </w:rPr>
              <w:t xml:space="preserve"> </w:t>
            </w:r>
            <w:r>
              <w:rPr>
                <w:rFonts w:ascii="Times New Roman" w:hAnsi="Times New Roman" w:eastAsia="Arial" w:cs="Times New Roman"/>
                <w:bCs/>
                <w:color w:val="000000"/>
                <w:sz w:val="18"/>
                <w:szCs w:val="18"/>
                <w:highlight w:val="none"/>
              </w:rPr>
              <w:t>for trend</w:t>
            </w:r>
          </w:p>
        </w:tc>
        <w:tc>
          <w:tcPr>
            <w:tcW w:w="1400" w:type="dxa"/>
            <w:tcBorders>
              <w:top w:val="nil"/>
              <w:left w:val="nil"/>
              <w:bottom w:val="single" w:color="000000" w:sz="8" w:space="0"/>
              <w:right w:val="nil"/>
            </w:tcBorders>
            <w:shd w:val="clear" w:color="auto" w:fill="FFFFFF"/>
            <w:tcMar>
              <w:top w:w="0" w:type="dxa"/>
              <w:left w:w="0" w:type="dxa"/>
              <w:bottom w:w="0" w:type="dxa"/>
              <w:right w:w="0" w:type="dxa"/>
            </w:tcMar>
          </w:tcPr>
          <w:p w14:paraId="05199AFC">
            <w:pPr>
              <w:spacing w:before="100" w:after="100"/>
              <w:ind w:left="100" w:right="100"/>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sz w:val="18"/>
                <w:szCs w:val="18"/>
                <w:highlight w:val="none"/>
              </w:rPr>
              <w:t>&lt; 0.001</w:t>
            </w:r>
          </w:p>
        </w:tc>
        <w:tc>
          <w:tcPr>
            <w:tcW w:w="765" w:type="dxa"/>
            <w:tcBorders>
              <w:top w:val="nil"/>
              <w:left w:val="nil"/>
              <w:bottom w:val="single" w:color="000000" w:sz="8" w:space="0"/>
              <w:right w:val="nil"/>
            </w:tcBorders>
            <w:shd w:val="clear" w:color="auto" w:fill="FFFFFF"/>
            <w:tcMar>
              <w:top w:w="0" w:type="dxa"/>
              <w:left w:w="0" w:type="dxa"/>
              <w:bottom w:w="0" w:type="dxa"/>
              <w:right w:w="0" w:type="dxa"/>
            </w:tcMar>
          </w:tcPr>
          <w:p w14:paraId="0AEB9A00">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000000"/>
                <w:sz w:val="18"/>
                <w:szCs w:val="18"/>
                <w:highlight w:val="none"/>
                <w:lang w:eastAsia="zh-CN"/>
              </w:rPr>
            </w:pPr>
          </w:p>
        </w:tc>
        <w:tc>
          <w:tcPr>
            <w:tcW w:w="1400" w:type="dxa"/>
            <w:tcBorders>
              <w:top w:val="nil"/>
              <w:left w:val="nil"/>
              <w:bottom w:val="single" w:color="000000" w:sz="8" w:space="0"/>
              <w:right w:val="nil"/>
            </w:tcBorders>
            <w:shd w:val="clear" w:color="auto" w:fill="FFFFFF"/>
            <w:tcMar>
              <w:top w:w="0" w:type="dxa"/>
              <w:left w:w="0" w:type="dxa"/>
              <w:bottom w:w="0" w:type="dxa"/>
              <w:right w:w="0" w:type="dxa"/>
            </w:tcMar>
          </w:tcPr>
          <w:p w14:paraId="3D881D3F">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000000"/>
                <w:sz w:val="18"/>
                <w:szCs w:val="18"/>
                <w:highlight w:val="none"/>
                <w:lang w:eastAsia="zh-CN"/>
              </w:rPr>
            </w:pPr>
          </w:p>
        </w:tc>
        <w:tc>
          <w:tcPr>
            <w:tcW w:w="765" w:type="dxa"/>
            <w:tcBorders>
              <w:top w:val="nil"/>
              <w:left w:val="nil"/>
              <w:bottom w:val="single" w:color="000000" w:sz="8" w:space="0"/>
              <w:right w:val="nil"/>
            </w:tcBorders>
            <w:shd w:val="clear" w:color="auto" w:fill="FFFFFF"/>
            <w:tcMar>
              <w:top w:w="0" w:type="dxa"/>
              <w:left w:w="0" w:type="dxa"/>
              <w:bottom w:w="0" w:type="dxa"/>
              <w:right w:w="0" w:type="dxa"/>
            </w:tcMar>
          </w:tcPr>
          <w:p w14:paraId="1CCAAC60">
            <w:pPr>
              <w:spacing w:before="100" w:after="100"/>
              <w:ind w:left="100" w:right="100"/>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sz w:val="18"/>
                <w:szCs w:val="18"/>
                <w:highlight w:val="none"/>
              </w:rPr>
              <w:t>&lt; 0.001</w:t>
            </w:r>
          </w:p>
        </w:tc>
        <w:tc>
          <w:tcPr>
            <w:tcW w:w="1400" w:type="dxa"/>
            <w:tcBorders>
              <w:top w:val="nil"/>
              <w:left w:val="nil"/>
              <w:bottom w:val="single" w:color="000000" w:sz="8" w:space="0"/>
              <w:right w:val="nil"/>
            </w:tcBorders>
            <w:shd w:val="clear" w:color="auto" w:fill="FFFFFF"/>
            <w:tcMar>
              <w:top w:w="0" w:type="dxa"/>
              <w:left w:w="0" w:type="dxa"/>
              <w:bottom w:w="0" w:type="dxa"/>
              <w:right w:w="0" w:type="dxa"/>
            </w:tcMar>
          </w:tcPr>
          <w:p w14:paraId="018552F6">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000000"/>
                <w:sz w:val="18"/>
                <w:szCs w:val="18"/>
                <w:highlight w:val="none"/>
                <w:lang w:eastAsia="zh-CN"/>
              </w:rPr>
            </w:pPr>
          </w:p>
        </w:tc>
        <w:tc>
          <w:tcPr>
            <w:tcW w:w="981" w:type="dxa"/>
            <w:tcBorders>
              <w:top w:val="nil"/>
              <w:left w:val="nil"/>
              <w:bottom w:val="single" w:color="000000" w:sz="8" w:space="0"/>
              <w:right w:val="nil"/>
            </w:tcBorders>
            <w:shd w:val="clear" w:color="auto" w:fill="FFFFFF"/>
          </w:tcPr>
          <w:p w14:paraId="30B4418B">
            <w:pPr>
              <w:spacing w:before="100" w:after="100"/>
              <w:ind w:left="100" w:right="100"/>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sz w:val="18"/>
                <w:szCs w:val="18"/>
                <w:highlight w:val="none"/>
              </w:rPr>
              <w:t>&lt; 0.001</w:t>
            </w:r>
          </w:p>
        </w:tc>
      </w:tr>
    </w:tbl>
    <w:p w14:paraId="2334D676">
      <w:pPr>
        <w:rPr>
          <w:rFonts w:ascii="Times New Roman" w:hAnsi="Times New Roman" w:cs="Times New Roman"/>
          <w:sz w:val="24"/>
          <w:szCs w:val="24"/>
          <w:highlight w:val="none"/>
        </w:rPr>
      </w:pPr>
      <w:r>
        <w:rPr>
          <w:rFonts w:ascii="Times New Roman" w:hAnsi="Times New Roman" w:cs="Times New Roman"/>
          <w:sz w:val="24"/>
          <w:szCs w:val="24"/>
          <w:highlight w:val="none"/>
        </w:rPr>
        <w:t xml:space="preserve">Model 1: </w:t>
      </w:r>
      <w:r>
        <w:rPr>
          <w:rFonts w:hint="default" w:cs="Times New Roman"/>
          <w:sz w:val="24"/>
          <w:szCs w:val="24"/>
          <w:highlight w:val="none"/>
          <w:lang w:val="en-US"/>
        </w:rPr>
        <w:t>U</w:t>
      </w:r>
      <w:r>
        <w:rPr>
          <w:rFonts w:ascii="Times New Roman" w:hAnsi="Times New Roman" w:cs="Times New Roman"/>
          <w:sz w:val="24"/>
          <w:szCs w:val="24"/>
          <w:highlight w:val="none"/>
        </w:rPr>
        <w:t>nadjusted</w:t>
      </w:r>
    </w:p>
    <w:p w14:paraId="24CA1FC9">
      <w:pPr>
        <w:rPr>
          <w:rFonts w:ascii="Times New Roman" w:hAnsi="Times New Roman" w:cs="Times New Roman"/>
          <w:sz w:val="24"/>
          <w:szCs w:val="24"/>
          <w:highlight w:val="none"/>
        </w:rPr>
      </w:pPr>
      <w:r>
        <w:rPr>
          <w:rFonts w:ascii="Times New Roman" w:hAnsi="Times New Roman" w:cs="Times New Roman"/>
          <w:sz w:val="24"/>
          <w:szCs w:val="24"/>
          <w:highlight w:val="none"/>
        </w:rPr>
        <w:t xml:space="preserve">Model 2: </w:t>
      </w:r>
      <w:r>
        <w:rPr>
          <w:rFonts w:hint="default" w:cs="Times New Roman"/>
          <w:sz w:val="24"/>
          <w:szCs w:val="24"/>
          <w:highlight w:val="none"/>
          <w:lang w:val="en-US"/>
        </w:rPr>
        <w:t>A</w:t>
      </w:r>
      <w:r>
        <w:rPr>
          <w:rFonts w:ascii="Times New Roman" w:hAnsi="Times New Roman" w:cs="Times New Roman"/>
          <w:sz w:val="24"/>
          <w:szCs w:val="24"/>
          <w:highlight w:val="none"/>
        </w:rPr>
        <w:t>djusted</w:t>
      </w:r>
      <w:r>
        <w:rPr>
          <w:rFonts w:hint="default" w:ascii="Times New Roman" w:hAnsi="Times New Roman" w:cs="Times New Roman"/>
          <w:sz w:val="24"/>
          <w:szCs w:val="24"/>
          <w:highlight w:val="none"/>
          <w:lang w:val="en-US"/>
        </w:rPr>
        <w:t xml:space="preserve"> for a</w:t>
      </w:r>
      <w:r>
        <w:rPr>
          <w:rFonts w:ascii="Times New Roman" w:hAnsi="Times New Roman" w:cs="Times New Roman"/>
          <w:sz w:val="24"/>
          <w:szCs w:val="24"/>
          <w:highlight w:val="none"/>
        </w:rPr>
        <w:t>ge, gender, race, educational attainment, marital status</w:t>
      </w:r>
      <w:r>
        <w:rPr>
          <w:rFonts w:hint="default" w:ascii="Times New Roman" w:hAnsi="Times New Roman" w:cs="Times New Roman"/>
          <w:sz w:val="24"/>
          <w:szCs w:val="24"/>
          <w:highlight w:val="none"/>
          <w:lang w:val="en-US"/>
        </w:rPr>
        <w:t xml:space="preserve">, </w:t>
      </w:r>
      <w:r>
        <w:rPr>
          <w:rFonts w:ascii="Times New Roman" w:hAnsi="Times New Roman" w:cs="Times New Roman"/>
          <w:sz w:val="24"/>
          <w:szCs w:val="24"/>
          <w:highlight w:val="none"/>
        </w:rPr>
        <w:t>and PIR</w:t>
      </w:r>
    </w:p>
    <w:p w14:paraId="23BCF9C8">
      <w:pPr>
        <w:rPr>
          <w:rFonts w:hint="default" w:ascii="Times New Roman Bold" w:hAnsi="Times New Roman Bold" w:cs="Times New Roman Bold"/>
          <w:b/>
          <w:bCs/>
          <w:sz w:val="24"/>
          <w:szCs w:val="24"/>
          <w:highlight w:val="none"/>
          <w:lang w:val="en-US"/>
        </w:rPr>
      </w:pPr>
      <w:r>
        <w:rPr>
          <w:rFonts w:ascii="Times New Roman" w:hAnsi="Times New Roman" w:cs="Times New Roman"/>
          <w:sz w:val="24"/>
          <w:szCs w:val="24"/>
          <w:highlight w:val="none"/>
        </w:rPr>
        <w:t xml:space="preserve">Model 3: </w:t>
      </w:r>
      <w:r>
        <w:rPr>
          <w:rFonts w:hint="default" w:cs="Times New Roman"/>
          <w:sz w:val="24"/>
          <w:szCs w:val="24"/>
          <w:highlight w:val="none"/>
          <w:lang w:val="en-US"/>
        </w:rPr>
        <w:t>A</w:t>
      </w:r>
      <w:r>
        <w:rPr>
          <w:rFonts w:ascii="Times New Roman" w:hAnsi="Times New Roman" w:cs="Times New Roman"/>
          <w:sz w:val="24"/>
          <w:szCs w:val="24"/>
          <w:highlight w:val="none"/>
        </w:rPr>
        <w:t>djusted</w:t>
      </w:r>
      <w:r>
        <w:rPr>
          <w:rFonts w:hint="default" w:ascii="Times New Roman" w:hAnsi="Times New Roman" w:cs="Times New Roman"/>
          <w:sz w:val="24"/>
          <w:szCs w:val="24"/>
          <w:highlight w:val="none"/>
          <w:lang w:val="en-US"/>
        </w:rPr>
        <w:t xml:space="preserve"> for a</w:t>
      </w:r>
      <w:r>
        <w:rPr>
          <w:rFonts w:ascii="Times New Roman" w:hAnsi="Times New Roman"/>
          <w:sz w:val="24"/>
          <w:szCs w:val="24"/>
          <w:highlight w:val="none"/>
        </w:rPr>
        <w:t xml:space="preserve">ge, gender, race, educational attainment, marital status, PIR, </w:t>
      </w:r>
      <w:r>
        <w:rPr>
          <w:rFonts w:ascii="Times New Roman" w:hAnsi="Times New Roman" w:cs="Times New Roman"/>
          <w:sz w:val="24"/>
          <w:szCs w:val="24"/>
          <w:highlight w:val="none"/>
        </w:rPr>
        <w:t>smoking status, drinking status, physical activity, diabetes, hypertension, CVDs, asthma, COPD</w:t>
      </w:r>
      <w:r>
        <w:rPr>
          <w:rFonts w:hint="default" w:ascii="Times New Roman" w:hAnsi="Times New Roman" w:cs="Times New Roman"/>
          <w:sz w:val="24"/>
          <w:szCs w:val="24"/>
          <w:highlight w:val="none"/>
          <w:lang w:val="en-US"/>
        </w:rPr>
        <w:t>,</w:t>
      </w:r>
      <w:r>
        <w:rPr>
          <w:rFonts w:ascii="Times New Roman" w:hAnsi="Times New Roman" w:cs="Times New Roman"/>
          <w:sz w:val="24"/>
          <w:szCs w:val="24"/>
          <w:highlight w:val="none"/>
        </w:rPr>
        <w:t xml:space="preserve"> and depression</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w:panose1 w:val="00000000000000000000"/>
    <w:charset w:val="00"/>
    <w:family w:val="auto"/>
    <w:pitch w:val="default"/>
    <w:sig w:usb0="E00002FF" w:usb1="5000785B" w:usb2="00000000" w:usb3="00000000" w:csb0="2000019F" w:csb1="4F010000"/>
  </w:font>
  <w:font w:name="Times New Roman Bold">
    <w:panose1 w:val="02020603050405020304"/>
    <w:charset w:val="00"/>
    <w:family w:val="auto"/>
    <w:pitch w:val="default"/>
    <w:sig w:usb0="E0002AEF" w:usb1="C0007841" w:usb2="00000009" w:usb3="00000000" w:csb0="400001FF" w:csb1="FFFF0000"/>
  </w:font>
  <w:font w:name="Times New Roman Regular">
    <w:panose1 w:val="02020603050405020304"/>
    <w:charset w:val="00"/>
    <w:family w:val="auto"/>
    <w:pitch w:val="default"/>
    <w:sig w:usb0="E0002AEF" w:usb1="C0007841" w:usb2="00000009" w:usb3="00000000" w:csb0="400001FF" w:csb1="FFFF0000"/>
  </w:font>
  <w:font w:name="Times New Roman Bold Italic">
    <w:panose1 w:val="02020603050405020304"/>
    <w:charset w:val="00"/>
    <w:family w:val="auto"/>
    <w:pitch w:val="default"/>
    <w:sig w:usb0="E0002AEF" w:usb1="C0007841" w:usb2="00000009" w:usb3="00000000" w:csb0="400001FF" w:csb1="FFFF0000"/>
  </w:font>
  <w:font w:name="Times New Roman Italic">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Palatino Linotype">
    <w:altName w:val="苹方-简"/>
    <w:panose1 w:val="02040502050505030304"/>
    <w:charset w:val="00"/>
    <w:family w:val="roman"/>
    <w:pitch w:val="default"/>
    <w:sig w:usb0="00000000" w:usb1="00000000" w:usb2="00000000"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苹方-简">
    <w:panose1 w:val="020B0400000000000000"/>
    <w:charset w:val="86"/>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CA505"/>
    <w:rsid w:val="1FF3E4A9"/>
    <w:rsid w:val="3FE97927"/>
    <w:rsid w:val="4FFA3641"/>
    <w:rsid w:val="557F919A"/>
    <w:rsid w:val="59DF84A4"/>
    <w:rsid w:val="5FED6E06"/>
    <w:rsid w:val="66CFD354"/>
    <w:rsid w:val="697F279F"/>
    <w:rsid w:val="6FFCA505"/>
    <w:rsid w:val="7D6F4628"/>
    <w:rsid w:val="8FFF631B"/>
    <w:rsid w:val="957E0BD4"/>
    <w:rsid w:val="BAA7DA21"/>
    <w:rsid w:val="BDBBE5C4"/>
    <w:rsid w:val="D99270A2"/>
    <w:rsid w:val="E3EFC0B9"/>
    <w:rsid w:val="F736AE94"/>
    <w:rsid w:val="F753A939"/>
    <w:rsid w:val="FB6FADF8"/>
    <w:rsid w:val="FBAE40EE"/>
    <w:rsid w:val="FCDF6472"/>
    <w:rsid w:val="FDC91FC9"/>
    <w:rsid w:val="FECDBFF3"/>
    <w:rsid w:val="FFBF3822"/>
    <w:rsid w:val="FFBFC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auto"/>
      <w:kern w:val="2"/>
      <w:sz w:val="15"/>
      <w:szCs w:val="15"/>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3">
    <w:name w:val="Body Text First Indent"/>
    <w:basedOn w:val="2"/>
    <w:uiPriority w:val="0"/>
    <w:pPr>
      <w:ind w:firstLine="420" w:firstLineChars="100"/>
    </w:p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首行缩进，正文"/>
    <w:basedOn w:val="1"/>
    <w:uiPriority w:val="0"/>
    <w:pPr>
      <w:autoSpaceDE w:val="0"/>
      <w:autoSpaceDN w:val="0"/>
      <w:adjustRightInd w:val="0"/>
      <w:spacing w:line="300" w:lineRule="auto"/>
      <w:ind w:firstLine="721" w:firstLineChars="200"/>
      <w:jc w:val="left"/>
    </w:pPr>
    <w:rPr>
      <w:rFonts w:hint="eastAsia" w:eastAsia="宋体"/>
      <w:szCs w:val="24"/>
    </w:rPr>
  </w:style>
  <w:style w:type="paragraph" w:customStyle="1" w:styleId="8">
    <w:name w:val="论文"/>
    <w:basedOn w:val="3"/>
    <w:uiPriority w:val="0"/>
    <w:pPr>
      <w:spacing w:line="300" w:lineRule="auto"/>
      <w:ind w:firstLine="480" w:firstLineChars="200"/>
    </w:pPr>
    <w:rPr>
      <w:rFonts w:ascii="Times New Roman" w:hAnsi="Times New Roman" w:eastAsia="宋体"/>
    </w:rPr>
  </w:style>
  <w:style w:type="paragraph" w:customStyle="1" w:styleId="9">
    <w:name w:val="p1"/>
    <w:basedOn w:val="1"/>
    <w:uiPriority w:val="0"/>
    <w:pPr>
      <w:spacing w:before="0" w:beforeAutospacing="0" w:after="0" w:afterAutospacing="0"/>
      <w:ind w:left="0" w:right="0"/>
      <w:jc w:val="left"/>
    </w:pPr>
    <w:rPr>
      <w:rFonts w:ascii="helvetica" w:hAnsi="helvetica" w:eastAsia="helvetica" w:cs="helvetica"/>
      <w:color w:val="000000"/>
      <w:kern w:val="0"/>
      <w:sz w:val="18"/>
      <w:szCs w:val="1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Office_6.15.1.8935_F1E327BC-269C-435d-A152-05C5408002CA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2025-03-13T07:23:00Z</dcterms:created>
  <dc:creator>神经领袖</dc:creator>
  <cp:lastModifiedBy>神经领袖</cp:lastModifiedBy>
  <dcterms:modified xsi:type="dcterms:W3CDTF">2025-03-20T20:40:22Z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2052-6.15.1.8935</vt:lpwstr>
  </property>
  <property fmtid="{D5CDD505-2E9C-101B-9397-08002B2CF9AE}" pid="3" name="ICV">
    <vt:lpwstr>F3A22A630A6ADB16E5A6D167F93FFDE6_41</vt:lpwstr>
  </property>
</Properties>
</file>