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DF512">
      <w:pPr>
        <w:keepNext/>
        <w:keepLines/>
        <w:spacing w:line="480" w:lineRule="auto"/>
        <w:jc w:val="center"/>
        <w:rPr>
          <w:rFonts w:cs="Times New Roman"/>
          <w:sz w:val="24"/>
          <w:szCs w:val="24"/>
        </w:rPr>
      </w:pPr>
      <w:bookmarkStart w:id="0" w:name="OLE_LINK116"/>
      <w:bookmarkStart w:id="1" w:name="OLE_LINK117"/>
      <w:r>
        <w:rPr>
          <w:sz w:val="24"/>
          <w:szCs w:val="24"/>
        </w:rPr>
        <w:t>Supplementary Table S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cs="Times New Roman"/>
          <w:sz w:val="24"/>
          <w:szCs w:val="24"/>
        </w:rPr>
        <w:t xml:space="preserve"> </w:t>
      </w:r>
      <w:bookmarkEnd w:id="0"/>
      <w:bookmarkEnd w:id="1"/>
      <w:r>
        <w:rPr>
          <w:rFonts w:hint="eastAsia" w:cs="Times New Roman"/>
          <w:sz w:val="24"/>
          <w:szCs w:val="24"/>
        </w:rPr>
        <w:t>Sensitivity Analy</w:t>
      </w:r>
      <w:bookmarkStart w:id="3" w:name="_GoBack"/>
      <w:bookmarkEnd w:id="3"/>
      <w:r>
        <w:rPr>
          <w:rFonts w:hint="eastAsia" w:cs="Times New Roman"/>
          <w:sz w:val="24"/>
          <w:szCs w:val="24"/>
        </w:rPr>
        <w:t>sis: Association Between Co-exposure to Multiple UMVOCs and Dyslipidemia After Excluding Participants with Renal Impairment</w:t>
      </w:r>
    </w:p>
    <w:tbl>
      <w:tblPr>
        <w:tblStyle w:val="3"/>
        <w:tblW w:w="8585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2856"/>
        <w:gridCol w:w="2856"/>
        <w:gridCol w:w="1080"/>
      </w:tblGrid>
      <w:tr w14:paraId="0AD336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5F6D8A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bookmarkStart w:id="2" w:name="_Hlk192777447"/>
            <w:r>
              <w:rPr>
                <w:rFonts w:hint="default" w:cs="Times New Roman"/>
                <w:b/>
                <w:bCs/>
                <w:color w:val="000000"/>
                <w:sz w:val="24"/>
                <w:szCs w:val="24"/>
                <w14:ligatures w14:val="none"/>
              </w:rPr>
              <w:t>Exposure</w:t>
            </w:r>
          </w:p>
        </w:tc>
        <w:tc>
          <w:tcPr>
            <w:tcW w:w="285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F9EADF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B45F80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OR (95%CI)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C0A052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b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cs="Times New Roman"/>
                <w:b/>
                <w:bCs/>
                <w:i/>
                <w:iCs/>
                <w:color w:val="1F1F1F"/>
                <w:sz w:val="24"/>
                <w:szCs w:val="24"/>
                <w14:ligatures w14:val="none"/>
              </w:rPr>
              <w:t>P trend</w:t>
            </w:r>
          </w:p>
        </w:tc>
      </w:tr>
      <w:tr w14:paraId="7922C1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0E070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b/>
                <w:bCs/>
                <w:color w:val="222222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b/>
                <w:bCs/>
                <w:color w:val="222222"/>
                <w:kern w:val="0"/>
                <w:sz w:val="24"/>
                <w:szCs w:val="24"/>
                <w:lang w:bidi="ar"/>
                <w14:ligatures w14:val="none"/>
              </w:rPr>
              <w:t>2MHA</w:t>
            </w:r>
          </w:p>
        </w:tc>
        <w:tc>
          <w:tcPr>
            <w:tcW w:w="28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F0EF7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28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DF140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 xml:space="preserve">0.95 (0.82-1.08) 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CDDB9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084595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5572A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b/>
                <w:bCs/>
                <w:color w:val="222222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DD288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270F0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3969C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  <w14:ligatures w14:val="none"/>
              </w:rPr>
              <w:t>&lt;0.001</w:t>
            </w:r>
          </w:p>
        </w:tc>
      </w:tr>
      <w:tr w14:paraId="054E5E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726E1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7322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CC0AF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0.99 (0.80-1.22)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8D19E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05C5C9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3DFBA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AA7CE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45D62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0.86 (0.64-1.17)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F4062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439FBF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F04F3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D9EF0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75406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0.80 (0.55-1.16)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F4752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3C71A3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D8FD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b/>
                <w:bCs/>
                <w:color w:val="222222"/>
                <w:kern w:val="0"/>
                <w:sz w:val="24"/>
                <w:szCs w:val="24"/>
                <w:lang w:bidi="ar"/>
                <w14:ligatures w14:val="none"/>
              </w:rPr>
              <w:t>34MHA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409E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DE04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1.13 (0.99-1.29)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B1998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760F71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66F52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992E1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47F67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87F10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  <w14:ligatures w14:val="none"/>
              </w:rPr>
              <w:t>&lt;0.001</w:t>
            </w:r>
          </w:p>
        </w:tc>
      </w:tr>
      <w:tr w14:paraId="51FAC9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1953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6BBA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FB1F6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1.35 (1.07-1.69)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AF9B7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562326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12F2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69BFE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B1D17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1.30 (1.01-1.67)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CF93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65832B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A18C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33FA4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50DF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1.69 (1.23-2.32)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429C5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7CDF32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1AB9E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b/>
                <w:bCs/>
                <w:color w:val="222222"/>
                <w:kern w:val="0"/>
                <w:sz w:val="24"/>
                <w:szCs w:val="24"/>
                <w:lang w:bidi="ar"/>
                <w14:ligatures w14:val="none"/>
              </w:rPr>
              <w:t>CEMA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C9AD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  <w:t>Continuous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2E6A9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 xml:space="preserve">1.11 (0.99-1.25)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7C221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0E126F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3E8ED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9680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99480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Ref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D0D6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hint="eastAsia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  <w14:ligatures w14:val="none"/>
              </w:rPr>
              <w:t>&lt;0.001</w:t>
            </w:r>
          </w:p>
        </w:tc>
      </w:tr>
      <w:tr w14:paraId="432FB6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099F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6FD77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69CDD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1.14 (0.92-1.40)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B3F0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69B36F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650EE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B8B03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0AFAF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1.08 (0.87-1.35)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08BE4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tr w14:paraId="1569B1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B0ACF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2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3A63E5">
            <w:pPr>
              <w:keepNext/>
              <w:keepLines/>
              <w:widowControl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Q4</w:t>
            </w:r>
          </w:p>
        </w:tc>
        <w:tc>
          <w:tcPr>
            <w:tcW w:w="2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17009D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</w:pPr>
            <w:r>
              <w:rPr>
                <w:rFonts w:hint="default" w:cs="Times New Roman"/>
                <w:color w:val="000000"/>
                <w:kern w:val="2"/>
                <w:sz w:val="24"/>
                <w:szCs w:val="24"/>
                <w:highlight w:val="yellow"/>
                <w:lang w:bidi="ar"/>
                <w14:ligatures w14:val="none"/>
              </w:rPr>
              <w:t>1.30 (1.00-1.69)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7F5842">
            <w:pPr>
              <w:keepNext/>
              <w:keepLines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cs="Times New Roman"/>
                <w:color w:val="000000"/>
                <w:sz w:val="24"/>
                <w:szCs w:val="24"/>
                <w:highlight w:val="yellow"/>
                <w14:ligatures w14:val="none"/>
              </w:rPr>
            </w:pPr>
          </w:p>
        </w:tc>
      </w:tr>
      <w:bookmarkEnd w:id="2"/>
    </w:tbl>
    <w:p w14:paraId="06B118A9">
      <w:pPr>
        <w:spacing w:line="480" w:lineRule="auto"/>
        <w:rPr>
          <w:rFonts w:cs="Times New Roman"/>
          <w:sz w:val="24"/>
          <w:szCs w:val="24"/>
        </w:rPr>
      </w:pPr>
      <w:r>
        <w:rPr>
          <w:rFonts w:hint="eastAsia" w:cs="Times New Roman"/>
          <w:sz w:val="24"/>
          <w:szCs w:val="24"/>
        </w:rPr>
        <w:t xml:space="preserve">The results presented </w:t>
      </w:r>
      <w:r>
        <w:rPr>
          <w:rFonts w:cs="Times New Roman"/>
          <w:sz w:val="24"/>
          <w:szCs w:val="24"/>
        </w:rPr>
        <w:t xml:space="preserve">corresponds to Model 3, </w:t>
      </w:r>
      <w:r>
        <w:rPr>
          <w:rFonts w:hint="eastAsia" w:cs="Times New Roman"/>
          <w:sz w:val="24"/>
          <w:szCs w:val="24"/>
          <w:highlight w:val="yellow"/>
        </w:rPr>
        <w:t>the fully adjusted model</w:t>
      </w:r>
      <w:r>
        <w:rPr>
          <w:rFonts w:cs="Times New Roman"/>
          <w:sz w:val="24"/>
          <w:szCs w:val="24"/>
          <w:highlight w:val="yellow"/>
        </w:rPr>
        <w:t>.</w:t>
      </w:r>
    </w:p>
    <w:p w14:paraId="178667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33EC6"/>
    <w:rsid w:val="7DC3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1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2025-07-14T07:48:00Z</dcterms:created>
  <dc:creator>administered</dc:creator>
  <cp:lastModifiedBy>administered</cp:lastModifiedBy>
  <dcterms:modified xsi:type="dcterms:W3CDTF">2025-07-14T08:07:45Z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0D4132D3DD684F76A7A80325E6E43C62_11</vt:lpwstr>
  </property>
  <property fmtid="{D5CDD505-2E9C-101B-9397-08002B2CF9AE}" pid="4" name="KSOTemplateDocerSaveRecord">
    <vt:lpwstr>eyJoZGlkIjoiOGMxOGJlNTJkZjcxYjQ4MTM5MDI2N2VmZTYxNzg1NmEiLCJ1c2VySWQiOiIzMjQ3NTk3MDgifQ==</vt:lpwstr>
  </property>
</Properties>
</file>